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Entregable evaluable — Sesión S09</w:t>
      </w:r>
    </w:p>
    <w:p>
      <w:pPr>
        <w:pBdr>
          <w:bottom w:val="single" w:color="E4002B" w:sz="18" w:space="10"/>
        </w:pBdr>
        <w:spacing w:after="160"/>
      </w:pPr>
      <w:r>
        <w:rPr>
          <w:rFonts w:ascii="Cambria" w:cs="Cambria" w:eastAsia="Cambria" w:hAnsi="Cambria"/>
          <w:color w:val="7A1526"/>
          <w:sz w:val="28"/>
          <w:szCs w:val="28"/>
        </w:rPr>
        <w:t xml:space="preserve">Modelo logístico de churn, umbral por costo y recomendación de retención (Telco)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09 · Regresión logística y modelos lineales generalizados · Entregable evaluable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Trabajo en parejas durante el laboratorio · entrega individual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CALIFICACIÓN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Escala vigesimal 0–20, según la rúbrica de la sección 4 de este documento</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notebook/S09_logistica_glm.ipynb</w:t>
            </w:r>
            <w:r>
              <w:rPr>
                <w:rFonts w:ascii="Cambria" w:cs="Cambria" w:eastAsia="Cambria" w:hAnsi="Cambria"/>
                <w:color w:val="2D2D2D"/>
                <w:sz w:val="19"/>
                <w:szCs w:val="19"/>
              </w:rPr>
              <w:t xml:space="preserve"> (todo el análisis se desarrolla y reproduce aquí)</w:t>
            </w:r>
          </w:p>
        </w:tc>
      </w:tr>
    </w:tbl>
    <w:p>
      <w:pPr>
        <w:spacing w:after="150"/>
      </w:pPr>
    </w:p>
    <w:p>
      <w:pPr>
        <w:spacing w:after="180" w:line="265"/>
      </w:pPr>
      <w:r>
        <w:rPr>
          <w:rFonts w:ascii="Cambria" w:cs="Cambria" w:eastAsia="Cambria" w:hAnsi="Cambria"/>
          <w:color w:val="3A3A3A"/>
          <w:sz w:val="18"/>
          <w:szCs w:val="18"/>
        </w:rPr>
        <w:t xml:space="preserve">Material del estudiante. Trabajo evaluable de la Sesión 9. Español impersonal. </w:t>
      </w:r>
      <w:r>
        <w:rPr>
          <w:rFonts w:ascii="Cambria" w:cs="Cambria" w:eastAsia="Cambria" w:hAnsi="Cambria"/>
          <w:b/>
          <w:bCs/>
          <w:color w:val="3A3A3A"/>
          <w:sz w:val="18"/>
          <w:szCs w:val="18"/>
        </w:rPr>
        <w:t xml:space="preserve">El entregable se completa con:</w:t>
      </w:r>
      <w:r>
        <w:rPr>
          <w:rFonts w:ascii="Cambria" w:cs="Cambria" w:eastAsia="Cambria" w:hAnsi="Cambria"/>
          <w:color w:val="3A3A3A"/>
          <w:sz w:val="18"/>
          <w:szCs w:val="18"/>
        </w:rPr>
        <w:t xml:space="preserve"> la guía </w:t>
      </w:r>
      <w:r>
        <w:rPr>
          <w:rFonts w:ascii="Consolas" w:cs="Consolas" w:eastAsia="Consolas" w:hAnsi="Consolas"/>
          <w:color w:val="7A1526"/>
          <w:sz w:val="16"/>
          <w:szCs w:val="16"/>
        </w:rPr>
        <w:t xml:space="preserve">plantillas/guia_odds_ratio.docx</w:t>
      </w:r>
      <w:r>
        <w:rPr>
          <w:rFonts w:ascii="Cambria" w:cs="Cambria" w:eastAsia="Cambria" w:hAnsi="Cambria"/>
          <w:color w:val="3A3A3A"/>
          <w:sz w:val="18"/>
          <w:szCs w:val="18"/>
        </w:rPr>
        <w:t xml:space="preserve"> (interpretación de los coeficientes en odds ratio ante audiencia de negocio) y la plantilla </w:t>
      </w:r>
      <w:r>
        <w:rPr>
          <w:rFonts w:ascii="Consolas" w:cs="Consolas" w:eastAsia="Consolas" w:hAnsi="Consolas"/>
          <w:color w:val="7A1526"/>
          <w:sz w:val="16"/>
          <w:szCs w:val="16"/>
        </w:rPr>
        <w:t xml:space="preserve">plantillas/evaluacion_clasificador.docx</w:t>
      </w:r>
      <w:r>
        <w:rPr>
          <w:rFonts w:ascii="Cambria" w:cs="Cambria" w:eastAsia="Cambria" w:hAnsi="Cambria"/>
          <w:color w:val="3A3A3A"/>
          <w:sz w:val="18"/>
          <w:szCs w:val="18"/>
        </w:rPr>
        <w:t xml:space="preserve"> (matriz de confusión, curva ROC/AUC y </w:t>
      </w:r>
      <w:r>
        <w:rPr>
          <w:rFonts w:ascii="Cambria" w:cs="Cambria" w:eastAsia="Cambria" w:hAnsi="Cambria"/>
          <w:b/>
          <w:bCs/>
          <w:color w:val="3A3A3A"/>
          <w:sz w:val="18"/>
          <w:szCs w:val="18"/>
        </w:rPr>
        <w:t xml:space="preserve">tabla de umbral vs. costo</w:t>
      </w:r>
      <w:r>
        <w:rPr>
          <w:rFonts w:ascii="Cambria" w:cs="Cambria" w:eastAsia="Cambria" w:hAnsi="Cambria"/>
          <w:color w:val="3A3A3A"/>
          <w:sz w:val="18"/>
          <w:szCs w:val="18"/>
        </w:rPr>
        <w:t xml:space="preserve">). Todo el análisis se desarrolla en el cuaderno </w:t>
      </w:r>
      <w:r>
        <w:rPr>
          <w:rFonts w:ascii="Consolas" w:cs="Consolas" w:eastAsia="Consolas" w:hAnsi="Consolas"/>
          <w:color w:val="7A1526"/>
          <w:sz w:val="16"/>
          <w:szCs w:val="16"/>
        </w:rPr>
        <w:t xml:space="preserve">notebook/S09_logistica_glm.ipynb</w:t>
      </w:r>
      <w:r>
        <w:rPr>
          <w:rFonts w:ascii="Cambria" w:cs="Cambria" w:eastAsia="Cambria" w:hAnsi="Cambria"/>
          <w:color w:val="3A3A3A"/>
          <w:sz w:val="18"/>
          <w:szCs w:val="18"/>
        </w:rPr>
        <w:t xml:space="preserve">. Los ejercicios previos están en </w:t>
      </w:r>
      <w:r>
        <w:rPr>
          <w:rFonts w:ascii="Consolas" w:cs="Consolas" w:eastAsia="Consolas" w:hAnsi="Consolas"/>
          <w:color w:val="7A1526"/>
          <w:sz w:val="16"/>
          <w:szCs w:val="16"/>
        </w:rPr>
        <w:t xml:space="preserve">evaluacion/drills.docx</w:t>
      </w:r>
      <w:r>
        <w:rPr>
          <w:rFonts w:ascii="Cambria" w:cs="Cambria" w:eastAsia="Cambria" w:hAnsi="Cambria"/>
          <w:color w:val="3A3A3A"/>
          <w:sz w:val="18"/>
          <w:szCs w:val="18"/>
        </w:rPr>
        <w:t xml:space="preserve">, el diccionario de variables en </w:t>
      </w:r>
      <w:r>
        <w:rPr>
          <w:rFonts w:ascii="Consolas" w:cs="Consolas" w:eastAsia="Consolas" w:hAnsi="Consolas"/>
          <w:color w:val="7A1526"/>
          <w:sz w:val="16"/>
          <w:szCs w:val="16"/>
        </w:rPr>
        <w:t xml:space="preserve">data/diccionario_datos.md</w:t>
      </w:r>
      <w:r>
        <w:rPr>
          <w:rFonts w:ascii="Cambria" w:cs="Cambria" w:eastAsia="Cambria" w:hAnsi="Cambria"/>
          <w:color w:val="3A3A3A"/>
          <w:sz w:val="18"/>
          <w:szCs w:val="18"/>
        </w:rPr>
        <w:t xml:space="preserve"> y las lecturas en la bibliografía de la sesión.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ENTREGABLE</w:t>
            </w:r>
          </w:p>
          <w:p>
            <w:pPr>
              <w:spacing w:line="280"/>
            </w:pPr>
            <w:r>
              <w:rPr>
                <w:rFonts w:ascii="Cambria" w:cs="Cambria" w:eastAsia="Cambria" w:hAnsi="Cambria"/>
                <w:color w:val="FFFFFF"/>
                <w:sz w:val="21"/>
                <w:szCs w:val="21"/>
              </w:rPr>
              <w:t xml:space="preserve">Ajustar e interpretar en odds ratio un modelo de regresión logística de churn, evaluarlo con matriz de confusión, curva ROC y AUC, elegir el umbral de decisión según el costo del error y convertirlo en una recomendación de retención accionable y honesta sobre sus límites.</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Contexto</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La tarea (seis puntos, en este orden)</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máx. 5 páginas + anexos</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Formato de entrega</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Rúbrica de evaluación</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vigesimal, total 20</w:t>
            </w:r>
          </w:p>
        </w:tc>
      </w:tr>
    </w:tbl>
    <w:p>
      <w:pPr>
        <w:spacing w:after="220"/>
      </w:pP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CONTEXTO</w:t>
      </w:r>
    </w:p>
    <w:p>
      <w:pPr>
        <w:keepNext/>
        <w:pBdr>
          <w:bottom w:val="single" w:color="E4002B" w:sz="14" w:space="8"/>
        </w:pBdr>
        <w:spacing w:after="140"/>
      </w:pPr>
      <w:r>
        <w:rPr>
          <w:rFonts w:ascii="Cambria" w:cs="Cambria" w:eastAsia="Cambria" w:hAnsi="Cambria"/>
          <w:i/>
          <w:iCs/>
          <w:color w:val="6E6E6E"/>
          <w:sz w:val="19"/>
          <w:szCs w:val="19"/>
        </w:rPr>
        <w:t xml:space="preserve">Telco Customer Churn (IBM) y el costo de equivocarse</w:t>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Una empresa de telecomunicaciones pierde clientes cada mes (</w:t>
      </w:r>
      <w:r>
        <w:rPr>
          <w:rFonts w:ascii="Cambria" w:cs="Cambria" w:eastAsia="Cambria" w:hAnsi="Cambria"/>
          <w:b/>
          <w:bCs/>
          <w:color w:val="2D2D2D"/>
          <w:sz w:val="20"/>
          <w:szCs w:val="20"/>
        </w:rPr>
        <w:t xml:space="preserve">churn</w:t>
      </w:r>
      <w:r>
        <w:rPr>
          <w:rFonts w:ascii="Cambria" w:cs="Cambria" w:eastAsia="Cambria" w:hAnsi="Cambria"/>
          <w:color w:val="2D2D2D"/>
          <w:sz w:val="20"/>
          <w:szCs w:val="20"/>
        </w:rPr>
        <w:t xml:space="preserve">). Retenerlos es menos costoso que captar nuevos, pero una campaña de retención cuesta dinero y no puede dirigirse a todos. El problema es doble: </w:t>
      </w:r>
      <w:r>
        <w:rPr>
          <w:rFonts w:ascii="Cambria" w:cs="Cambria" w:eastAsia="Cambria" w:hAnsi="Cambria"/>
          <w:b/>
          <w:bCs/>
          <w:color w:val="2D2D2D"/>
          <w:sz w:val="20"/>
          <w:szCs w:val="20"/>
        </w:rPr>
        <w:t xml:space="preserve">predecir</w:t>
      </w:r>
      <w:r>
        <w:rPr>
          <w:rFonts w:ascii="Cambria" w:cs="Cambria" w:eastAsia="Cambria" w:hAnsi="Cambria"/>
          <w:color w:val="2D2D2D"/>
          <w:sz w:val="20"/>
          <w:szCs w:val="20"/>
        </w:rPr>
        <w:t xml:space="preserve"> quién está en riesgo de fuga y </w:t>
      </w:r>
      <w:r>
        <w:rPr>
          <w:rFonts w:ascii="Cambria" w:cs="Cambria" w:eastAsia="Cambria" w:hAnsi="Cambria"/>
          <w:b/>
          <w:bCs/>
          <w:color w:val="2D2D2D"/>
          <w:sz w:val="20"/>
          <w:szCs w:val="20"/>
        </w:rPr>
        <w:t xml:space="preserve">decidir</w:t>
      </w:r>
      <w:r>
        <w:rPr>
          <w:rFonts w:ascii="Cambria" w:cs="Cambria" w:eastAsia="Cambria" w:hAnsi="Cambria"/>
          <w:color w:val="2D2D2D"/>
          <w:sz w:val="20"/>
          <w:szCs w:val="20"/>
        </w:rPr>
        <w:t xml:space="preserve"> a quién contactar dado el costo de equivocarse. Un modelo de regresión logística resuelve la primera parte (un </w:t>
      </w:r>
      <w:r>
        <w:rPr>
          <w:rFonts w:ascii="Cambria" w:cs="Cambria" w:eastAsia="Cambria" w:hAnsi="Cambria"/>
          <w:i/>
          <w:iCs/>
          <w:color w:val="2D2D2D"/>
          <w:sz w:val="20"/>
          <w:szCs w:val="20"/>
        </w:rPr>
        <w:t xml:space="preserve">score</w:t>
      </w:r>
      <w:r>
        <w:rPr>
          <w:rFonts w:ascii="Cambria" w:cs="Cambria" w:eastAsia="Cambria" w:hAnsi="Cambria"/>
          <w:color w:val="2D2D2D"/>
          <w:sz w:val="20"/>
          <w:szCs w:val="20"/>
        </w:rPr>
        <w:t xml:space="preserve"> de propensión a la fuga) y la elección del </w:t>
      </w:r>
      <w:r>
        <w:rPr>
          <w:rFonts w:ascii="Cambria" w:cs="Cambria" w:eastAsia="Cambria" w:hAnsi="Cambria"/>
          <w:b/>
          <w:bCs/>
          <w:color w:val="2D2D2D"/>
          <w:sz w:val="20"/>
          <w:szCs w:val="20"/>
        </w:rPr>
        <w:t xml:space="preserve">umbral según el costo del error</w:t>
      </w:r>
      <w:r>
        <w:rPr>
          <w:rFonts w:ascii="Cambria" w:cs="Cambria" w:eastAsia="Cambria" w:hAnsi="Cambria"/>
          <w:color w:val="2D2D2D"/>
          <w:sz w:val="20"/>
          <w:szCs w:val="20"/>
        </w:rPr>
        <w:t xml:space="preserve"> resuelve la segunda. El valor del trabajo no está en «entrenar un clasificador», sino en </w:t>
      </w:r>
      <w:r>
        <w:rPr>
          <w:rFonts w:ascii="Cambria" w:cs="Cambria" w:eastAsia="Cambria" w:hAnsi="Cambria"/>
          <w:b/>
          <w:bCs/>
          <w:color w:val="2D2D2D"/>
          <w:sz w:val="20"/>
          <w:szCs w:val="20"/>
        </w:rPr>
        <w:t xml:space="preserve">interpretar los coeficientes en odds ratio</w:t>
      </w:r>
      <w:r>
        <w:rPr>
          <w:rFonts w:ascii="Cambria" w:cs="Cambria" w:eastAsia="Cambria" w:hAnsi="Cambria"/>
          <w:color w:val="2D2D2D"/>
          <w:sz w:val="20"/>
          <w:szCs w:val="20"/>
        </w:rPr>
        <w:t xml:space="preserve"> para entender los factores de fuga, </w:t>
      </w:r>
      <w:r>
        <w:rPr>
          <w:rFonts w:ascii="Cambria" w:cs="Cambria" w:eastAsia="Cambria" w:hAnsi="Cambria"/>
          <w:b/>
          <w:bCs/>
          <w:color w:val="2D2D2D"/>
          <w:sz w:val="20"/>
          <w:szCs w:val="20"/>
        </w:rPr>
        <w:t xml:space="preserve">evaluar el clasificador</w:t>
      </w:r>
      <w:r>
        <w:rPr>
          <w:rFonts w:ascii="Cambria" w:cs="Cambria" w:eastAsia="Cambria" w:hAnsi="Cambria"/>
          <w:color w:val="2D2D2D"/>
          <w:sz w:val="20"/>
          <w:szCs w:val="20"/>
        </w:rPr>
        <w:t xml:space="preserve"> con las herramientas correctas (matriz de confusión, ROC, AUC) y </w:t>
      </w:r>
      <w:r>
        <w:rPr>
          <w:rFonts w:ascii="Cambria" w:cs="Cambria" w:eastAsia="Cambria" w:hAnsi="Cambria"/>
          <w:b/>
          <w:bCs/>
          <w:color w:val="2D2D2D"/>
          <w:sz w:val="20"/>
          <w:szCs w:val="20"/>
        </w:rPr>
        <w:t xml:space="preserve">traducir el score en una política de retención</w:t>
      </w:r>
      <w:r>
        <w:rPr>
          <w:rFonts w:ascii="Cambria" w:cs="Cambria" w:eastAsia="Cambria" w:hAnsi="Cambria"/>
          <w:color w:val="2D2D2D"/>
          <w:sz w:val="20"/>
          <w:szCs w:val="20"/>
        </w:rPr>
        <w:t xml:space="preserve"> justificada por costos. Este entregable recorre ese ciclo sobre el dataset </w:t>
      </w:r>
      <w:r>
        <w:rPr>
          <w:rFonts w:ascii="Cambria" w:cs="Cambria" w:eastAsia="Cambria" w:hAnsi="Cambria"/>
          <w:b/>
          <w:bCs/>
          <w:color w:val="2D2D2D"/>
          <w:sz w:val="20"/>
          <w:szCs w:val="20"/>
        </w:rPr>
        <w:t xml:space="preserve">Telco Customer </w:t>
      </w:r>
      <w:r>
        <w:rPr>
          <w:rFonts w:ascii="Consolas" w:cs="Consolas" w:eastAsia="Consolas" w:hAnsi="Consolas"/>
          <w:b/>
          <w:bCs/>
          <w:color w:val="7A1526"/>
          <w:sz w:val="18"/>
          <w:szCs w:val="18"/>
        </w:rPr>
        <w:t xml:space="preserve">Churn</w:t>
      </w:r>
      <w:r>
        <w:rPr>
          <w:rFonts w:ascii="Cambria" w:cs="Cambria" w:eastAsia="Cambria" w:hAnsi="Cambria"/>
          <w:color w:val="2D2D2D"/>
          <w:sz w:val="20"/>
          <w:szCs w:val="20"/>
        </w:rPr>
        <w:t xml:space="preserve"> (IBM, 7 043 clientes, 21 variables; ≈ 26.6 % de fuga sobre las 7 032 filas del modelo, tras limpiar los 11 NaN).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Modelar e interpretar:</w:t>
            </w:r>
            <w:r>
              <w:rPr>
                <w:rFonts w:ascii="Cambria" w:cs="Cambria" w:eastAsia="Cambria" w:hAnsi="Cambria"/>
                <w:color w:val="2D2D2D"/>
                <w:sz w:val="19"/>
                <w:szCs w:val="19"/>
              </w:rPr>
              <w:t xml:space="preserve"> ajustar la logística, convertir los coeficientes a </w:t>
            </w:r>
            <w:r>
              <w:rPr>
                <w:rFonts w:ascii="Cambria" w:cs="Cambria" w:eastAsia="Cambria" w:hAnsi="Cambria"/>
                <w:b/>
                <w:bCs/>
                <w:color w:val="2D2D2D"/>
                <w:sz w:val="19"/>
                <w:szCs w:val="19"/>
              </w:rPr>
              <w:t xml:space="preserve">odds ratio</w:t>
            </w:r>
            <w:r>
              <w:rPr>
                <w:rFonts w:ascii="Cambria" w:cs="Cambria" w:eastAsia="Cambria" w:hAnsi="Cambria"/>
                <w:color w:val="2D2D2D"/>
                <w:sz w:val="19"/>
                <w:szCs w:val="19"/>
              </w:rPr>
              <w:t xml:space="preserve"> y leer los factores de fuga (contrato, antigüedad, tipo de servicio de internet, cargos) en lenguaje de negocio.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Evaluar y decidir:</w:t>
            </w:r>
            <w:r>
              <w:rPr>
                <w:rFonts w:ascii="Cambria" w:cs="Cambria" w:eastAsia="Cambria" w:hAnsi="Cambria"/>
                <w:color w:val="2D2D2D"/>
                <w:sz w:val="19"/>
                <w:szCs w:val="19"/>
              </w:rPr>
              <w:t xml:space="preserve"> matriz de confusión, curva </w:t>
            </w:r>
            <w:r>
              <w:rPr>
                <w:rFonts w:ascii="Cambria" w:cs="Cambria" w:eastAsia="Cambria" w:hAnsi="Cambria"/>
                <w:b/>
                <w:bCs/>
                <w:color w:val="2D2D2D"/>
                <w:sz w:val="19"/>
                <w:szCs w:val="19"/>
              </w:rPr>
              <w:t xml:space="preserve">ROC</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AUC</w:t>
            </w:r>
            <w:r>
              <w:rPr>
                <w:rFonts w:ascii="Cambria" w:cs="Cambria" w:eastAsia="Cambria" w:hAnsi="Cambria"/>
                <w:color w:val="2D2D2D"/>
                <w:sz w:val="19"/>
                <w:szCs w:val="19"/>
              </w:rPr>
              <w:t xml:space="preserve">; barrer el </w:t>
            </w:r>
            <w:r>
              <w:rPr>
                <w:rFonts w:ascii="Cambria" w:cs="Cambria" w:eastAsia="Cambria" w:hAnsi="Cambria"/>
                <w:b/>
                <w:bCs/>
                <w:color w:val="2D2D2D"/>
                <w:sz w:val="19"/>
                <w:szCs w:val="19"/>
              </w:rPr>
              <w:t xml:space="preserve">umbral</w:t>
            </w:r>
            <w:r>
              <w:rPr>
                <w:rFonts w:ascii="Cambria" w:cs="Cambria" w:eastAsia="Cambria" w:hAnsi="Cambria"/>
                <w:color w:val="2D2D2D"/>
                <w:sz w:val="19"/>
                <w:szCs w:val="19"/>
              </w:rPr>
              <w:t xml:space="preserve"> y elegir el que minimiza el </w:t>
            </w:r>
            <w:r>
              <w:rPr>
                <w:rFonts w:ascii="Cambria" w:cs="Cambria" w:eastAsia="Cambria" w:hAnsi="Cambria"/>
                <w:b/>
                <w:bCs/>
                <w:color w:val="2D2D2D"/>
                <w:sz w:val="19"/>
                <w:szCs w:val="19"/>
              </w:rPr>
              <w:t xml:space="preserve">costo esperado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C_FN</w:t>
            </w:r>
            <w:r>
              <w:rPr>
                <w:rFonts w:ascii="Cambria" w:cs="Cambria" w:eastAsia="Cambria" w:hAnsi="Cambria"/>
                <w:color w:val="2D2D2D"/>
                <w:sz w:val="19"/>
                <w:szCs w:val="19"/>
              </w:rPr>
              <w:t xml:space="preserve"> vs. </w:t>
            </w:r>
            <w:r>
              <w:rPr>
                <w:rFonts w:ascii="Consolas" w:cs="Consolas" w:eastAsia="Consolas" w:hAnsi="Consolas"/>
                <w:color w:val="7A1526"/>
                <w:sz w:val="17"/>
                <w:szCs w:val="17"/>
              </w:rPr>
              <w:t xml:space="preserve">C_FP</w:t>
            </w:r>
            <w:r>
              <w:rPr>
                <w:rFonts w:ascii="Cambria" w:cs="Cambria" w:eastAsia="Cambria" w:hAnsi="Cambria"/>
                <w:color w:val="2D2D2D"/>
                <w:sz w:val="19"/>
                <w:szCs w:val="19"/>
              </w:rPr>
              <w:t xml:space="preserve">), no la exactitud; cerrar con una </w:t>
            </w:r>
            <w:r>
              <w:rPr>
                <w:rFonts w:ascii="Cambria" w:cs="Cambria" w:eastAsia="Cambria" w:hAnsi="Cambria"/>
                <w:b/>
                <w:bCs/>
                <w:color w:val="2D2D2D"/>
                <w:sz w:val="19"/>
                <w:szCs w:val="19"/>
              </w:rPr>
              <w:t xml:space="preserve">recomendación de retención</w:t>
            </w:r>
            <w:r>
              <w:rPr>
                <w:rFonts w:ascii="Cambria" w:cs="Cambria" w:eastAsia="Cambria" w:hAnsi="Cambria"/>
                <w:color w:val="2D2D2D"/>
                <w:sz w:val="19"/>
                <w:szCs w:val="19"/>
              </w:rPr>
              <w:t xml:space="preserve">.</w:t>
            </w:r>
          </w:p>
        </w:tc>
      </w:tr>
    </w:tbl>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TAREA</w:t>
      </w:r>
    </w:p>
    <w:p>
      <w:pPr>
        <w:keepNext/>
        <w:pBdr>
          <w:bottom w:val="single" w:color="E4002B" w:sz="14" w:space="8"/>
        </w:pBdr>
        <w:spacing w:after="140"/>
      </w:pPr>
      <w:r>
        <w:rPr>
          <w:rFonts w:ascii="Cambria" w:cs="Cambria" w:eastAsia="Cambria" w:hAnsi="Cambria"/>
          <w:i/>
          <w:iCs/>
          <w:color w:val="6E6E6E"/>
          <w:sz w:val="19"/>
          <w:szCs w:val="19"/>
        </w:rPr>
        <w:t xml:space="preserve">Preparar, ajustar, interpretar, evaluar, fijar el umbral y recomendar — informe máx. 5 páginas + anexos</w:t>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Elaborar un informe (máx. 5 páginas + anexos del cuaderno) sobre el modelo logístico de churn de Telco, que contenga, en este orden:</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Preparación de los datos (Telco)</w:t>
            </w:r>
          </w:p>
          <w:p>
            <w:pPr>
              <w:spacing w:after="70" w:line="265"/>
            </w:pPr>
            <w:r>
              <w:rPr>
                <w:rFonts w:ascii="Cambria" w:cs="Cambria" w:eastAsia="Cambria" w:hAnsi="Cambria"/>
                <w:color w:val="3A3A3A"/>
                <w:sz w:val="18"/>
                <w:szCs w:val="18"/>
              </w:rPr>
              <w:t xml:space="preserve">Cargar el dataset, convertir </w:t>
            </w:r>
            <w:r>
              <w:rPr>
                <w:rFonts w:ascii="Consolas" w:cs="Consolas" w:eastAsia="Consolas" w:hAnsi="Consolas"/>
                <w:color w:val="7A1526"/>
                <w:sz w:val="16"/>
                <w:szCs w:val="16"/>
              </w:rPr>
              <w:t xml:space="preserve">TotalCharges</w:t>
            </w:r>
            <w:r>
              <w:rPr>
                <w:rFonts w:ascii="Cambria" w:cs="Cambria" w:eastAsia="Cambria" w:hAnsi="Cambria"/>
                <w:color w:val="3A3A3A"/>
                <w:sz w:val="18"/>
                <w:szCs w:val="18"/>
              </w:rPr>
              <w:t xml:space="preserve"> a numérico y </w:t>
            </w:r>
            <w:r>
              <w:rPr>
                <w:rFonts w:ascii="Cambria" w:cs="Cambria" w:eastAsia="Cambria" w:hAnsi="Cambria"/>
                <w:b/>
                <w:bCs/>
                <w:color w:val="3A3A3A"/>
                <w:sz w:val="18"/>
                <w:szCs w:val="18"/>
              </w:rPr>
              <w:t xml:space="preserve">tratar los NaN</w:t>
            </w:r>
            <w:r>
              <w:rPr>
                <w:rFonts w:ascii="Cambria" w:cs="Cambria" w:eastAsia="Cambria" w:hAnsi="Cambria"/>
                <w:color w:val="3A3A3A"/>
                <w:sz w:val="18"/>
                <w:szCs w:val="18"/>
              </w:rPr>
              <w:t xml:space="preserve"> (las ≈ 11 celdas en blanco de clientes con </w:t>
            </w:r>
            <w:r>
              <w:rPr>
                <w:rFonts w:ascii="Consolas" w:cs="Consolas" w:eastAsia="Consolas" w:hAnsi="Consolas"/>
                <w:color w:val="7A1526"/>
                <w:sz w:val="16"/>
                <w:szCs w:val="16"/>
              </w:rPr>
              <w:t xml:space="preserve">tenure</w:t>
            </w:r>
            <w:r>
              <w:rPr>
                <w:rFonts w:ascii="Cambria" w:cs="Cambria" w:eastAsia="Cambria" w:hAnsi="Cambria"/>
                <w:color w:val="3A3A3A"/>
                <w:sz w:val="18"/>
                <w:szCs w:val="18"/>
              </w:rPr>
              <w:t xml:space="preserve"> = 0), mapear </w:t>
            </w:r>
            <w:r>
              <w:rPr>
                <w:rFonts w:ascii="Consolas" w:cs="Consolas" w:eastAsia="Consolas" w:hAnsi="Consolas"/>
                <w:color w:val="7A1526"/>
                <w:sz w:val="16"/>
                <w:szCs w:val="16"/>
              </w:rPr>
              <w:t xml:space="preserve">Churn</w:t>
            </w:r>
            <w:r>
              <w:rPr>
                <w:rFonts w:ascii="Cambria" w:cs="Cambria" w:eastAsia="Cambria" w:hAnsi="Cambria"/>
                <w:color w:val="3A3A3A"/>
                <w:sz w:val="18"/>
                <w:szCs w:val="18"/>
              </w:rPr>
              <w:t xml:space="preserve"> a 1/0, </w:t>
            </w:r>
            <w:r>
              <w:rPr>
                <w:rFonts w:ascii="Cambria" w:cs="Cambria" w:eastAsia="Cambria" w:hAnsi="Cambria"/>
                <w:b/>
                <w:bCs/>
                <w:color w:val="3A3A3A"/>
                <w:sz w:val="18"/>
                <w:szCs w:val="18"/>
              </w:rPr>
              <w:t xml:space="preserve">descartar </w:t>
            </w:r>
            <w:r>
              <w:rPr>
                <w:rFonts w:ascii="Consolas" w:cs="Consolas" w:eastAsia="Consolas" w:hAnsi="Consolas"/>
                <w:b/>
                <w:bCs/>
                <w:color w:val="7A1526"/>
                <w:sz w:val="16"/>
                <w:szCs w:val="16"/>
              </w:rPr>
              <w:t xml:space="preserve">customerID</w:t>
            </w:r>
            <w:r>
              <w:rPr>
                <w:rFonts w:ascii="Cambria" w:cs="Cambria" w:eastAsia="Cambria" w:hAnsi="Cambria"/>
                <w:color w:val="3A3A3A"/>
                <w:sz w:val="18"/>
                <w:szCs w:val="18"/>
              </w:rPr>
              <w:t xml:space="preserve">, codificar las variables categóricas (one-hot, </w:t>
            </w:r>
            <w:r>
              <w:rPr>
                <w:rFonts w:ascii="Consolas" w:cs="Consolas" w:eastAsia="Consolas" w:hAnsi="Consolas"/>
                <w:color w:val="7A1526"/>
                <w:sz w:val="16"/>
                <w:szCs w:val="16"/>
              </w:rPr>
              <w:t xml:space="preserve">drop_first</w:t>
            </w:r>
            <w:r>
              <w:rPr>
                <w:rFonts w:ascii="Cambria" w:cs="Cambria" w:eastAsia="Cambria" w:hAnsi="Cambria"/>
                <w:color w:val="3A3A3A"/>
                <w:sz w:val="18"/>
                <w:szCs w:val="18"/>
              </w:rPr>
              <w:t xml:space="preserve">=True) y </w:t>
            </w:r>
            <w:r>
              <w:rPr>
                <w:rFonts w:ascii="Cambria" w:cs="Cambria" w:eastAsia="Cambria" w:hAnsi="Cambria"/>
                <w:b/>
                <w:bCs/>
                <w:color w:val="3A3A3A"/>
                <w:sz w:val="18"/>
                <w:szCs w:val="18"/>
              </w:rPr>
              <w:t xml:space="preserve">escalar</w:t>
            </w:r>
            <w:r>
              <w:rPr>
                <w:rFonts w:ascii="Cambria" w:cs="Cambria" w:eastAsia="Cambria" w:hAnsi="Cambria"/>
                <w:color w:val="3A3A3A"/>
                <w:sz w:val="18"/>
                <w:szCs w:val="18"/>
              </w:rPr>
              <w:t xml:space="preserve"> las numéricas. Partir en entrenamiento/prueba </w:t>
            </w:r>
            <w:r>
              <w:rPr>
                <w:rFonts w:ascii="Cambria" w:cs="Cambria" w:eastAsia="Cambria" w:hAnsi="Cambria"/>
                <w:b/>
                <w:bCs/>
                <w:color w:val="3A3A3A"/>
                <w:sz w:val="18"/>
                <w:szCs w:val="18"/>
              </w:rPr>
              <w:t xml:space="preserve">estratificado</w:t>
            </w:r>
            <w:r>
              <w:rPr>
                <w:rFonts w:ascii="Cambria" w:cs="Cambria" w:eastAsia="Cambria" w:hAnsi="Cambria"/>
                <w:color w:val="3A3A3A"/>
                <w:sz w:val="18"/>
                <w:szCs w:val="18"/>
              </w:rPr>
              <w:t xml:space="preserve"> 80/20 (</w:t>
            </w:r>
            <w:r>
              <w:rPr>
                <w:rFonts w:ascii="Consolas" w:cs="Consolas" w:eastAsia="Consolas" w:hAnsi="Consolas"/>
                <w:color w:val="7A1526"/>
                <w:sz w:val="16"/>
                <w:szCs w:val="16"/>
              </w:rPr>
              <w:t xml:space="preserve">random_state</w:t>
            </w:r>
            <w:r>
              <w:rPr>
                <w:rFonts w:ascii="Cambria" w:cs="Cambria" w:eastAsia="Cambria" w:hAnsi="Cambria"/>
                <w:color w:val="3A3A3A"/>
                <w:sz w:val="18"/>
                <w:szCs w:val="18"/>
              </w:rPr>
              <w:t xml:space="preserve">=42). Reportar la forma de las matrices y la </w:t>
            </w:r>
            <w:r>
              <w:rPr>
                <w:rFonts w:ascii="Cambria" w:cs="Cambria" w:eastAsia="Cambria" w:hAnsi="Cambria"/>
                <w:b/>
                <w:bCs/>
                <w:color w:val="3A3A3A"/>
                <w:sz w:val="18"/>
                <w:szCs w:val="18"/>
              </w:rPr>
              <w:t xml:space="preserve">proporción de fuga</w:t>
            </w:r>
            <w:r>
              <w:rPr>
                <w:rFonts w:ascii="Cambria" w:cs="Cambria" w:eastAsia="Cambria" w:hAnsi="Cambria"/>
                <w:color w:val="3A3A3A"/>
                <w:sz w:val="18"/>
                <w:szCs w:val="18"/>
              </w:rPr>
              <w:t xml:space="preserve"> en cada partición.</w:t>
            </w:r>
          </w:p>
          <w:p>
            <w:pPr>
              <w:spacing w:after="70" w:line="265"/>
            </w:pPr>
            <w:r>
              <w:rPr>
                <w:rFonts w:ascii="Cambria" w:cs="Cambria" w:eastAsia="Cambria" w:hAnsi="Cambria"/>
                <w:i/>
                <w:iCs/>
                <w:color w:val="3A3A3A"/>
                <w:sz w:val="18"/>
                <w:szCs w:val="18"/>
              </w:rPr>
              <w:t xml:space="preserve">(Advertencia: no dejar </w:t>
            </w:r>
            <w:r>
              <w:rPr>
                <w:rFonts w:ascii="Consolas" w:cs="Consolas" w:eastAsia="Consolas" w:hAnsi="Consolas"/>
                <w:i/>
                <w:iCs/>
                <w:color w:val="7A1526"/>
                <w:sz w:val="16"/>
                <w:szCs w:val="16"/>
              </w:rPr>
              <w:t xml:space="preserve">customerID</w:t>
            </w:r>
            <w:r>
              <w:rPr>
                <w:rFonts w:ascii="Cambria" w:cs="Cambria" w:eastAsia="Cambria" w:hAnsi="Cambria"/>
                <w:i/>
                <w:iCs/>
                <w:color w:val="3A3A3A"/>
                <w:sz w:val="18"/>
                <w:szCs w:val="18"/>
              </w:rPr>
              <w:t xml:space="preserve"> como predictor; no olvidar la estratificación con clase minoritaria.)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2.2   </w:t>
            </w:r>
            <w:r>
              <w:rPr>
                <w:rFonts w:ascii="Calibri" w:cs="Calibri" w:eastAsia="Calibri" w:hAnsi="Calibri"/>
                <w:b/>
                <w:bCs/>
                <w:color w:val="7A1526"/>
                <w:sz w:val="19"/>
                <w:szCs w:val="19"/>
              </w:rPr>
              <w:t xml:space="preserve">Ajuste del modelo logístico</w:t>
            </w:r>
          </w:p>
          <w:p>
            <w:pPr>
              <w:spacing w:after="70" w:line="265"/>
            </w:pPr>
            <w:r>
              <w:rPr>
                <w:rFonts w:ascii="Cambria" w:cs="Cambria" w:eastAsia="Cambria" w:hAnsi="Cambria"/>
                <w:color w:val="3A3A3A"/>
                <w:sz w:val="18"/>
                <w:szCs w:val="18"/>
              </w:rPr>
              <w:t xml:space="preserve">Entrenar </w:t>
            </w:r>
            <w:r>
              <w:rPr>
                <w:rFonts w:ascii="Consolas" w:cs="Consolas" w:eastAsia="Consolas" w:hAnsi="Consolas"/>
                <w:color w:val="7A1526"/>
                <w:sz w:val="16"/>
                <w:szCs w:val="16"/>
              </w:rPr>
              <w:t xml:space="preserve">LogisticRegression</w:t>
            </w:r>
            <w:r>
              <w:rPr>
                <w:rFonts w:ascii="Cambria" w:cs="Cambria" w:eastAsia="Cambria" w:hAnsi="Cambria"/>
                <w:color w:val="3A3A3A"/>
                <w:sz w:val="18"/>
                <w:szCs w:val="18"/>
              </w:rPr>
              <w:t xml:space="preserve"> (regularización L2 por defecto, C = 1.0) sobre el conjunto de entrenamiento. Reportar que converge.</w:t>
            </w:r>
          </w:p>
          <w:p>
            <w:pPr>
              <w:spacing w:after="70" w:line="265"/>
            </w:pPr>
            <w:r>
              <w:rPr>
                <w:rFonts w:ascii="Cambria" w:cs="Cambria" w:eastAsia="Cambria" w:hAnsi="Cambria"/>
                <w:i/>
                <w:iCs/>
                <w:color w:val="3A3A3A"/>
                <w:sz w:val="18"/>
                <w:szCs w:val="18"/>
              </w:rPr>
              <w:t xml:space="preserve">(La regularización L1/L2 retoma S05; los coeficientes quedan</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contraídos hacia cero</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por lo que sus OR son para predecir, no estimaciones «puras» del efecto.)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2.3   </w:t>
            </w:r>
            <w:r>
              <w:rPr>
                <w:rFonts w:ascii="Calibri" w:cs="Calibri" w:eastAsia="Calibri" w:hAnsi="Calibri"/>
                <w:b/>
                <w:bCs/>
                <w:color w:val="7A1526"/>
                <w:sz w:val="19"/>
                <w:szCs w:val="19"/>
              </w:rPr>
              <w:t xml:space="preserve">Interpretación de coeficientes en odds ratio</w:t>
            </w:r>
          </w:p>
          <w:p>
            <w:pPr>
              <w:spacing w:after="70" w:line="265"/>
            </w:pPr>
            <w:r>
              <w:rPr>
                <w:rFonts w:ascii="Cambria" w:cs="Cambria" w:eastAsia="Cambria" w:hAnsi="Cambria"/>
                <w:color w:val="3A3A3A"/>
                <w:sz w:val="18"/>
                <w:szCs w:val="18"/>
              </w:rPr>
              <w:t xml:space="preserve">Convertir los coeficientes a </w:t>
            </w:r>
            <w:r>
              <w:rPr>
                <w:rFonts w:ascii="Cambria" w:cs="Cambria" w:eastAsia="Cambria" w:hAnsi="Cambria"/>
                <w:b/>
                <w:bCs/>
                <w:color w:val="3A3A3A"/>
                <w:sz w:val="18"/>
                <w:szCs w:val="18"/>
              </w:rPr>
              <w:t xml:space="preserve">odds ratio</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exp(β)</w:t>
            </w:r>
            <w:r>
              <w:rPr>
                <w:rFonts w:ascii="Cambria" w:cs="Cambria" w:eastAsia="Cambria" w:hAnsi="Cambria"/>
                <w:color w:val="3A3A3A"/>
                <w:sz w:val="18"/>
                <w:szCs w:val="18"/>
              </w:rPr>
              <w:t xml:space="preserve">) y presentar los más relevantes: </w:t>
            </w:r>
            <w:r>
              <w:rPr>
                <w:rFonts w:ascii="Consolas" w:cs="Consolas" w:eastAsia="Consolas" w:hAnsi="Consolas"/>
                <w:b/>
                <w:bCs/>
                <w:color w:val="7A1526"/>
                <w:sz w:val="16"/>
                <w:szCs w:val="16"/>
              </w:rPr>
              <w:t xml:space="preserve">Contract</w:t>
            </w:r>
            <w:r>
              <w:rPr>
                <w:rFonts w:ascii="Cambria" w:cs="Cambria" w:eastAsia="Cambria" w:hAnsi="Cambria"/>
                <w:color w:val="3A3A3A"/>
                <w:sz w:val="18"/>
                <w:szCs w:val="18"/>
              </w:rPr>
              <w:t xml:space="preserve"> (mensual vs. anual vs. bianual), </w:t>
            </w:r>
            <w:r>
              <w:rPr>
                <w:rFonts w:ascii="Consolas" w:cs="Consolas" w:eastAsia="Consolas" w:hAnsi="Consolas"/>
                <w:b/>
                <w:bCs/>
                <w:color w:val="7A1526"/>
                <w:sz w:val="16"/>
                <w:szCs w:val="16"/>
              </w:rPr>
              <w:t xml:space="preserve">tenure</w:t>
            </w:r>
            <w:r>
              <w:rPr>
                <w:rFonts w:ascii="Cambria" w:cs="Cambria" w:eastAsia="Cambria" w:hAnsi="Cambria"/>
                <w:color w:val="3A3A3A"/>
                <w:sz w:val="18"/>
                <w:szCs w:val="18"/>
              </w:rPr>
              <w:t xml:space="preserve"> (antigüedad), </w:t>
            </w:r>
            <w:r>
              <w:rPr>
                <w:rFonts w:ascii="Consolas" w:cs="Consolas" w:eastAsia="Consolas" w:hAnsi="Consolas"/>
                <w:b/>
                <w:bCs/>
                <w:color w:val="7A1526"/>
                <w:sz w:val="16"/>
                <w:szCs w:val="16"/>
              </w:rPr>
              <w:t xml:space="preserve">InternetService</w:t>
            </w:r>
            <w:r>
              <w:rPr>
                <w:rFonts w:ascii="Cambria" w:cs="Cambria" w:eastAsia="Cambria" w:hAnsi="Cambria"/>
                <w:color w:val="3A3A3A"/>
                <w:sz w:val="18"/>
                <w:szCs w:val="18"/>
              </w:rPr>
              <w:t xml:space="preserve"> (fibra óptica vs. DSL vs. sin servicio) y </w:t>
            </w:r>
            <w:r>
              <w:rPr>
                <w:rFonts w:ascii="Consolas" w:cs="Consolas" w:eastAsia="Consolas" w:hAnsi="Consolas"/>
                <w:b/>
                <w:bCs/>
                <w:color w:val="7A1526"/>
                <w:sz w:val="16"/>
                <w:szCs w:val="16"/>
              </w:rPr>
              <w:t xml:space="preserve">MonthlyCharges</w:t>
            </w:r>
            <w:r>
              <w:rPr>
                <w:rFonts w:ascii="Cambria" w:cs="Cambria" w:eastAsia="Cambria" w:hAnsi="Cambria"/>
                <w:color w:val="3A3A3A"/>
                <w:sz w:val="18"/>
                <w:szCs w:val="18"/>
              </w:rPr>
              <w:t xml:space="preserve">. Para cada uno escribir una </w:t>
            </w:r>
            <w:r>
              <w:rPr>
                <w:rFonts w:ascii="Cambria" w:cs="Cambria" w:eastAsia="Cambria" w:hAnsi="Cambria"/>
                <w:b/>
                <w:bCs/>
                <w:color w:val="3A3A3A"/>
                <w:sz w:val="18"/>
                <w:szCs w:val="18"/>
              </w:rPr>
              <w:t xml:space="preserve">frase de negocio</w:t>
            </w:r>
            <w:r>
              <w:rPr>
                <w:rFonts w:ascii="Cambria" w:cs="Cambria" w:eastAsia="Cambria" w:hAnsi="Cambria"/>
                <w:color w:val="3A3A3A"/>
                <w:sz w:val="18"/>
                <w:szCs w:val="18"/>
              </w:rPr>
              <w:t xml:space="preserve"> («un contrato bianual multiplica por … los odds de fuga frente al mensual») y señalar factores de </w:t>
            </w:r>
            <w:r>
              <w:rPr>
                <w:rFonts w:ascii="Cambria" w:cs="Cambria" w:eastAsia="Cambria" w:hAnsi="Cambria"/>
                <w:b/>
                <w:bCs/>
                <w:color w:val="3A3A3A"/>
                <w:sz w:val="18"/>
                <w:szCs w:val="18"/>
              </w:rPr>
              <w:t xml:space="preserve">riesgo</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OR &gt; 1</w:t>
            </w:r>
            <w:r>
              <w:rPr>
                <w:rFonts w:ascii="Cambria" w:cs="Cambria" w:eastAsia="Cambria" w:hAnsi="Cambria"/>
                <w:color w:val="3A3A3A"/>
                <w:sz w:val="18"/>
                <w:szCs w:val="18"/>
              </w:rPr>
              <w:t xml:space="preserve">) y </w:t>
            </w:r>
            <w:r>
              <w:rPr>
                <w:rFonts w:ascii="Cambria" w:cs="Cambria" w:eastAsia="Cambria" w:hAnsi="Cambria"/>
                <w:b/>
                <w:bCs/>
                <w:color w:val="3A3A3A"/>
                <w:sz w:val="18"/>
                <w:szCs w:val="18"/>
              </w:rPr>
              <w:t xml:space="preserve">protectores</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OR &lt; 1</w:t>
            </w:r>
            <w:r>
              <w:rPr>
                <w:rFonts w:ascii="Cambria" w:cs="Cambria" w:eastAsia="Cambria" w:hAnsi="Cambria"/>
                <w:color w:val="3A3A3A"/>
                <w:sz w:val="18"/>
                <w:szCs w:val="18"/>
              </w:rPr>
              <w:t xml:space="preserve">). Materializar en </w:t>
            </w:r>
            <w:r>
              <w:rPr>
                <w:rFonts w:ascii="Consolas" w:cs="Consolas" w:eastAsia="Consolas" w:hAnsi="Consolas"/>
                <w:color w:val="7A1526"/>
                <w:sz w:val="16"/>
                <w:szCs w:val="16"/>
              </w:rPr>
              <w:t xml:space="preserve">plantillas/guia_odds_ratio.docx</w:t>
            </w:r>
            <w:r>
              <w:rPr>
                <w:rFonts w:ascii="Cambria" w:cs="Cambria" w:eastAsia="Cambria" w:hAnsi="Cambria"/>
                <w:color w:val="3A3A3A"/>
                <w:sz w:val="18"/>
                <w:szCs w:val="18"/>
              </w:rPr>
              <w:t xml:space="preserve">.</w:t>
            </w:r>
          </w:p>
          <w:p>
            <w:pPr>
              <w:spacing w:after="70" w:line="265"/>
            </w:pPr>
            <w:r>
              <w:rPr>
                <w:rFonts w:ascii="Cambria" w:cs="Cambria" w:eastAsia="Cambria" w:hAnsi="Cambria"/>
                <w:color w:val="3A3A3A"/>
                <w:sz w:val="18"/>
                <w:szCs w:val="18"/>
              </w:rPr>
              <w:t xml:space="preserve">Antes de interpretar, </w:t>
            </w:r>
            <w:r>
              <w:rPr>
                <w:rFonts w:ascii="Cambria" w:cs="Cambria" w:eastAsia="Cambria" w:hAnsi="Cambria"/>
                <w:b/>
                <w:bCs/>
                <w:color w:val="3A3A3A"/>
                <w:sz w:val="18"/>
                <w:szCs w:val="18"/>
              </w:rPr>
              <w:t xml:space="preserve">reportar y diagnosticar al menos un supuesto del modelo</w:t>
            </w:r>
            <w:r>
              <w:rPr>
                <w:rFonts w:ascii="Cambria" w:cs="Cambria" w:eastAsia="Cambria" w:hAnsi="Cambria"/>
                <w:color w:val="3A3A3A"/>
                <w:sz w:val="18"/>
                <w:szCs w:val="18"/>
              </w:rPr>
              <w:t xml:space="preserve"> (p. ej. linealidad en el logit, multicolinealidad/VIF o separación): explicar </w:t>
            </w:r>
            <w:r>
              <w:rPr>
                <w:rFonts w:ascii="Cambria" w:cs="Cambria" w:eastAsia="Cambria" w:hAnsi="Cambria"/>
                <w:b/>
                <w:bCs/>
                <w:color w:val="3A3A3A"/>
                <w:sz w:val="18"/>
                <w:szCs w:val="18"/>
              </w:rPr>
              <w:t xml:space="preserve">cómo se identifica</w:t>
            </w:r>
            <w:r>
              <w:rPr>
                <w:rFonts w:ascii="Cambria" w:cs="Cambria" w:eastAsia="Cambria" w:hAnsi="Cambria"/>
                <w:color w:val="3A3A3A"/>
                <w:sz w:val="18"/>
                <w:szCs w:val="18"/>
              </w:rPr>
              <w:t xml:space="preserve"> y </w:t>
            </w:r>
            <w:r>
              <w:rPr>
                <w:rFonts w:ascii="Cambria" w:cs="Cambria" w:eastAsia="Cambria" w:hAnsi="Cambria"/>
                <w:b/>
                <w:bCs/>
                <w:color w:val="3A3A3A"/>
                <w:sz w:val="18"/>
                <w:szCs w:val="18"/>
              </w:rPr>
              <w:t xml:space="preserve">cómo se corregiría</w:t>
            </w:r>
            <w:r>
              <w:rPr>
                <w:rFonts w:ascii="Cambria" w:cs="Cambria" w:eastAsia="Cambria" w:hAnsi="Cambria"/>
                <w:color w:val="3A3A3A"/>
                <w:sz w:val="18"/>
                <w:szCs w:val="18"/>
              </w:rPr>
              <w:t xml:space="preserve">, según la guía de supuestos de la sesión.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2.4   </w:t>
            </w:r>
            <w:r>
              <w:rPr>
                <w:rFonts w:ascii="Calibri" w:cs="Calibri" w:eastAsia="Calibri" w:hAnsi="Calibri"/>
                <w:b/>
                <w:bCs/>
                <w:color w:val="7A1526"/>
                <w:sz w:val="19"/>
                <w:szCs w:val="19"/>
              </w:rPr>
              <w:t xml:space="preserve">Evaluación del clasificador: matriz de confusión + ROC + AUC</w:t>
            </w:r>
          </w:p>
          <w:p>
            <w:pPr>
              <w:spacing w:after="70" w:line="265"/>
            </w:pPr>
            <w:r>
              <w:rPr>
                <w:rFonts w:ascii="Cambria" w:cs="Cambria" w:eastAsia="Cambria" w:hAnsi="Cambria"/>
                <w:color w:val="3A3A3A"/>
                <w:sz w:val="18"/>
                <w:szCs w:val="18"/>
              </w:rPr>
              <w:t xml:space="preserve">Predecir probabilidades en el conjunto de </w:t>
            </w:r>
            <w:r>
              <w:rPr>
                <w:rFonts w:ascii="Cambria" w:cs="Cambria" w:eastAsia="Cambria" w:hAnsi="Cambria"/>
                <w:b/>
                <w:bCs/>
                <w:color w:val="3A3A3A"/>
                <w:sz w:val="18"/>
                <w:szCs w:val="18"/>
              </w:rPr>
              <w:t xml:space="preserve">prueba</w:t>
            </w:r>
            <w:r>
              <w:rPr>
                <w:rFonts w:ascii="Cambria" w:cs="Cambria" w:eastAsia="Cambria" w:hAnsi="Cambria"/>
                <w:color w:val="3A3A3A"/>
                <w:sz w:val="18"/>
                <w:szCs w:val="18"/>
              </w:rPr>
              <w:t xml:space="preserve">. Reportar la </w:t>
            </w:r>
            <w:r>
              <w:rPr>
                <w:rFonts w:ascii="Cambria" w:cs="Cambria" w:eastAsia="Cambria" w:hAnsi="Cambria"/>
                <w:b/>
                <w:bCs/>
                <w:color w:val="3A3A3A"/>
                <w:sz w:val="18"/>
                <w:szCs w:val="18"/>
              </w:rPr>
              <w:t xml:space="preserve">matriz de confusión</w:t>
            </w:r>
            <w:r>
              <w:rPr>
                <w:rFonts w:ascii="Cambria" w:cs="Cambria" w:eastAsia="Cambria" w:hAnsi="Cambria"/>
                <w:color w:val="3A3A3A"/>
                <w:sz w:val="18"/>
                <w:szCs w:val="18"/>
              </w:rPr>
              <w:t xml:space="preserve"> al umbral por defecto (0.50), trazar la </w:t>
            </w:r>
            <w:r>
              <w:rPr>
                <w:rFonts w:ascii="Cambria" w:cs="Cambria" w:eastAsia="Cambria" w:hAnsi="Cambria"/>
                <w:b/>
                <w:bCs/>
                <w:color w:val="3A3A3A"/>
                <w:sz w:val="18"/>
                <w:szCs w:val="18"/>
              </w:rPr>
              <w:t xml:space="preserve">curva ROC</w:t>
            </w:r>
            <w:r>
              <w:rPr>
                <w:rFonts w:ascii="Cambria" w:cs="Cambria" w:eastAsia="Cambria" w:hAnsi="Cambria"/>
                <w:color w:val="3A3A3A"/>
                <w:sz w:val="18"/>
                <w:szCs w:val="18"/>
              </w:rPr>
              <w:t xml:space="preserve"> y calcular el </w:t>
            </w:r>
            <w:r>
              <w:rPr>
                <w:rFonts w:ascii="Cambria" w:cs="Cambria" w:eastAsia="Cambria" w:hAnsi="Cambria"/>
                <w:b/>
                <w:bCs/>
                <w:color w:val="3A3A3A"/>
                <w:sz w:val="18"/>
                <w:szCs w:val="18"/>
              </w:rPr>
              <w:t xml:space="preserve">AUC</w:t>
            </w:r>
            <w:r>
              <w:rPr>
                <w:rFonts w:ascii="Cambria" w:cs="Cambria" w:eastAsia="Cambria" w:hAnsi="Cambria"/>
                <w:color w:val="3A3A3A"/>
                <w:sz w:val="18"/>
                <w:szCs w:val="18"/>
              </w:rPr>
              <w:t xml:space="preserve">. Interpretar el AUC (poder de </w:t>
            </w:r>
            <w:r>
              <w:rPr>
                <w:rFonts w:ascii="Cambria" w:cs="Cambria" w:eastAsia="Cambria" w:hAnsi="Cambria"/>
                <w:b/>
                <w:bCs/>
                <w:color w:val="3A3A3A"/>
                <w:sz w:val="18"/>
                <w:szCs w:val="18"/>
              </w:rPr>
              <w:t xml:space="preserve">ordenamiento</w:t>
            </w:r>
            <w:r>
              <w:rPr>
                <w:rFonts w:ascii="Cambria" w:cs="Cambria" w:eastAsia="Cambria" w:hAnsi="Cambria"/>
                <w:color w:val="3A3A3A"/>
                <w:sz w:val="18"/>
                <w:szCs w:val="18"/>
              </w:rPr>
              <w:t xml:space="preserve">, independiente del umbral) y por qué se reporta </w:t>
            </w:r>
            <w:r>
              <w:rPr>
                <w:rFonts w:ascii="Cambria" w:cs="Cambria" w:eastAsia="Cambria" w:hAnsi="Cambria"/>
                <w:b/>
                <w:bCs/>
                <w:color w:val="3A3A3A"/>
                <w:sz w:val="18"/>
                <w:szCs w:val="18"/>
              </w:rPr>
              <w:t xml:space="preserve">junto con</w:t>
            </w:r>
            <w:r>
              <w:rPr>
                <w:rFonts w:ascii="Cambria" w:cs="Cambria" w:eastAsia="Cambria" w:hAnsi="Cambria"/>
                <w:color w:val="3A3A3A"/>
                <w:sz w:val="18"/>
                <w:szCs w:val="18"/>
              </w:rPr>
              <w:t xml:space="preserve"> la matriz de confusión (que sí depende del umbral). Usar </w:t>
            </w:r>
            <w:r>
              <w:rPr>
                <w:rFonts w:ascii="Consolas" w:cs="Consolas" w:eastAsia="Consolas" w:hAnsi="Consolas"/>
                <w:color w:val="7A1526"/>
                <w:sz w:val="16"/>
                <w:szCs w:val="16"/>
              </w:rPr>
              <w:t xml:space="preserve">plantillas/evaluacion_clasificador.docx</w:t>
            </w:r>
            <w:r>
              <w:rPr>
                <w:rFonts w:ascii="Cambria" w:cs="Cambria" w:eastAsia="Cambria" w:hAnsi="Cambria"/>
                <w:color w:val="3A3A3A"/>
                <w:sz w:val="18"/>
                <w:szCs w:val="18"/>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2.5   </w:t>
            </w:r>
            <w:r>
              <w:rPr>
                <w:rFonts w:ascii="Calibri" w:cs="Calibri" w:eastAsia="Calibri" w:hAnsi="Calibri"/>
                <w:b/>
                <w:bCs/>
                <w:color w:val="7A1526"/>
                <w:sz w:val="19"/>
                <w:szCs w:val="19"/>
              </w:rPr>
              <w:t xml:space="preserve">Umbral según el costo del error</w:t>
            </w:r>
          </w:p>
          <w:p>
            <w:pPr>
              <w:spacing w:after="70" w:line="265"/>
            </w:pPr>
            <w:r>
              <w:rPr>
                <w:rFonts w:ascii="Cambria" w:cs="Cambria" w:eastAsia="Cambria" w:hAnsi="Cambria"/>
                <w:color w:val="3A3A3A"/>
                <w:sz w:val="18"/>
                <w:szCs w:val="18"/>
              </w:rPr>
              <w:t xml:space="preserve">Asignar </w:t>
            </w:r>
            <w:r>
              <w:rPr>
                <w:rFonts w:ascii="Consolas" w:cs="Consolas" w:eastAsia="Consolas" w:hAnsi="Consolas"/>
                <w:color w:val="7A1526"/>
                <w:sz w:val="16"/>
                <w:szCs w:val="16"/>
              </w:rPr>
              <w:t xml:space="preserve">C_FN</w:t>
            </w:r>
            <w:r>
              <w:rPr>
                <w:rFonts w:ascii="Cambria" w:cs="Cambria" w:eastAsia="Cambria" w:hAnsi="Cambria"/>
                <w:color w:val="3A3A3A"/>
                <w:sz w:val="18"/>
                <w:szCs w:val="18"/>
              </w:rPr>
              <w:t xml:space="preserve"> (costo de no detectar una fuga ≈ valor del cliente perdido) y </w:t>
            </w:r>
            <w:r>
              <w:rPr>
                <w:rFonts w:ascii="Consolas" w:cs="Consolas" w:eastAsia="Consolas" w:hAnsi="Consolas"/>
                <w:color w:val="7A1526"/>
                <w:sz w:val="16"/>
                <w:szCs w:val="16"/>
              </w:rPr>
              <w:t xml:space="preserve">C_FP</w:t>
            </w:r>
            <w:r>
              <w:rPr>
                <w:rFonts w:ascii="Cambria" w:cs="Cambria" w:eastAsia="Cambria" w:hAnsi="Cambria"/>
                <w:color w:val="3A3A3A"/>
                <w:sz w:val="18"/>
                <w:szCs w:val="18"/>
              </w:rPr>
              <w:t xml:space="preserve"> (costo de una campaña de retención a quien no se iba), con </w:t>
            </w:r>
            <w:r>
              <w:rPr>
                <w:rFonts w:ascii="Consolas" w:cs="Consolas" w:eastAsia="Consolas" w:hAnsi="Consolas"/>
                <w:color w:val="7A1526"/>
                <w:sz w:val="16"/>
                <w:szCs w:val="16"/>
              </w:rPr>
              <w:t xml:space="preserve">C_FN</w:t>
            </w:r>
            <w:r>
              <w:rPr>
                <w:rFonts w:ascii="Cambria" w:cs="Cambria" w:eastAsia="Cambria" w:hAnsi="Cambria"/>
                <w:color w:val="3A3A3A"/>
                <w:sz w:val="18"/>
                <w:szCs w:val="18"/>
              </w:rPr>
              <w:t xml:space="preserve"> &gt; </w:t>
            </w:r>
            <w:r>
              <w:rPr>
                <w:rFonts w:ascii="Consolas" w:cs="Consolas" w:eastAsia="Consolas" w:hAnsi="Consolas"/>
                <w:color w:val="7A1526"/>
                <w:sz w:val="16"/>
                <w:szCs w:val="16"/>
              </w:rPr>
              <w:t xml:space="preserve">C_FP</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Barrer</w:t>
            </w:r>
            <w:r>
              <w:rPr>
                <w:rFonts w:ascii="Cambria" w:cs="Cambria" w:eastAsia="Cambria" w:hAnsi="Cambria"/>
                <w:color w:val="3A3A3A"/>
                <w:sz w:val="18"/>
                <w:szCs w:val="18"/>
              </w:rPr>
              <w:t xml:space="preserve"> el umbral t (valores 0.1, 0.2, 0.3, 0.4 y 0.5) y tabular por umbral: VP/FP/FN/VN, recall, precisión y </w:t>
            </w:r>
            <w:r>
              <w:rPr>
                <w:rFonts w:ascii="Cambria" w:cs="Cambria" w:eastAsia="Cambria" w:hAnsi="Cambria"/>
                <w:b/>
                <w:bCs/>
                <w:color w:val="3A3A3A"/>
                <w:sz w:val="18"/>
                <w:szCs w:val="18"/>
              </w:rPr>
              <w:t xml:space="preserve">costo esperado</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C_FN·FN + C_FP·FP</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Elegir el t que minimiza el costo</w:t>
            </w:r>
            <w:r>
              <w:rPr>
                <w:rFonts w:ascii="Cambria" w:cs="Cambria" w:eastAsia="Cambria" w:hAnsi="Cambria"/>
                <w:color w:val="3A3A3A"/>
                <w:sz w:val="18"/>
                <w:szCs w:val="18"/>
              </w:rPr>
              <w:t xml:space="preserve"> (no la exactitud) y contrastarlo con </w:t>
            </w:r>
            <w:r>
              <w:rPr>
                <w:rFonts w:ascii="Consolas" w:cs="Consolas" w:eastAsia="Consolas" w:hAnsi="Consolas"/>
                <w:color w:val="7A1526"/>
                <w:sz w:val="16"/>
                <w:szCs w:val="16"/>
              </w:rPr>
              <w:t xml:space="preserve">t* = C_FP/(C_FP+C_FN)</w:t>
            </w:r>
            <w:r>
              <w:rPr>
                <w:rFonts w:ascii="Cambria" w:cs="Cambria" w:eastAsia="Cambria" w:hAnsi="Cambria"/>
                <w:color w:val="3A3A3A"/>
                <w:sz w:val="18"/>
                <w:szCs w:val="18"/>
              </w:rPr>
              <w:t xml:space="preserve">. Declarar explícitamente los costos supuestos </w:t>
            </w:r>
            <w:r>
              <w:rPr>
                <w:rFonts w:ascii="Cambria" w:cs="Cambria" w:eastAsia="Cambria" w:hAnsi="Cambria"/>
                <w:b/>
                <w:bCs/>
                <w:color w:val="3A3A3A"/>
                <w:sz w:val="18"/>
                <w:szCs w:val="18"/>
              </w:rPr>
              <w:t xml:space="preserve">(ilustrativos; su relación no es un benchmark del sector)</w:t>
            </w:r>
            <w:r>
              <w:rPr>
                <w:rFonts w:ascii="Cambria" w:cs="Cambria" w:eastAsia="Cambria" w:hAnsi="Cambria"/>
                <w:color w:val="3A3A3A"/>
                <w:sz w:val="18"/>
                <w:szCs w:val="18"/>
              </w:rPr>
              <w:t xml:space="preserve">.</w:t>
            </w:r>
          </w:p>
          <w:p>
            <w:pPr>
              <w:spacing w:after="70" w:line="265"/>
            </w:pPr>
            <w:r>
              <w:rPr>
                <w:rFonts w:ascii="Cambria" w:cs="Cambria" w:eastAsia="Cambria" w:hAnsi="Cambria"/>
                <w:i/>
                <w:iCs/>
                <w:color w:val="3A3A3A"/>
                <w:sz w:val="18"/>
                <w:szCs w:val="18"/>
              </w:rPr>
              <w:t xml:space="preserve">(Precisión honesta: (a) el «costo esperado» es un</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costo de errores</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el criterio para elegir el umbral —no el costo total ni el ROI de la campaña, que suma el contacto de los VP y resta el valor salvado; (b) ese umbral teórico es la regla de Bayes</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bajo probabilidades calibradas</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si no cae en la malla, el mínimo empírico es el punto de malla</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más cercano</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una aproximación, no una «confirmación».)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2.6   </w:t>
            </w:r>
            <w:r>
              <w:rPr>
                <w:rFonts w:ascii="Calibri" w:cs="Calibri" w:eastAsia="Calibri" w:hAnsi="Calibri"/>
                <w:b/>
                <w:bCs/>
                <w:color w:val="7A1526"/>
                <w:sz w:val="19"/>
                <w:szCs w:val="19"/>
              </w:rPr>
              <w:t xml:space="preserve">Recomendación de retención</w:t>
            </w:r>
          </w:p>
          <w:p>
            <w:pPr>
              <w:spacing w:after="70" w:line="265"/>
            </w:pPr>
            <w:r>
              <w:rPr>
                <w:rFonts w:ascii="Cambria" w:cs="Cambria" w:eastAsia="Cambria" w:hAnsi="Cambria"/>
                <w:color w:val="3A3A3A"/>
                <w:sz w:val="18"/>
                <w:szCs w:val="18"/>
              </w:rPr>
              <w:t xml:space="preserve">Con el umbral elegido, comunicar la política: a qué clientes se contacta, cuántas fugas adicionales se captan y a qué costo frente al 0.50 por defecto. Ligar la recomendación a los </w:t>
            </w:r>
            <w:r>
              <w:rPr>
                <w:rFonts w:ascii="Cambria" w:cs="Cambria" w:eastAsia="Cambria" w:hAnsi="Cambria"/>
                <w:b/>
                <w:bCs/>
                <w:color w:val="3A3A3A"/>
                <w:sz w:val="18"/>
                <w:szCs w:val="18"/>
              </w:rPr>
              <w:t xml:space="preserve">factores de fuga</w:t>
            </w:r>
            <w:r>
              <w:rPr>
                <w:rFonts w:ascii="Cambria" w:cs="Cambria" w:eastAsia="Cambria" w:hAnsi="Cambria"/>
                <w:color w:val="3A3A3A"/>
                <w:sz w:val="18"/>
                <w:szCs w:val="18"/>
              </w:rPr>
              <w:t xml:space="preserve"> (p. ej. priorizar contratos mensuales con fibra óptica y baja antigüedad). Cerrar con </w:t>
            </w:r>
            <w:r>
              <w:rPr>
                <w:rFonts w:ascii="Cambria" w:cs="Cambria" w:eastAsia="Cambria" w:hAnsi="Cambria"/>
                <w:b/>
                <w:bCs/>
                <w:color w:val="3A3A3A"/>
                <w:sz w:val="18"/>
                <w:szCs w:val="18"/>
              </w:rPr>
              <w:t xml:space="preserve">salvaguardas</w:t>
            </w:r>
            <w:r>
              <w:rPr>
                <w:rFonts w:ascii="Cambria" w:cs="Cambria" w:eastAsia="Cambria" w:hAnsi="Cambria"/>
                <w:color w:val="3A3A3A"/>
                <w:sz w:val="18"/>
                <w:szCs w:val="18"/>
              </w:rPr>
              <w:t xml:space="preserve">: el OR es </w:t>
            </w:r>
            <w:r>
              <w:rPr>
                <w:rFonts w:ascii="Cambria" w:cs="Cambria" w:eastAsia="Cambria" w:hAnsi="Cambria"/>
                <w:b/>
                <w:bCs/>
                <w:color w:val="3A3A3A"/>
                <w:sz w:val="18"/>
                <w:szCs w:val="18"/>
              </w:rPr>
              <w:t xml:space="preserve">asociación, no causalidad</w:t>
            </w:r>
            <w:r>
              <w:rPr>
                <w:rFonts w:ascii="Cambria" w:cs="Cambria" w:eastAsia="Cambria" w:hAnsi="Cambria"/>
                <w:color w:val="3A3A3A"/>
                <w:sz w:val="18"/>
                <w:szCs w:val="18"/>
              </w:rPr>
              <w:t xml:space="preserve"> (la acción de retención es una </w:t>
            </w:r>
            <w:r>
              <w:rPr>
                <w:rFonts w:ascii="Cambria" w:cs="Cambria" w:eastAsia="Cambria" w:hAnsi="Cambria"/>
                <w:b/>
                <w:bCs/>
                <w:color w:val="3A3A3A"/>
                <w:sz w:val="18"/>
                <w:szCs w:val="18"/>
              </w:rPr>
              <w:t xml:space="preserve">hipótesis a validar con A/B testing de S02</w:t>
            </w:r>
            <w:r>
              <w:rPr>
                <w:rFonts w:ascii="Cambria" w:cs="Cambria" w:eastAsia="Cambria" w:hAnsi="Cambria"/>
                <w:color w:val="3A3A3A"/>
                <w:sz w:val="18"/>
                <w:szCs w:val="18"/>
              </w:rPr>
              <w:t xml:space="preserve">); el desbalance se abordó con el </w:t>
            </w:r>
            <w:r>
              <w:rPr>
                <w:rFonts w:ascii="Cambria" w:cs="Cambria" w:eastAsia="Cambria" w:hAnsi="Cambria"/>
                <w:b/>
                <w:bCs/>
                <w:color w:val="3A3A3A"/>
                <w:sz w:val="18"/>
                <w:szCs w:val="18"/>
              </w:rPr>
              <w:t xml:space="preserve">umbral</w:t>
            </w:r>
            <w:r>
              <w:rPr>
                <w:rFonts w:ascii="Cambria" w:cs="Cambria" w:eastAsia="Cambria" w:hAnsi="Cambria"/>
                <w:color w:val="3A3A3A"/>
                <w:sz w:val="18"/>
                <w:szCs w:val="18"/>
              </w:rPr>
              <w:t xml:space="preserve">, no con remuestreo (eso es S10).</w:t>
            </w:r>
          </w:p>
        </w:tc>
      </w:tr>
    </w:tbl>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FORMATO DE ENTREGA</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Informe en.md o.docx con las figuras y tablas exportadas desde el cuaderno.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análisis reproducible en </w:t>
            </w:r>
            <w:r>
              <w:rPr>
                <w:rFonts w:ascii="Consolas" w:cs="Consolas" w:eastAsia="Consolas" w:hAnsi="Consolas"/>
                <w:color w:val="7A1526"/>
                <w:sz w:val="17"/>
                <w:szCs w:val="17"/>
              </w:rPr>
              <w:t xml:space="preserve">notebook/S09_logistica_glm.ipynb</w:t>
            </w:r>
            <w:r>
              <w:rPr>
                <w:rFonts w:ascii="Cambria" w:cs="Cambria" w:eastAsia="Cambria" w:hAnsi="Cambria"/>
                <w:color w:val="2D2D2D"/>
                <w:sz w:val="19"/>
                <w:szCs w:val="19"/>
              </w:rPr>
              <w:t xml:space="preserve">; los resultados numéricos (tabla de coeficientes/OR, puntos de la curva ROC y AUC, matriz de confusión, </w:t>
            </w:r>
            <w:r>
              <w:rPr>
                <w:rFonts w:ascii="Cambria" w:cs="Cambria" w:eastAsia="Cambria" w:hAnsi="Cambria"/>
                <w:b/>
                <w:bCs/>
                <w:color w:val="2D2D2D"/>
                <w:sz w:val="19"/>
                <w:szCs w:val="19"/>
              </w:rPr>
              <w:t xml:space="preserve">tabla de umbral vs. costo</w:t>
            </w:r>
            <w:r>
              <w:rPr>
                <w:rFonts w:ascii="Cambria" w:cs="Cambria" w:eastAsia="Cambria" w:hAnsi="Cambria"/>
                <w:color w:val="2D2D2D"/>
                <w:sz w:val="19"/>
                <w:szCs w:val="19"/>
              </w:rPr>
              <w:t xml:space="preserve">) volcados a </w:t>
            </w:r>
            <w:r>
              <w:rPr>
                <w:rFonts w:ascii="Consolas" w:cs="Consolas" w:eastAsia="Consolas" w:hAnsi="Consolas"/>
                <w:color w:val="7A1526"/>
                <w:sz w:val="17"/>
                <w:szCs w:val="17"/>
              </w:rPr>
              <w:t xml:space="preserve">resultados/S09_resultados.xlsx</w:t>
            </w:r>
            <w:r>
              <w:rPr>
                <w:rFonts w:ascii="Cambria" w:cs="Cambria" w:eastAsia="Cambria" w:hAnsi="Cambria"/>
                <w:color w:val="2D2D2D"/>
                <w:sz w:val="19"/>
                <w:szCs w:val="19"/>
              </w:rPr>
              <w:t xml:space="preserve"> y las </w:t>
            </w:r>
            <w:r>
              <w:rPr>
                <w:rFonts w:ascii="Cambria" w:cs="Cambria" w:eastAsia="Cambria" w:hAnsi="Cambria"/>
                <w:b/>
                <w:bCs/>
                <w:color w:val="2D2D2D"/>
                <w:sz w:val="19"/>
                <w:szCs w:val="19"/>
              </w:rPr>
              <w:t xml:space="preserve">figuras de resultados generadas al leer ese Excel</w:t>
            </w:r>
            <w:r>
              <w:rPr>
                <w:rFonts w:ascii="Cambria" w:cs="Cambria" w:eastAsia="Cambria" w:hAnsi="Cambria"/>
                <w:color w:val="2D2D2D"/>
                <w:sz w:val="19"/>
                <w:szCs w:val="19"/>
              </w:rPr>
              <w:t xml:space="preserve"> (convención del curso: curva ROC, curva de costo vs. umbral, barras de odds ratio).</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Toda cifra citada en el informe debe existir en el cuaderno o en el Excel de resultados. El pipeline es </w:t>
            </w:r>
            <w:r>
              <w:rPr>
                <w:rFonts w:ascii="Cambria" w:cs="Cambria" w:eastAsia="Cambria" w:hAnsi="Cambria"/>
                <w:b/>
                <w:bCs/>
                <w:color w:val="2D2D2D"/>
                <w:sz w:val="19"/>
                <w:szCs w:val="19"/>
              </w:rPr>
              <w:t xml:space="preserve">determinista</w:t>
            </w:r>
            <w:r>
              <w:rPr>
                <w:rFonts w:ascii="Cambria" w:cs="Cambria" w:eastAsia="Cambria" w:hAnsi="Cambria"/>
                <w:color w:val="2D2D2D"/>
                <w:sz w:val="19"/>
                <w:szCs w:val="19"/>
              </w:rPr>
              <w:t xml:space="preserve"> dada la semilla (</w:t>
            </w:r>
            <w:r>
              <w:rPr>
                <w:rFonts w:ascii="Consolas" w:cs="Consolas" w:eastAsia="Consolas" w:hAnsi="Consolas"/>
                <w:color w:val="7A1526"/>
                <w:sz w:val="17"/>
                <w:szCs w:val="17"/>
              </w:rPr>
              <w:t xml:space="preserve">random_state</w:t>
            </w:r>
            <w:r>
              <w:rPr>
                <w:rFonts w:ascii="Cambria" w:cs="Cambria" w:eastAsia="Cambria" w:hAnsi="Cambria"/>
                <w:color w:val="2D2D2D"/>
                <w:sz w:val="19"/>
                <w:szCs w:val="19"/>
              </w:rPr>
              <w:t xml:space="preserve">=42).</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Los coeficientes se comunican en </w:t>
            </w:r>
            <w:r>
              <w:rPr>
                <w:rFonts w:ascii="Cambria" w:cs="Cambria" w:eastAsia="Cambria" w:hAnsi="Cambria"/>
                <w:b/>
                <w:bCs/>
                <w:color w:val="2D2D2D"/>
                <w:sz w:val="19"/>
                <w:szCs w:val="19"/>
              </w:rPr>
              <w:t xml:space="preserve">odds ratio</w:t>
            </w:r>
            <w:r>
              <w:rPr>
                <w:rFonts w:ascii="Cambria" w:cs="Cambria" w:eastAsia="Cambria" w:hAnsi="Cambria"/>
                <w:color w:val="2D2D2D"/>
                <w:sz w:val="19"/>
                <w:szCs w:val="19"/>
              </w:rPr>
              <w:t xml:space="preserve">, no en log-odds; las variables, con nombres legibles (no códigos).</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5.</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Prohibido:</w:t>
            </w:r>
            <w:r>
              <w:rPr>
                <w:rFonts w:ascii="Cambria" w:cs="Cambria" w:eastAsia="Cambria" w:hAnsi="Cambria"/>
                <w:color w:val="2D2D2D"/>
                <w:sz w:val="19"/>
                <w:szCs w:val="19"/>
              </w:rPr>
              <w:t xml:space="preserve"> dejar el umbral en </w:t>
            </w:r>
            <w:r>
              <w:rPr>
                <w:rFonts w:ascii="Cambria" w:cs="Cambria" w:eastAsia="Cambria" w:hAnsi="Cambria"/>
                <w:b/>
                <w:bCs/>
                <w:color w:val="2D2D2D"/>
                <w:sz w:val="19"/>
                <w:szCs w:val="19"/>
              </w:rPr>
              <w:t xml:space="preserve">0.50</w:t>
            </w:r>
            <w:r>
              <w:rPr>
                <w:rFonts w:ascii="Cambria" w:cs="Cambria" w:eastAsia="Cambria" w:hAnsi="Cambria"/>
                <w:color w:val="2D2D2D"/>
                <w:sz w:val="19"/>
                <w:szCs w:val="19"/>
              </w:rPr>
              <w:t xml:space="preserve"> «porque es lo normal» sin justificar por costo; </w:t>
            </w:r>
            <w:r>
              <w:rPr>
                <w:rFonts w:ascii="Cambria" w:cs="Cambria" w:eastAsia="Cambria" w:hAnsi="Cambria"/>
                <w:b/>
                <w:bCs/>
                <w:color w:val="2D2D2D"/>
                <w:sz w:val="19"/>
                <w:szCs w:val="19"/>
              </w:rPr>
              <w:t xml:space="preserve">optimizar la exactitud</w:t>
            </w:r>
            <w:r>
              <w:rPr>
                <w:rFonts w:ascii="Cambria" w:cs="Cambria" w:eastAsia="Cambria" w:hAnsi="Cambria"/>
                <w:color w:val="2D2D2D"/>
                <w:sz w:val="19"/>
                <w:szCs w:val="19"/>
              </w:rPr>
              <w:t xml:space="preserve"> en vez del costo (premia predecir la clase mayoritaria); </w:t>
            </w:r>
            <w:r>
              <w:rPr>
                <w:rFonts w:ascii="Cambria" w:cs="Cambria" w:eastAsia="Cambria" w:hAnsi="Cambria"/>
                <w:b/>
                <w:bCs/>
                <w:color w:val="2D2D2D"/>
                <w:sz w:val="19"/>
                <w:szCs w:val="19"/>
              </w:rPr>
              <w:t xml:space="preserve">ajustar el umbral al mirar el conjunto de prueba</w:t>
            </w:r>
            <w:r>
              <w:rPr>
                <w:rFonts w:ascii="Cambria" w:cs="Cambria" w:eastAsia="Cambria" w:hAnsi="Cambria"/>
                <w:color w:val="2D2D2D"/>
                <w:sz w:val="19"/>
                <w:szCs w:val="19"/>
              </w:rPr>
              <w:t xml:space="preserve"> hasta obtener una cifra favorable (fuga de información: se fija con validación y se reporta en prueba); interpretar el AUC como exactitud o el </w:t>
            </w:r>
            <w:r>
              <w:rPr>
                <w:rFonts w:ascii="Cambria" w:cs="Cambria" w:eastAsia="Cambria" w:hAnsi="Cambria"/>
                <w:b/>
                <w:bCs/>
                <w:color w:val="2D2D2D"/>
                <w:sz w:val="19"/>
                <w:szCs w:val="19"/>
              </w:rPr>
              <w:t xml:space="preserve">OR como efecto causal</w:t>
            </w:r>
            <w:r>
              <w:rPr>
                <w:rFonts w:ascii="Cambria" w:cs="Cambria" w:eastAsia="Cambria" w:hAnsi="Cambria"/>
                <w:color w:val="2D2D2D"/>
                <w:sz w:val="19"/>
                <w:szCs w:val="19"/>
              </w:rPr>
              <w:t xml:space="preserve">; aplicar </w:t>
            </w:r>
            <w:r>
              <w:rPr>
                <w:rFonts w:ascii="Cambria" w:cs="Cambria" w:eastAsia="Cambria" w:hAnsi="Cambria"/>
                <w:b/>
                <w:bCs/>
                <w:color w:val="2D2D2D"/>
                <w:sz w:val="19"/>
                <w:szCs w:val="19"/>
              </w:rPr>
              <w:t xml:space="preserve">SMOTE/remuestreo, F1/PR-AUC como foco, LDA/QDA/Naive Bayes</w:t>
            </w:r>
            <w:r>
              <w:rPr>
                <w:rFonts w:ascii="Cambria" w:cs="Cambria" w:eastAsia="Cambria" w:hAnsi="Cambria"/>
                <w:color w:val="2D2D2D"/>
                <w:sz w:val="19"/>
                <w:szCs w:val="19"/>
              </w:rPr>
              <w:t xml:space="preserve"> (fuera de alcance, es S10); dejar </w:t>
            </w:r>
            <w:r>
              <w:rPr>
                <w:rFonts w:ascii="Consolas" w:cs="Consolas" w:eastAsia="Consolas" w:hAnsi="Consolas"/>
                <w:color w:val="7A1526"/>
                <w:sz w:val="17"/>
                <w:szCs w:val="17"/>
              </w:rPr>
              <w:t xml:space="preserve">customerID</w:t>
            </w:r>
            <w:r>
              <w:rPr>
                <w:rFonts w:ascii="Cambria" w:cs="Cambria" w:eastAsia="Cambria" w:hAnsi="Cambria"/>
                <w:color w:val="2D2D2D"/>
                <w:sz w:val="19"/>
                <w:szCs w:val="19"/>
              </w:rPr>
              <w:t xml:space="preserve"> como predictor.</w:t>
            </w:r>
          </w:p>
        </w:tc>
      </w:tr>
    </w:tbl>
    <w:p>
      <w:pPr>
        <w:keepNext/>
        <w:spacing w:after="60" w:before="120"/>
      </w:pPr>
      <w:r>
        <w:rPr>
          <w:rFonts w:ascii="Calibri" w:cs="Calibri" w:eastAsia="Calibri" w:hAnsi="Calibri"/>
          <w:b/>
          <w:bCs/>
          <w:color w:val="7A1526"/>
          <w:sz w:val="24"/>
          <w:szCs w:val="24"/>
        </w:rPr>
        <w:t xml:space="preserve">4.  </w:t>
      </w:r>
      <w:r>
        <w:rPr>
          <w:rFonts w:ascii="Calibri" w:cs="Calibri" w:eastAsia="Calibri" w:hAnsi="Calibri"/>
          <w:b/>
          <w:bCs/>
          <w:color w:val="7A1526"/>
          <w:spacing w:val="20"/>
          <w:sz w:val="24"/>
          <w:szCs w:val="24"/>
        </w:rPr>
        <w:t xml:space="preserve">RÚBRICA DE EVALUACIÓN</w:t>
      </w:r>
    </w:p>
    <w:p>
      <w:pPr>
        <w:keepNext/>
        <w:pBdr>
          <w:bottom w:val="single" w:color="E4002B" w:sz="14" w:space="8"/>
        </w:pBdr>
        <w:spacing w:after="140"/>
      </w:pPr>
      <w:r>
        <w:rPr>
          <w:rFonts w:ascii="Cambria" w:cs="Cambria" w:eastAsia="Cambria" w:hAnsi="Cambria"/>
          <w:i/>
          <w:iCs/>
          <w:color w:val="6E6E6E"/>
          <w:sz w:val="19"/>
          <w:szCs w:val="19"/>
        </w:rPr>
        <w:t xml:space="preserve">Escala vigesimal, 0–20 · seis criterios × cuatro niveles</w:t>
      </w:r>
      <w:r>
        <w:rPr>
          <w:rFonts w:ascii="Cambria" w:cs="Cambria" w:eastAsia="Cambria" w:hAnsi="Cambria"/>
          <w:b/>
          <w:bCs/>
          <w:color w:val="7A1526"/>
          <w:sz w:val="19"/>
          <w:szCs w:val="19"/>
        </w:rPr>
        <w:t xml:space="preserve">   |   total 20 puntos</w:t>
      </w:r>
    </w:p>
    <w:p>
      <w:pPr>
        <w:spacing w:line="270"/>
      </w:pPr>
      <w:r>
        <w:rPr>
          <w:rFonts w:ascii="Cambria" w:cs="Cambria" w:eastAsia="Cambria" w:hAnsi="Cambria"/>
          <w:color w:val="2D2D2D"/>
          <w:sz w:val="20"/>
          <w:szCs w:val="20"/>
        </w:rPr>
        <w:t xml:space="preserve">Seis criterios × cuatro niveles. La columna </w:t>
      </w:r>
      <w:r>
        <w:rPr>
          <w:rFonts w:ascii="Cambria" w:cs="Cambria" w:eastAsia="Cambria" w:hAnsi="Cambria"/>
          <w:b/>
          <w:bCs/>
          <w:color w:val="2D2D2D"/>
          <w:sz w:val="20"/>
          <w:szCs w:val="20"/>
        </w:rPr>
        <w:t xml:space="preserve">Peso (máx.)</w:t>
      </w:r>
      <w:r>
        <w:rPr>
          <w:rFonts w:ascii="Cambria" w:cs="Cambria" w:eastAsia="Cambria" w:hAnsi="Cambria"/>
          <w:color w:val="2D2D2D"/>
          <w:sz w:val="20"/>
          <w:szCs w:val="20"/>
        </w:rPr>
        <w:t xml:space="preserve"> es el puntaje del nivel </w:t>
      </w:r>
      <w:r>
        <w:rPr>
          <w:rFonts w:ascii="Cambria" w:cs="Cambria" w:eastAsia="Cambria" w:hAnsi="Cambria"/>
          <w:i/>
          <w:iCs/>
          <w:color w:val="2D2D2D"/>
          <w:sz w:val="20"/>
          <w:szCs w:val="20"/>
        </w:rPr>
        <w:t xml:space="preserve">Excelente</w:t>
      </w:r>
      <w:r>
        <w:rPr>
          <w:rFonts w:ascii="Cambria" w:cs="Cambria" w:eastAsia="Cambria" w:hAnsi="Cambria"/>
          <w:color w:val="2D2D2D"/>
          <w:sz w:val="20"/>
          <w:szCs w:val="20"/>
        </w:rPr>
        <w:t xml:space="preserve">; los pesos </w:t>
      </w:r>
      <w:r>
        <w:rPr>
          <w:rFonts w:ascii="Cambria" w:cs="Cambria" w:eastAsia="Cambria" w:hAnsi="Cambria"/>
          <w:b/>
          <w:bCs/>
          <w:color w:val="2D2D2D"/>
          <w:sz w:val="20"/>
          <w:szCs w:val="20"/>
        </w:rPr>
        <w:t xml:space="preserve">suman exactamente 20</w:t>
      </w:r>
      <w:r>
        <w:rPr>
          <w:rFonts w:ascii="Cambria" w:cs="Cambria" w:eastAsia="Cambria" w:hAnsi="Cambria"/>
          <w:color w:val="2D2D2D"/>
          <w:sz w:val="20"/>
          <w:szCs w:val="20"/>
        </w:rPr>
        <w:t xml:space="preserve">. Cada nivel otorga el puntaje indicado entre paréntesis.</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20"/>
        <w:gridCol w:w="1638"/>
        <w:gridCol w:w="1638"/>
        <w:gridCol w:w="1638"/>
        <w:gridCol w:w="1638"/>
        <w:gridCol w:w="908"/>
      </w:tblGrid>
      <w:tr>
        <w:trPr>
          <w:tblHeader/>
        </w:trPr>
        <w:tc>
          <w:tcPr>
            <w:tcW w:type="dxa" w:w="2620"/>
            <w:tcBorders>
              <w:top w:val="none" w:color="FFFFFF" w:sz="0"/>
              <w:left w:val="none" w:color="FFFFFF" w:sz="0"/>
              <w:bottom w:val="none" w:color="FFFFFF" w:sz="0"/>
              <w:right w:val="none" w:color="FFFFFF" w:sz="0"/>
            </w:tcBorders>
            <w:shd w:fill="3D4450" w:color="auto" w:val="clear"/>
            <w:tcMar>
              <w:top w:type="dxa" w:w="80"/>
              <w:left w:type="dxa" w:w="150"/>
              <w:bottom w:type="dxa" w:w="80"/>
              <w:right w:type="dxa" w:w="150"/>
            </w:tcMar>
          </w:tcPr>
          <w:p>
            <w:r>
              <w:rPr>
                <w:rFonts w:ascii="Calibri" w:cs="Calibri" w:eastAsia="Calibri" w:hAnsi="Calibri"/>
                <w:b/>
                <w:bCs/>
                <w:color w:val="FFFFFF"/>
                <w:sz w:val="14"/>
                <w:szCs w:val="14"/>
              </w:rPr>
              <w:t xml:space="preserve">CRITERIO</w:t>
            </w:r>
          </w:p>
        </w:tc>
        <w:tc>
          <w:tcPr>
            <w:tcW w:type="dxa" w:w="1638"/>
            <w:tcBorders>
              <w:top w:val="none" w:color="FFFFFF" w:sz="0"/>
              <w:left w:val="none" w:color="FFFFFF" w:sz="0"/>
              <w:bottom w:val="none" w:color="FFFFFF" w:sz="0"/>
              <w:right w:val="none" w:color="FFFFFF" w:sz="0"/>
            </w:tcBorders>
            <w:shd w:fill="3D4450" w:color="auto" w:val="clear"/>
            <w:tcMar>
              <w:top w:type="dxa" w:w="80"/>
              <w:left w:type="dxa" w:w="150"/>
              <w:bottom w:type="dxa" w:w="80"/>
              <w:right w:type="dxa" w:w="150"/>
            </w:tcMar>
          </w:tcPr>
          <w:p>
            <w:pPr>
              <w:jc w:val="center"/>
            </w:pPr>
            <w:r>
              <w:rPr>
                <w:rFonts w:ascii="Calibri" w:cs="Calibri" w:eastAsia="Calibri" w:hAnsi="Calibri"/>
                <w:b/>
                <w:bCs/>
                <w:color w:val="FFFFFF"/>
                <w:sz w:val="13"/>
                <w:szCs w:val="13"/>
              </w:rPr>
              <w:t xml:space="preserve">INSUFICIENTE</w:t>
            </w:r>
          </w:p>
        </w:tc>
        <w:tc>
          <w:tcPr>
            <w:tcW w:type="dxa" w:w="1638"/>
            <w:tcBorders>
              <w:top w:val="none" w:color="FFFFFF" w:sz="0"/>
              <w:left w:val="none" w:color="FFFFFF" w:sz="0"/>
              <w:bottom w:val="none" w:color="FFFFFF" w:sz="0"/>
              <w:right w:val="none" w:color="FFFFFF" w:sz="0"/>
            </w:tcBorders>
            <w:shd w:fill="3D4450" w:color="auto" w:val="clear"/>
            <w:tcMar>
              <w:top w:type="dxa" w:w="80"/>
              <w:left w:type="dxa" w:w="150"/>
              <w:bottom w:type="dxa" w:w="80"/>
              <w:right w:type="dxa" w:w="150"/>
            </w:tcMar>
          </w:tcPr>
          <w:p>
            <w:pPr>
              <w:jc w:val="center"/>
            </w:pPr>
            <w:r>
              <w:rPr>
                <w:rFonts w:ascii="Calibri" w:cs="Calibri" w:eastAsia="Calibri" w:hAnsi="Calibri"/>
                <w:b/>
                <w:bCs/>
                <w:color w:val="FFFFFF"/>
                <w:sz w:val="13"/>
                <w:szCs w:val="13"/>
              </w:rPr>
              <w:t xml:space="preserve">BÁSICO</w:t>
            </w:r>
          </w:p>
        </w:tc>
        <w:tc>
          <w:tcPr>
            <w:tcW w:type="dxa" w:w="1638"/>
            <w:tcBorders>
              <w:top w:val="none" w:color="FFFFFF" w:sz="0"/>
              <w:left w:val="none" w:color="FFFFFF" w:sz="0"/>
              <w:bottom w:val="none" w:color="FFFFFF" w:sz="0"/>
              <w:right w:val="none" w:color="FFFFFF" w:sz="0"/>
            </w:tcBorders>
            <w:shd w:fill="3D4450" w:color="auto" w:val="clear"/>
            <w:tcMar>
              <w:top w:type="dxa" w:w="80"/>
              <w:left w:type="dxa" w:w="150"/>
              <w:bottom w:type="dxa" w:w="80"/>
              <w:right w:type="dxa" w:w="150"/>
            </w:tcMar>
          </w:tcPr>
          <w:p>
            <w:pPr>
              <w:jc w:val="center"/>
            </w:pPr>
            <w:r>
              <w:rPr>
                <w:rFonts w:ascii="Calibri" w:cs="Calibri" w:eastAsia="Calibri" w:hAnsi="Calibri"/>
                <w:b/>
                <w:bCs/>
                <w:color w:val="FFFFFF"/>
                <w:sz w:val="13"/>
                <w:szCs w:val="13"/>
              </w:rPr>
              <w:t xml:space="preserve">COMPETENTE</w:t>
            </w:r>
          </w:p>
        </w:tc>
        <w:tc>
          <w:tcPr>
            <w:tcW w:type="dxa" w:w="1638"/>
            <w:tcBorders>
              <w:top w:val="none" w:color="FFFFFF" w:sz="0"/>
              <w:left w:val="none" w:color="FFFFFF" w:sz="0"/>
              <w:bottom w:val="none" w:color="FFFFFF" w:sz="0"/>
              <w:right w:val="none" w:color="FFFFFF" w:sz="0"/>
            </w:tcBorders>
            <w:shd w:fill="3D4450" w:color="auto" w:val="clear"/>
            <w:tcMar>
              <w:top w:type="dxa" w:w="80"/>
              <w:left w:type="dxa" w:w="150"/>
              <w:bottom w:type="dxa" w:w="80"/>
              <w:right w:type="dxa" w:w="150"/>
            </w:tcMar>
          </w:tcPr>
          <w:p>
            <w:pPr>
              <w:jc w:val="center"/>
            </w:pPr>
            <w:r>
              <w:rPr>
                <w:rFonts w:ascii="Calibri" w:cs="Calibri" w:eastAsia="Calibri" w:hAnsi="Calibri"/>
                <w:b/>
                <w:bCs/>
                <w:color w:val="FFFFFF"/>
                <w:sz w:val="13"/>
                <w:szCs w:val="13"/>
              </w:rPr>
              <w:t xml:space="preserve">EXCELENTE</w:t>
            </w:r>
          </w:p>
        </w:tc>
        <w:tc>
          <w:tcPr>
            <w:tcW w:type="dxa" w:w="908"/>
            <w:tcBorders>
              <w:top w:val="none" w:color="FFFFFF" w:sz="0"/>
              <w:left w:val="none" w:color="FFFFFF" w:sz="0"/>
              <w:bottom w:val="none" w:color="FFFFFF" w:sz="0"/>
              <w:right w:val="none" w:color="FFFFFF" w:sz="0"/>
            </w:tcBorders>
            <w:shd w:fill="3D4450" w:color="auto" w:val="clear"/>
            <w:tcMar>
              <w:top w:type="dxa" w:w="80"/>
              <w:left w:type="dxa" w:w="150"/>
              <w:bottom w:type="dxa" w:w="80"/>
              <w:right w:type="dxa" w:w="150"/>
            </w:tcMar>
          </w:tcPr>
          <w:p>
            <w:pPr>
              <w:jc w:val="center"/>
            </w:pPr>
            <w:r>
              <w:rPr>
                <w:rFonts w:ascii="Calibri" w:cs="Calibri" w:eastAsia="Calibri" w:hAnsi="Calibri"/>
                <w:b/>
                <w:bCs/>
                <w:color w:val="FFFFFF"/>
                <w:sz w:val="13"/>
                <w:szCs w:val="13"/>
              </w:rPr>
              <w:t xml:space="preserve">PESO</w:t>
            </w:r>
          </w:p>
        </w:tc>
      </w:tr>
      <w:tr>
        <w:trPr>
          <w:cantSplit/>
        </w:trPr>
        <w:tc>
          <w:tcPr>
            <w:tcW w:type="dxa" w:w="2620"/>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b/>
                <w:bCs/>
                <w:color w:val="7A1526"/>
                <w:sz w:val="17"/>
                <w:szCs w:val="17"/>
              </w:rPr>
              <w:t xml:space="preserve">C1. Preparación de los datos (Telco)</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No prepara los datos o rompe el pipeline (deja </w:t>
            </w:r>
            <w:r>
              <w:rPr>
                <w:rFonts w:ascii="Consolas" w:cs="Consolas" w:eastAsia="Consolas" w:hAnsi="Consolas"/>
                <w:color w:val="7A1526"/>
                <w:sz w:val="14"/>
                <w:szCs w:val="14"/>
              </w:rPr>
              <w:t xml:space="preserve">customerID</w:t>
            </w:r>
            <w:r>
              <w:rPr>
                <w:rFonts w:ascii="Cambria" w:cs="Cambria" w:eastAsia="Cambria" w:hAnsi="Cambria"/>
                <w:color w:val="2D2D2D"/>
                <w:sz w:val="16"/>
                <w:szCs w:val="16"/>
              </w:rPr>
              <w:t xml:space="preserve">, no trata </w:t>
            </w:r>
            <w:r>
              <w:rPr>
                <w:rFonts w:ascii="Consolas" w:cs="Consolas" w:eastAsia="Consolas" w:hAnsi="Consolas"/>
                <w:color w:val="7A1526"/>
                <w:sz w:val="14"/>
                <w:szCs w:val="14"/>
              </w:rPr>
              <w:t xml:space="preserve">TotalCharges</w:t>
            </w:r>
            <w:r>
              <w:rPr>
                <w:rFonts w:ascii="Cambria" w:cs="Cambria" w:eastAsia="Cambria" w:hAnsi="Cambria"/>
                <w:color w:val="2D2D2D"/>
                <w:sz w:val="16"/>
                <w:szCs w:val="16"/>
              </w:rPr>
              <w:t xml:space="preserve">). </w:t>
            </w:r>
            <w:r>
              <w:rPr>
                <w:rFonts w:ascii="Cambria" w:cs="Cambria" w:eastAsia="Cambria" w:hAnsi="Cambria"/>
                <w:b/>
                <w:bCs/>
                <w:color w:val="2D2D2D"/>
                <w:sz w:val="16"/>
                <w:szCs w:val="16"/>
              </w:rPr>
              <w:t xml:space="preserve">(0)</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Prepara con un error (no estratifica, no escala, no trata los NaN). </w:t>
            </w:r>
            <w:r>
              <w:rPr>
                <w:rFonts w:ascii="Cambria" w:cs="Cambria" w:eastAsia="Cambria" w:hAnsi="Cambria"/>
                <w:b/>
                <w:bCs/>
                <w:color w:val="2D2D2D"/>
                <w:sz w:val="16"/>
                <w:szCs w:val="16"/>
              </w:rPr>
              <w:t xml:space="preserve">(1)</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Trata TotalCharges/NaN, codifica categóricas, escala numéricas y parte estratificado 80/20. </w:t>
            </w:r>
            <w:r>
              <w:rPr>
                <w:rFonts w:ascii="Cambria" w:cs="Cambria" w:eastAsia="Cambria" w:hAnsi="Cambria"/>
                <w:b/>
                <w:bCs/>
                <w:color w:val="2D2D2D"/>
                <w:sz w:val="16"/>
                <w:szCs w:val="16"/>
              </w:rPr>
              <w:t xml:space="preserve">(2)</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Pipeline completo y documentado: </w:t>
            </w:r>
            <w:r>
              <w:rPr>
                <w:rFonts w:ascii="Consolas" w:cs="Consolas" w:eastAsia="Consolas" w:hAnsi="Consolas"/>
                <w:color w:val="7A1526"/>
                <w:sz w:val="14"/>
                <w:szCs w:val="14"/>
              </w:rPr>
              <w:t xml:space="preserve">TotalCharges</w:t>
            </w:r>
            <w:r>
              <w:rPr>
                <w:rFonts w:ascii="Calibri" w:cs="Calibri" w:eastAsia="Calibri" w:hAnsi="Calibri"/>
                <w:color w:val="2D2D2D"/>
                <w:sz w:val="16"/>
                <w:szCs w:val="16"/>
              </w:rPr>
              <w:t xml:space="preserve">→</w:t>
            </w:r>
            <w:r>
              <w:rPr>
                <w:rFonts w:ascii="Cambria" w:cs="Cambria" w:eastAsia="Cambria" w:hAnsi="Cambria"/>
                <w:color w:val="2D2D2D"/>
                <w:sz w:val="16"/>
                <w:szCs w:val="16"/>
              </w:rPr>
              <w:t xml:space="preserve">numérico con NaN tratados, </w:t>
            </w:r>
            <w:r>
              <w:rPr>
                <w:rFonts w:ascii="Consolas" w:cs="Consolas" w:eastAsia="Consolas" w:hAnsi="Consolas"/>
                <w:color w:val="7A1526"/>
                <w:sz w:val="14"/>
                <w:szCs w:val="14"/>
              </w:rPr>
              <w:t xml:space="preserve">customerID</w:t>
            </w:r>
            <w:r>
              <w:rPr>
                <w:rFonts w:ascii="Cambria" w:cs="Cambria" w:eastAsia="Cambria" w:hAnsi="Cambria"/>
                <w:color w:val="2D2D2D"/>
                <w:sz w:val="16"/>
                <w:szCs w:val="16"/>
              </w:rPr>
              <w:t xml:space="preserve"> descartado, one-hot, escalado, split </w:t>
            </w:r>
            <w:r>
              <w:rPr>
                <w:rFonts w:ascii="Cambria" w:cs="Cambria" w:eastAsia="Cambria" w:hAnsi="Cambria"/>
                <w:b/>
                <w:bCs/>
                <w:color w:val="2D2D2D"/>
                <w:sz w:val="16"/>
                <w:szCs w:val="16"/>
              </w:rPr>
              <w:t xml:space="preserve">estratificado</w:t>
            </w:r>
            <w:r>
              <w:rPr>
                <w:rFonts w:ascii="Cambria" w:cs="Cambria" w:eastAsia="Cambria" w:hAnsi="Cambria"/>
                <w:color w:val="2D2D2D"/>
                <w:sz w:val="16"/>
                <w:szCs w:val="16"/>
              </w:rPr>
              <w:t xml:space="preserve"> (</w:t>
            </w:r>
            <w:r>
              <w:rPr>
                <w:rFonts w:ascii="Consolas" w:cs="Consolas" w:eastAsia="Consolas" w:hAnsi="Consolas"/>
                <w:color w:val="7A1526"/>
                <w:sz w:val="14"/>
                <w:szCs w:val="14"/>
              </w:rPr>
              <w:t xml:space="preserve">random_state</w:t>
            </w:r>
            <w:r>
              <w:rPr>
                <w:rFonts w:ascii="Cambria" w:cs="Cambria" w:eastAsia="Cambria" w:hAnsi="Cambria"/>
                <w:color w:val="2D2D2D"/>
                <w:sz w:val="16"/>
                <w:szCs w:val="16"/>
              </w:rPr>
              <w:t xml:space="preserve">=42), con formas y proporción de fuga reportadas por partición. </w:t>
            </w:r>
            <w:r>
              <w:rPr>
                <w:rFonts w:ascii="Cambria" w:cs="Cambria" w:eastAsia="Cambria" w:hAnsi="Cambria"/>
                <w:b/>
                <w:bCs/>
                <w:color w:val="2D2D2D"/>
                <w:sz w:val="16"/>
                <w:szCs w:val="16"/>
              </w:rPr>
              <w:t xml:space="preserve">(3)</w:t>
            </w:r>
          </w:p>
        </w:tc>
        <w:tc>
          <w:tcPr>
            <w:tcW w:type="dxa" w:w="90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center"/>
          </w:tcPr>
          <w:p>
            <w:pPr>
              <w:jc w:val="center"/>
            </w:pPr>
            <w:r>
              <w:rPr>
                <w:rFonts w:ascii="Calibri" w:cs="Calibri" w:eastAsia="Calibri" w:hAnsi="Calibri"/>
                <w:b/>
                <w:bCs/>
                <w:color w:val="7A1526"/>
                <w:sz w:val="19"/>
                <w:szCs w:val="19"/>
              </w:rPr>
              <w:t xml:space="preserve">3</w:t>
            </w:r>
          </w:p>
        </w:tc>
      </w:tr>
      <w:tr>
        <w:trPr>
          <w:cantSplit/>
        </w:trPr>
        <w:tc>
          <w:tcPr>
            <w:tcW w:type="dxa" w:w="2620"/>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b/>
                <w:bCs/>
                <w:color w:val="7A1526"/>
                <w:sz w:val="17"/>
                <w:szCs w:val="17"/>
              </w:rPr>
              <w:t xml:space="preserve">C2. Logística + coeficientes en odds ratio</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No ajusta el modelo o no interpreta coeficientes. </w:t>
            </w:r>
            <w:r>
              <w:rPr>
                <w:rFonts w:ascii="Cambria" w:cs="Cambria" w:eastAsia="Cambria" w:hAnsi="Cambria"/>
                <w:b/>
                <w:bCs/>
                <w:color w:val="2D2D2D"/>
                <w:sz w:val="16"/>
                <w:szCs w:val="16"/>
              </w:rPr>
              <w:t xml:space="preserve">(0)</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Ajusta pero deja los coeficientes en log-odds sin convertir a OR. </w:t>
            </w:r>
            <w:r>
              <w:rPr>
                <w:rFonts w:ascii="Cambria" w:cs="Cambria" w:eastAsia="Cambria" w:hAnsi="Cambria"/>
                <w:b/>
                <w:bCs/>
                <w:color w:val="2D2D2D"/>
                <w:sz w:val="16"/>
                <w:szCs w:val="16"/>
              </w:rPr>
              <w:t xml:space="preserve">(1)</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Convierte a OR y da alguna interpretación de negocio. </w:t>
            </w:r>
            <w:r>
              <w:rPr>
                <w:rFonts w:ascii="Cambria" w:cs="Cambria" w:eastAsia="Cambria" w:hAnsi="Cambria"/>
                <w:b/>
                <w:bCs/>
                <w:color w:val="2D2D2D"/>
                <w:sz w:val="16"/>
                <w:szCs w:val="16"/>
              </w:rPr>
              <w:t xml:space="preserve">(2)</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Convierte a </w:t>
            </w:r>
            <w:r>
              <w:rPr>
                <w:rFonts w:ascii="Cambria" w:cs="Cambria" w:eastAsia="Cambria" w:hAnsi="Cambria"/>
                <w:b/>
                <w:bCs/>
                <w:color w:val="2D2D2D"/>
                <w:sz w:val="16"/>
                <w:szCs w:val="16"/>
              </w:rPr>
              <w:t xml:space="preserve">odds ratio</w:t>
            </w:r>
            <w:r>
              <w:rPr>
                <w:rFonts w:ascii="Cambria" w:cs="Cambria" w:eastAsia="Cambria" w:hAnsi="Cambria"/>
                <w:color w:val="2D2D2D"/>
                <w:sz w:val="16"/>
                <w:szCs w:val="16"/>
              </w:rPr>
              <w:t xml:space="preserve"> (</w:t>
            </w:r>
            <w:r>
              <w:rPr>
                <w:rFonts w:ascii="Consolas" w:cs="Consolas" w:eastAsia="Consolas" w:hAnsi="Consolas"/>
                <w:color w:val="7A1526"/>
                <w:sz w:val="14"/>
                <w:szCs w:val="14"/>
              </w:rPr>
              <w:t xml:space="preserve">exp(β)</w:t>
            </w:r>
            <w:r>
              <w:rPr>
                <w:rFonts w:ascii="Cambria" w:cs="Cambria" w:eastAsia="Cambria" w:hAnsi="Cambria"/>
                <w:color w:val="2D2D2D"/>
                <w:sz w:val="16"/>
                <w:szCs w:val="16"/>
              </w:rPr>
              <w:t xml:space="preserve">), interpreta Contract/tenure/InternetService/MonthlyCharges en frases de negocio, distingue </w:t>
            </w:r>
            <w:r>
              <w:rPr>
                <w:rFonts w:ascii="Cambria" w:cs="Cambria" w:eastAsia="Cambria" w:hAnsi="Cambria"/>
                <w:b/>
                <w:bCs/>
                <w:color w:val="2D2D2D"/>
                <w:sz w:val="16"/>
                <w:szCs w:val="16"/>
              </w:rPr>
              <w:t xml:space="preserve">riesgo vs. protector</w:t>
            </w:r>
            <w:r>
              <w:rPr>
                <w:rFonts w:ascii="Cambria" w:cs="Cambria" w:eastAsia="Cambria" w:hAnsi="Cambria"/>
                <w:color w:val="2D2D2D"/>
                <w:sz w:val="16"/>
                <w:szCs w:val="16"/>
              </w:rPr>
              <w:t xml:space="preserve">, advierte que los OR regularizados están </w:t>
            </w:r>
            <w:r>
              <w:rPr>
                <w:rFonts w:ascii="Cambria" w:cs="Cambria" w:eastAsia="Cambria" w:hAnsi="Cambria"/>
                <w:b/>
                <w:bCs/>
                <w:color w:val="2D2D2D"/>
                <w:sz w:val="16"/>
                <w:szCs w:val="16"/>
              </w:rPr>
              <w:t xml:space="preserve">contraídos hacia cero</w:t>
            </w:r>
            <w:r>
              <w:rPr>
                <w:rFonts w:ascii="Cambria" w:cs="Cambria" w:eastAsia="Cambria" w:hAnsi="Cambria"/>
                <w:color w:val="2D2D2D"/>
                <w:sz w:val="16"/>
                <w:szCs w:val="16"/>
              </w:rPr>
              <w:t xml:space="preserve"> y </w:t>
            </w:r>
            <w:r>
              <w:rPr>
                <w:rFonts w:ascii="Cambria" w:cs="Cambria" w:eastAsia="Cambria" w:hAnsi="Cambria"/>
                <w:b/>
                <w:bCs/>
                <w:color w:val="2D2D2D"/>
                <w:sz w:val="16"/>
                <w:szCs w:val="16"/>
              </w:rPr>
              <w:t xml:space="preserve">reporta y diagnostica al menos un supuesto del modelo</w:t>
            </w:r>
            <w:r>
              <w:rPr>
                <w:rFonts w:ascii="Cambria" w:cs="Cambria" w:eastAsia="Cambria" w:hAnsi="Cambria"/>
                <w:color w:val="2D2D2D"/>
                <w:sz w:val="16"/>
                <w:szCs w:val="16"/>
              </w:rPr>
              <w:t xml:space="preserve"> (cómo se identifica y cómo se corregiría, según la guía de supuestos de la sesión). </w:t>
            </w:r>
            <w:r>
              <w:rPr>
                <w:rFonts w:ascii="Cambria" w:cs="Cambria" w:eastAsia="Cambria" w:hAnsi="Cambria"/>
                <w:b/>
                <w:bCs/>
                <w:color w:val="2D2D2D"/>
                <w:sz w:val="16"/>
                <w:szCs w:val="16"/>
              </w:rPr>
              <w:t xml:space="preserve">(3)</w:t>
            </w:r>
          </w:p>
        </w:tc>
        <w:tc>
          <w:tcPr>
            <w:tcW w:type="dxa" w:w="90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center"/>
          </w:tcPr>
          <w:p>
            <w:pPr>
              <w:jc w:val="center"/>
            </w:pPr>
            <w:r>
              <w:rPr>
                <w:rFonts w:ascii="Calibri" w:cs="Calibri" w:eastAsia="Calibri" w:hAnsi="Calibri"/>
                <w:b/>
                <w:bCs/>
                <w:color w:val="7A1526"/>
                <w:sz w:val="19"/>
                <w:szCs w:val="19"/>
              </w:rPr>
              <w:t xml:space="preserve">3</w:t>
            </w:r>
          </w:p>
        </w:tc>
      </w:tr>
      <w:tr>
        <w:trPr>
          <w:cantSplit/>
        </w:trPr>
        <w:tc>
          <w:tcPr>
            <w:tcW w:type="dxa" w:w="2620"/>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b/>
                <w:bCs/>
                <w:color w:val="7A1526"/>
                <w:sz w:val="17"/>
                <w:szCs w:val="17"/>
              </w:rPr>
              <w:t xml:space="preserve">C3. Evaluación: matriz de confusión + ROC + AUC</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No evalúa o solo reporta exactitud. </w:t>
            </w:r>
            <w:r>
              <w:rPr>
                <w:rFonts w:ascii="Cambria" w:cs="Cambria" w:eastAsia="Cambria" w:hAnsi="Cambria"/>
                <w:b/>
                <w:bCs/>
                <w:color w:val="2D2D2D"/>
                <w:sz w:val="16"/>
                <w:szCs w:val="16"/>
              </w:rPr>
              <w:t xml:space="preserve">(0)</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Da la matriz de confusión </w:t>
            </w:r>
            <w:r>
              <w:rPr>
                <w:rFonts w:ascii="Cambria" w:cs="Cambria" w:eastAsia="Cambria" w:hAnsi="Cambria"/>
                <w:b/>
                <w:bCs/>
                <w:color w:val="2D2D2D"/>
                <w:sz w:val="16"/>
                <w:szCs w:val="16"/>
              </w:rPr>
              <w:t xml:space="preserve">o</w:t>
            </w:r>
            <w:r>
              <w:rPr>
                <w:rFonts w:ascii="Cambria" w:cs="Cambria" w:eastAsia="Cambria" w:hAnsi="Cambria"/>
                <w:color w:val="2D2D2D"/>
                <w:sz w:val="16"/>
                <w:szCs w:val="16"/>
              </w:rPr>
              <w:t xml:space="preserve"> el AUC, pero no ambos ni los interpreta. </w:t>
            </w:r>
            <w:r>
              <w:rPr>
                <w:rFonts w:ascii="Cambria" w:cs="Cambria" w:eastAsia="Cambria" w:hAnsi="Cambria"/>
                <w:b/>
                <w:bCs/>
                <w:color w:val="2D2D2D"/>
                <w:sz w:val="16"/>
                <w:szCs w:val="16"/>
              </w:rPr>
              <w:t xml:space="preserve">(2)</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Reporta matriz de confusión (umbral 0.50), curva ROC y AUC correctos. </w:t>
            </w:r>
            <w:r>
              <w:rPr>
                <w:rFonts w:ascii="Cambria" w:cs="Cambria" w:eastAsia="Cambria" w:hAnsi="Cambria"/>
                <w:b/>
                <w:bCs/>
                <w:color w:val="2D2D2D"/>
                <w:sz w:val="16"/>
                <w:szCs w:val="16"/>
              </w:rPr>
              <w:t xml:space="preserve">(3)</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Matriz de confusión + curva </w:t>
            </w:r>
            <w:r>
              <w:rPr>
                <w:rFonts w:ascii="Cambria" w:cs="Cambria" w:eastAsia="Cambria" w:hAnsi="Cambria"/>
                <w:b/>
                <w:bCs/>
                <w:color w:val="2D2D2D"/>
                <w:sz w:val="16"/>
                <w:szCs w:val="16"/>
              </w:rPr>
              <w:t xml:space="preserve">ROC</w:t>
            </w:r>
            <w:r>
              <w:rPr>
                <w:rFonts w:ascii="Cambria" w:cs="Cambria" w:eastAsia="Cambria" w:hAnsi="Cambria"/>
                <w:color w:val="2D2D2D"/>
                <w:sz w:val="16"/>
                <w:szCs w:val="16"/>
              </w:rPr>
              <w:t xml:space="preserve"> + </w:t>
            </w:r>
            <w:r>
              <w:rPr>
                <w:rFonts w:ascii="Cambria" w:cs="Cambria" w:eastAsia="Cambria" w:hAnsi="Cambria"/>
                <w:b/>
                <w:bCs/>
                <w:color w:val="2D2D2D"/>
                <w:sz w:val="16"/>
                <w:szCs w:val="16"/>
              </w:rPr>
              <w:t xml:space="preserve">AUC</w:t>
            </w:r>
            <w:r>
              <w:rPr>
                <w:rFonts w:ascii="Cambria" w:cs="Cambria" w:eastAsia="Cambria" w:hAnsi="Cambria"/>
                <w:color w:val="2D2D2D"/>
                <w:sz w:val="16"/>
                <w:szCs w:val="16"/>
              </w:rPr>
              <w:t xml:space="preserve">, con interpretación del AUC como </w:t>
            </w:r>
            <w:r>
              <w:rPr>
                <w:rFonts w:ascii="Cambria" w:cs="Cambria" w:eastAsia="Cambria" w:hAnsi="Cambria"/>
                <w:b/>
                <w:bCs/>
                <w:color w:val="2D2D2D"/>
                <w:sz w:val="16"/>
                <w:szCs w:val="16"/>
              </w:rPr>
              <w:t xml:space="preserve">ordenamiento independiente del umbral</w:t>
            </w:r>
            <w:r>
              <w:rPr>
                <w:rFonts w:ascii="Cambria" w:cs="Cambria" w:eastAsia="Cambria" w:hAnsi="Cambria"/>
                <w:color w:val="2D2D2D"/>
                <w:sz w:val="16"/>
                <w:szCs w:val="16"/>
              </w:rPr>
              <w:t xml:space="preserve"> y explicación de por qué se lee </w:t>
            </w:r>
            <w:r>
              <w:rPr>
                <w:rFonts w:ascii="Cambria" w:cs="Cambria" w:eastAsia="Cambria" w:hAnsi="Cambria"/>
                <w:b/>
                <w:bCs/>
                <w:color w:val="2D2D2D"/>
                <w:sz w:val="16"/>
                <w:szCs w:val="16"/>
              </w:rPr>
              <w:t xml:space="preserve">junto con</w:t>
            </w:r>
            <w:r>
              <w:rPr>
                <w:rFonts w:ascii="Cambria" w:cs="Cambria" w:eastAsia="Cambria" w:hAnsi="Cambria"/>
                <w:color w:val="2D2D2D"/>
                <w:sz w:val="16"/>
                <w:szCs w:val="16"/>
              </w:rPr>
              <w:t xml:space="preserve"> la matriz de confusión; métricas trazables al Excel. </w:t>
            </w:r>
            <w:r>
              <w:rPr>
                <w:rFonts w:ascii="Cambria" w:cs="Cambria" w:eastAsia="Cambria" w:hAnsi="Cambria"/>
                <w:b/>
                <w:bCs/>
                <w:color w:val="2D2D2D"/>
                <w:sz w:val="16"/>
                <w:szCs w:val="16"/>
              </w:rPr>
              <w:t xml:space="preserve">(4)</w:t>
            </w:r>
          </w:p>
        </w:tc>
        <w:tc>
          <w:tcPr>
            <w:tcW w:type="dxa" w:w="90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center"/>
          </w:tcPr>
          <w:p>
            <w:pPr>
              <w:jc w:val="center"/>
            </w:pPr>
            <w:r>
              <w:rPr>
                <w:rFonts w:ascii="Calibri" w:cs="Calibri" w:eastAsia="Calibri" w:hAnsi="Calibri"/>
                <w:b/>
                <w:bCs/>
                <w:color w:val="7A1526"/>
                <w:sz w:val="19"/>
                <w:szCs w:val="19"/>
              </w:rPr>
              <w:t xml:space="preserve">4</w:t>
            </w:r>
          </w:p>
        </w:tc>
      </w:tr>
      <w:tr>
        <w:trPr>
          <w:cantSplit/>
        </w:trPr>
        <w:tc>
          <w:tcPr>
            <w:tcW w:type="dxa" w:w="2620"/>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b/>
                <w:bCs/>
                <w:color w:val="7A1526"/>
                <w:sz w:val="17"/>
                <w:szCs w:val="17"/>
              </w:rPr>
              <w:t xml:space="preserve">C4. Umbral según el costo del error</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No ajusta el umbral (deja 0.50 sin justificar). </w:t>
            </w:r>
            <w:r>
              <w:rPr>
                <w:rFonts w:ascii="Cambria" w:cs="Cambria" w:eastAsia="Cambria" w:hAnsi="Cambria"/>
                <w:b/>
                <w:bCs/>
                <w:color w:val="2D2D2D"/>
                <w:sz w:val="16"/>
                <w:szCs w:val="16"/>
              </w:rPr>
              <w:t xml:space="preserve">(0)</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Prueba otros umbrales pero sin tabla de costo ni criterio. </w:t>
            </w:r>
            <w:r>
              <w:rPr>
                <w:rFonts w:ascii="Cambria" w:cs="Cambria" w:eastAsia="Cambria" w:hAnsi="Cambria"/>
                <w:b/>
                <w:bCs/>
                <w:color w:val="2D2D2D"/>
                <w:sz w:val="16"/>
                <w:szCs w:val="16"/>
              </w:rPr>
              <w:t xml:space="preserve">(2)</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Barre el umbral y tabula el costo, y elige el de menor costo. </w:t>
            </w:r>
            <w:r>
              <w:rPr>
                <w:rFonts w:ascii="Cambria" w:cs="Cambria" w:eastAsia="Cambria" w:hAnsi="Cambria"/>
                <w:b/>
                <w:bCs/>
                <w:color w:val="2D2D2D"/>
                <w:sz w:val="16"/>
                <w:szCs w:val="16"/>
              </w:rPr>
              <w:t xml:space="preserve">(3)</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b/>
                <w:bCs/>
                <w:color w:val="2D2D2D"/>
                <w:sz w:val="16"/>
                <w:szCs w:val="16"/>
              </w:rPr>
              <w:t xml:space="preserve">Tabla de umbral vs. costo</w:t>
            </w:r>
            <w:r>
              <w:rPr>
                <w:rFonts w:ascii="Cambria" w:cs="Cambria" w:eastAsia="Cambria" w:hAnsi="Cambria"/>
                <w:color w:val="2D2D2D"/>
                <w:sz w:val="16"/>
                <w:szCs w:val="16"/>
              </w:rPr>
              <w:t xml:space="preserve"> (VP/FP/FN/VN, recall, precisión, </w:t>
            </w:r>
            <w:r>
              <w:rPr>
                <w:rFonts w:ascii="Cambria" w:cs="Cambria" w:eastAsia="Cambria" w:hAnsi="Cambria"/>
                <w:b/>
                <w:bCs/>
                <w:color w:val="2D2D2D"/>
                <w:sz w:val="16"/>
                <w:szCs w:val="16"/>
              </w:rPr>
              <w:t xml:space="preserve">costo esperado</w:t>
            </w:r>
            <w:r>
              <w:rPr>
                <w:rFonts w:ascii="Cambria" w:cs="Cambria" w:eastAsia="Cambria" w:hAnsi="Cambria"/>
                <w:color w:val="2D2D2D"/>
                <w:sz w:val="16"/>
                <w:szCs w:val="16"/>
              </w:rPr>
              <w:t xml:space="preserve"> </w:t>
            </w:r>
            <w:r>
              <w:rPr>
                <w:rFonts w:ascii="Consolas" w:cs="Consolas" w:eastAsia="Consolas" w:hAnsi="Consolas"/>
                <w:color w:val="7A1526"/>
                <w:sz w:val="14"/>
                <w:szCs w:val="14"/>
              </w:rPr>
              <w:t xml:space="preserve">C_FN·FN+C_FP·FP</w:t>
            </w:r>
            <w:r>
              <w:rPr>
                <w:rFonts w:ascii="Cambria" w:cs="Cambria" w:eastAsia="Cambria" w:hAnsi="Cambria"/>
                <w:color w:val="2D2D2D"/>
                <w:sz w:val="16"/>
                <w:szCs w:val="16"/>
              </w:rPr>
              <w:t xml:space="preserve">), elige el t de </w:t>
            </w:r>
            <w:r>
              <w:rPr>
                <w:rFonts w:ascii="Cambria" w:cs="Cambria" w:eastAsia="Cambria" w:hAnsi="Cambria"/>
                <w:b/>
                <w:bCs/>
                <w:color w:val="2D2D2D"/>
                <w:sz w:val="16"/>
                <w:szCs w:val="16"/>
              </w:rPr>
              <w:t xml:space="preserve">mínimo costo</w:t>
            </w:r>
            <w:r>
              <w:rPr>
                <w:rFonts w:ascii="Cambria" w:cs="Cambria" w:eastAsia="Cambria" w:hAnsi="Cambria"/>
                <w:color w:val="2D2D2D"/>
                <w:sz w:val="16"/>
                <w:szCs w:val="16"/>
              </w:rPr>
              <w:t xml:space="preserve"> (no exactitud), lo contrasta con </w:t>
            </w:r>
            <w:r>
              <w:rPr>
                <w:rFonts w:ascii="Consolas" w:cs="Consolas" w:eastAsia="Consolas" w:hAnsi="Consolas"/>
                <w:color w:val="7A1526"/>
                <w:sz w:val="14"/>
                <w:szCs w:val="14"/>
              </w:rPr>
              <w:t xml:space="preserve">t* = C_FP/(C_FP+C_FN)</w:t>
            </w:r>
            <w:r>
              <w:rPr>
                <w:rFonts w:ascii="Cambria" w:cs="Cambria" w:eastAsia="Cambria" w:hAnsi="Cambria"/>
                <w:color w:val="2D2D2D"/>
                <w:sz w:val="16"/>
                <w:szCs w:val="16"/>
              </w:rPr>
              <w:t xml:space="preserve"> y declara los costos supuestos. </w:t>
            </w:r>
            <w:r>
              <w:rPr>
                <w:rFonts w:ascii="Cambria" w:cs="Cambria" w:eastAsia="Cambria" w:hAnsi="Cambria"/>
                <w:b/>
                <w:bCs/>
                <w:color w:val="2D2D2D"/>
                <w:sz w:val="16"/>
                <w:szCs w:val="16"/>
              </w:rPr>
              <w:t xml:space="preserve">(4)</w:t>
            </w:r>
          </w:p>
        </w:tc>
        <w:tc>
          <w:tcPr>
            <w:tcW w:type="dxa" w:w="90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center"/>
          </w:tcPr>
          <w:p>
            <w:pPr>
              <w:jc w:val="center"/>
            </w:pPr>
            <w:r>
              <w:rPr>
                <w:rFonts w:ascii="Calibri" w:cs="Calibri" w:eastAsia="Calibri" w:hAnsi="Calibri"/>
                <w:b/>
                <w:bCs/>
                <w:color w:val="7A1526"/>
                <w:sz w:val="19"/>
                <w:szCs w:val="19"/>
              </w:rPr>
              <w:t xml:space="preserve">4</w:t>
            </w:r>
          </w:p>
        </w:tc>
      </w:tr>
      <w:tr>
        <w:trPr>
          <w:cantSplit/>
        </w:trPr>
        <w:tc>
          <w:tcPr>
            <w:tcW w:type="dxa" w:w="2620"/>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b/>
                <w:bCs/>
                <w:color w:val="7A1526"/>
                <w:sz w:val="17"/>
                <w:szCs w:val="17"/>
              </w:rPr>
              <w:t xml:space="preserve">C5. Excel + gráficas leídas del Excel</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Sin cuaderno reproducible ni Excel. </w:t>
            </w:r>
            <w:r>
              <w:rPr>
                <w:rFonts w:ascii="Cambria" w:cs="Cambria" w:eastAsia="Cambria" w:hAnsi="Cambria"/>
                <w:b/>
                <w:bCs/>
                <w:color w:val="2D2D2D"/>
                <w:sz w:val="16"/>
                <w:szCs w:val="16"/>
              </w:rPr>
              <w:t xml:space="preserve">(0)</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Vuelca algunas cifras al Excel pero grafica desde memoria. </w:t>
            </w:r>
            <w:r>
              <w:rPr>
                <w:rFonts w:ascii="Cambria" w:cs="Cambria" w:eastAsia="Cambria" w:hAnsi="Cambria"/>
                <w:b/>
                <w:bCs/>
                <w:color w:val="2D2D2D"/>
                <w:sz w:val="16"/>
                <w:szCs w:val="16"/>
              </w:rPr>
              <w:t xml:space="preserve">(1)</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Vuelca resultados a </w:t>
            </w:r>
            <w:r>
              <w:rPr>
                <w:rFonts w:ascii="Consolas" w:cs="Consolas" w:eastAsia="Consolas" w:hAnsi="Consolas"/>
                <w:color w:val="7A1526"/>
                <w:sz w:val="14"/>
                <w:szCs w:val="14"/>
              </w:rPr>
              <w:t xml:space="preserve">S09_resultados.xlsx</w:t>
            </w:r>
            <w:r>
              <w:rPr>
                <w:rFonts w:ascii="Cambria" w:cs="Cambria" w:eastAsia="Cambria" w:hAnsi="Cambria"/>
                <w:color w:val="2D2D2D"/>
                <w:sz w:val="16"/>
                <w:szCs w:val="16"/>
              </w:rPr>
              <w:t xml:space="preserve"> y grafica desde el Excel. </w:t>
            </w:r>
            <w:r>
              <w:rPr>
                <w:rFonts w:ascii="Cambria" w:cs="Cambria" w:eastAsia="Cambria" w:hAnsi="Cambria"/>
                <w:b/>
                <w:bCs/>
                <w:color w:val="2D2D2D"/>
                <w:sz w:val="16"/>
                <w:szCs w:val="16"/>
              </w:rPr>
              <w:t xml:space="preserve">(2)</w:t>
            </w:r>
          </w:p>
        </w:tc>
        <w:tc>
          <w:tcPr>
            <w:tcW w:type="dxa" w:w="163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Todos los resultados (coef/OR, ROC, matriz de confusión, umbral-vs-costo) en </w:t>
            </w:r>
            <w:r>
              <w:rPr>
                <w:rFonts w:ascii="Consolas" w:cs="Consolas" w:eastAsia="Consolas" w:hAnsi="Consolas"/>
                <w:color w:val="7A1526"/>
                <w:sz w:val="14"/>
                <w:szCs w:val="14"/>
              </w:rPr>
              <w:t xml:space="preserve">resultados/S09_resultados.xlsx</w:t>
            </w:r>
            <w:r>
              <w:rPr>
                <w:rFonts w:ascii="Cambria" w:cs="Cambria" w:eastAsia="Cambria" w:hAnsi="Cambria"/>
                <w:color w:val="2D2D2D"/>
                <w:sz w:val="16"/>
                <w:szCs w:val="16"/>
              </w:rPr>
              <w:t xml:space="preserve">, con </w:t>
            </w:r>
            <w:r>
              <w:rPr>
                <w:rFonts w:ascii="Cambria" w:cs="Cambria" w:eastAsia="Cambria" w:hAnsi="Cambria"/>
                <w:b/>
                <w:bCs/>
                <w:color w:val="2D2D2D"/>
                <w:sz w:val="16"/>
                <w:szCs w:val="16"/>
              </w:rPr>
              <w:t xml:space="preserve">figuras generadas al leer el Excel</w:t>
            </w:r>
            <w:r>
              <w:rPr>
                <w:rFonts w:ascii="Cambria" w:cs="Cambria" w:eastAsia="Cambria" w:hAnsi="Cambria"/>
                <w:color w:val="2D2D2D"/>
                <w:sz w:val="16"/>
                <w:szCs w:val="16"/>
              </w:rPr>
              <w:t xml:space="preserve"> (curva ROC, costo-vs-umbral, barras de OR) y toda cifra del informe trazable. </w:t>
            </w:r>
            <w:r>
              <w:rPr>
                <w:rFonts w:ascii="Cambria" w:cs="Cambria" w:eastAsia="Cambria" w:hAnsi="Cambria"/>
                <w:b/>
                <w:bCs/>
                <w:color w:val="2D2D2D"/>
                <w:sz w:val="16"/>
                <w:szCs w:val="16"/>
              </w:rPr>
              <w:t xml:space="preserve">(3)</w:t>
            </w:r>
          </w:p>
        </w:tc>
        <w:tc>
          <w:tcPr>
            <w:tcW w:type="dxa" w:w="908"/>
            <w:tcBorders>
              <w:top w:val="single" w:color="DFE2E6" w:sz="4"/>
              <w:left w:val="none" w:color="FFFFFF" w:sz="0"/>
              <w:bottom w:val="single" w:color="DFE2E6" w:sz="4"/>
              <w:right w:val="none" w:color="FFFFFF" w:sz="0"/>
            </w:tcBorders>
            <w:shd w:fill="FFFFFF" w:color="auto" w:val="clear"/>
            <w:tcMar>
              <w:top w:type="dxa" w:w="100"/>
              <w:left w:type="dxa" w:w="150"/>
              <w:bottom w:type="dxa" w:w="100"/>
              <w:right w:type="dxa" w:w="150"/>
            </w:tcMar>
            <w:vAlign w:val="center"/>
          </w:tcPr>
          <w:p>
            <w:pPr>
              <w:jc w:val="center"/>
            </w:pPr>
            <w:r>
              <w:rPr>
                <w:rFonts w:ascii="Calibri" w:cs="Calibri" w:eastAsia="Calibri" w:hAnsi="Calibri"/>
                <w:b/>
                <w:bCs/>
                <w:color w:val="7A1526"/>
                <w:sz w:val="19"/>
                <w:szCs w:val="19"/>
              </w:rPr>
              <w:t xml:space="preserve">3</w:t>
            </w:r>
          </w:p>
        </w:tc>
      </w:tr>
      <w:tr>
        <w:trPr>
          <w:cantSplit/>
        </w:trPr>
        <w:tc>
          <w:tcPr>
            <w:tcW w:type="dxa" w:w="2620"/>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b/>
                <w:bCs/>
                <w:color w:val="7A1526"/>
                <w:sz w:val="17"/>
                <w:szCs w:val="17"/>
              </w:rPr>
              <w:t xml:space="preserve">C6. Recomendación de retención + salvaguardas</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Sin recomendación. </w:t>
            </w:r>
            <w:r>
              <w:rPr>
                <w:rFonts w:ascii="Cambria" w:cs="Cambria" w:eastAsia="Cambria" w:hAnsi="Cambria"/>
                <w:b/>
                <w:bCs/>
                <w:color w:val="2D2D2D"/>
                <w:sz w:val="16"/>
                <w:szCs w:val="16"/>
              </w:rPr>
              <w:t xml:space="preserve">(0)</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Recomendación vaga, no ligada al modelo ni a los costos. </w:t>
            </w:r>
            <w:r>
              <w:rPr>
                <w:rFonts w:ascii="Cambria" w:cs="Cambria" w:eastAsia="Cambria" w:hAnsi="Cambria"/>
                <w:b/>
                <w:bCs/>
                <w:color w:val="2D2D2D"/>
                <w:sz w:val="16"/>
                <w:szCs w:val="16"/>
              </w:rPr>
              <w:t xml:space="preserve">(1)</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Recomienda a quién contactar con el umbral elegido, ligado al costo. </w:t>
            </w:r>
            <w:r>
              <w:rPr>
                <w:rFonts w:ascii="Cambria" w:cs="Cambria" w:eastAsia="Cambria" w:hAnsi="Cambria"/>
                <w:b/>
                <w:bCs/>
                <w:color w:val="2D2D2D"/>
                <w:sz w:val="16"/>
                <w:szCs w:val="16"/>
              </w:rPr>
              <w:t xml:space="preserve">(2)</w:t>
            </w:r>
          </w:p>
        </w:tc>
        <w:tc>
          <w:tcPr>
            <w:tcW w:type="dxa" w:w="163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top"/>
          </w:tcPr>
          <w:p>
            <w:pPr>
              <w:spacing w:line="250"/>
            </w:pPr>
            <w:r>
              <w:rPr>
                <w:rFonts w:ascii="Cambria" w:cs="Cambria" w:eastAsia="Cambria" w:hAnsi="Cambria"/>
                <w:color w:val="2D2D2D"/>
                <w:sz w:val="16"/>
                <w:szCs w:val="16"/>
              </w:rPr>
              <w:t xml:space="preserve">Recomendación accionable (a qué segmento contactar, cuántas fugas extra se captan y a qué costo vs. 0.50), ligada a los </w:t>
            </w:r>
            <w:r>
              <w:rPr>
                <w:rFonts w:ascii="Cambria" w:cs="Cambria" w:eastAsia="Cambria" w:hAnsi="Cambria"/>
                <w:b/>
                <w:bCs/>
                <w:color w:val="2D2D2D"/>
                <w:sz w:val="16"/>
                <w:szCs w:val="16"/>
              </w:rPr>
              <w:t xml:space="preserve">factores de fuga</w:t>
            </w:r>
            <w:r>
              <w:rPr>
                <w:rFonts w:ascii="Cambria" w:cs="Cambria" w:eastAsia="Cambria" w:hAnsi="Cambria"/>
                <w:color w:val="2D2D2D"/>
                <w:sz w:val="16"/>
                <w:szCs w:val="16"/>
              </w:rPr>
              <w:t xml:space="preserve"> (OR), con salvaguardas: </w:t>
            </w:r>
            <w:r>
              <w:rPr>
                <w:rFonts w:ascii="Cambria" w:cs="Cambria" w:eastAsia="Cambria" w:hAnsi="Cambria"/>
                <w:b/>
                <w:bCs/>
                <w:color w:val="2D2D2D"/>
                <w:sz w:val="16"/>
                <w:szCs w:val="16"/>
              </w:rPr>
              <w:t xml:space="preserve">OR </w:t>
            </w:r>
            <w:r>
              <w:rPr>
                <w:rFonts w:ascii="Calibri" w:cs="Calibri" w:eastAsia="Calibri" w:hAnsi="Calibri"/>
                <w:b/>
                <w:bCs/>
                <w:color w:val="2D2D2D"/>
                <w:sz w:val="16"/>
                <w:szCs w:val="16"/>
              </w:rPr>
              <w:t xml:space="preserve">≠</w:t>
            </w:r>
            <w:r>
              <w:rPr>
                <w:rFonts w:ascii="Cambria" w:cs="Cambria" w:eastAsia="Cambria" w:hAnsi="Cambria"/>
                <w:b/>
                <w:bCs/>
                <w:color w:val="2D2D2D"/>
                <w:sz w:val="16"/>
                <w:szCs w:val="16"/>
              </w:rPr>
              <w:t xml:space="preserve"> causa</w:t>
            </w:r>
            <w:r>
              <w:rPr>
                <w:rFonts w:ascii="Cambria" w:cs="Cambria" w:eastAsia="Cambria" w:hAnsi="Cambria"/>
                <w:color w:val="2D2D2D"/>
                <w:sz w:val="16"/>
                <w:szCs w:val="16"/>
              </w:rPr>
              <w:t xml:space="preserve"> (validar con A/B de S02), desbalance tratado con </w:t>
            </w:r>
            <w:r>
              <w:rPr>
                <w:rFonts w:ascii="Cambria" w:cs="Cambria" w:eastAsia="Cambria" w:hAnsi="Cambria"/>
                <w:b/>
                <w:bCs/>
                <w:color w:val="2D2D2D"/>
                <w:sz w:val="16"/>
                <w:szCs w:val="16"/>
              </w:rPr>
              <w:t xml:space="preserve">umbral</w:t>
            </w:r>
            <w:r>
              <w:rPr>
                <w:rFonts w:ascii="Cambria" w:cs="Cambria" w:eastAsia="Cambria" w:hAnsi="Cambria"/>
                <w:color w:val="2D2D2D"/>
                <w:sz w:val="16"/>
                <w:szCs w:val="16"/>
              </w:rPr>
              <w:t xml:space="preserve"> (no remuestreo, eso es S10). </w:t>
            </w:r>
            <w:r>
              <w:rPr>
                <w:rFonts w:ascii="Cambria" w:cs="Cambria" w:eastAsia="Cambria" w:hAnsi="Cambria"/>
                <w:b/>
                <w:bCs/>
                <w:color w:val="2D2D2D"/>
                <w:sz w:val="16"/>
                <w:szCs w:val="16"/>
              </w:rPr>
              <w:t xml:space="preserve">(3)</w:t>
            </w:r>
          </w:p>
        </w:tc>
        <w:tc>
          <w:tcPr>
            <w:tcW w:type="dxa" w:w="908"/>
            <w:tcBorders>
              <w:top w:val="single" w:color="DFE2E6" w:sz="4"/>
              <w:left w:val="none" w:color="FFFFFF" w:sz="0"/>
              <w:bottom w:val="single" w:color="DFE2E6" w:sz="4"/>
              <w:right w:val="none" w:color="FFFFFF" w:sz="0"/>
            </w:tcBorders>
            <w:shd w:fill="FBEFF1" w:color="auto" w:val="clear"/>
            <w:tcMar>
              <w:top w:type="dxa" w:w="100"/>
              <w:left w:type="dxa" w:w="150"/>
              <w:bottom w:type="dxa" w:w="100"/>
              <w:right w:type="dxa" w:w="150"/>
            </w:tcMar>
            <w:vAlign w:val="center"/>
          </w:tcPr>
          <w:p>
            <w:pPr>
              <w:jc w:val="center"/>
            </w:pPr>
            <w:r>
              <w:rPr>
                <w:rFonts w:ascii="Calibri" w:cs="Calibri" w:eastAsia="Calibri" w:hAnsi="Calibri"/>
                <w:b/>
                <w:bCs/>
                <w:color w:val="7A1526"/>
                <w:sz w:val="19"/>
                <w:szCs w:val="19"/>
              </w:rPr>
              <w:t xml:space="preserve">3</w:t>
            </w:r>
          </w:p>
        </w:tc>
      </w:tr>
    </w:tbl>
    <w:p>
      <w:pPr>
        <w:spacing w:after="8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single" w:color="D9D9D9" w:sz="4"/>
              <w:left w:val="none" w:color="FFFFFF" w:sz="0"/>
              <w:bottom w:val="single" w:color="D9D9D9" w:sz="4"/>
              <w:right w:val="none" w:color="FFFFFF" w:sz="0"/>
            </w:tcBorders>
            <w:shd w:fill="F2F3F5" w:color="auto" w:val="clear"/>
            <w:tcMar>
              <w:top w:type="dxa" w:w="130"/>
              <w:left w:type="dxa" w:w="150"/>
              <w:bottom w:type="dxa" w:w="130"/>
              <w:right w:type="dxa" w:w="150"/>
            </w:tcMar>
          </w:tcPr>
          <w:p>
            <w:pPr>
              <w:jc w:val="center"/>
            </w:pPr>
            <w:r>
              <w:rPr>
                <w:rFonts w:ascii="Calibri" w:cs="Calibri" w:eastAsia="Calibri" w:hAnsi="Calibri"/>
                <w:b/>
                <w:bCs/>
                <w:color w:val="7A1526"/>
                <w:sz w:val="18"/>
                <w:szCs w:val="18"/>
              </w:rPr>
              <w:t xml:space="preserve">Puntaje total = C1 + C2 + C3 + C4 + C5 + C6 = 3 + 3 + 4 + 4 + 3 + 3 = 20 puntos.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4.1   </w:t>
            </w:r>
            <w:r>
              <w:rPr>
                <w:rFonts w:ascii="Calibri" w:cs="Calibri" w:eastAsia="Calibri" w:hAnsi="Calibri"/>
                <w:b/>
                <w:bCs/>
                <w:color w:val="7A1526"/>
                <w:sz w:val="19"/>
                <w:szCs w:val="19"/>
              </w:rPr>
              <w:t xml:space="preserve">Honestidad analítica: no hay una única política, pero sí reglas de lectura</w:t>
            </w:r>
          </w:p>
          <w:p>
            <w:pPr>
              <w:spacing w:after="70" w:line="265"/>
            </w:pPr>
            <w:r>
              <w:rPr>
                <w:rFonts w:ascii="Cambria" w:cs="Cambria" w:eastAsia="Cambria" w:hAnsi="Cambria"/>
                <w:color w:val="3A3A3A"/>
                <w:sz w:val="18"/>
                <w:szCs w:val="18"/>
              </w:rPr>
              <w:t xml:space="preserve">No hay una única política de retención «correcta» —otros costos supuestos o umbral defendible pueden puntuar alto si el razonamiento es coherente y </w:t>
            </w:r>
            <w:r>
              <w:rPr>
                <w:rFonts w:ascii="Cambria" w:cs="Cambria" w:eastAsia="Cambria" w:hAnsi="Cambria"/>
                <w:b/>
                <w:bCs/>
                <w:color w:val="3A3A3A"/>
                <w:sz w:val="18"/>
                <w:szCs w:val="18"/>
              </w:rPr>
              <w:t xml:space="preserve">trazable al Excel</w:t>
            </w:r>
            <w:r>
              <w:rPr>
                <w:rFonts w:ascii="Cambria" w:cs="Cambria" w:eastAsia="Cambria" w:hAnsi="Cambria"/>
                <w:color w:val="3A3A3A"/>
                <w:sz w:val="18"/>
                <w:szCs w:val="18"/>
              </w:rPr>
              <w:t xml:space="preserve">—, pero el análisis debe respetar las reglas de lectura de la sesión. Como referencia, sobre Telco un </w:t>
            </w:r>
            <w:r>
              <w:rPr>
                <w:rFonts w:ascii="Consolas" w:cs="Consolas" w:eastAsia="Consolas" w:hAnsi="Consolas"/>
                <w:color w:val="7A1526"/>
                <w:sz w:val="16"/>
                <w:szCs w:val="16"/>
              </w:rPr>
              <w:t xml:space="preserve">LogisticRegression</w:t>
            </w:r>
            <w:r>
              <w:rPr>
                <w:rFonts w:ascii="Cambria" w:cs="Cambria" w:eastAsia="Cambria" w:hAnsi="Cambria"/>
                <w:color w:val="3A3A3A"/>
                <w:sz w:val="18"/>
                <w:szCs w:val="18"/>
              </w:rPr>
              <w:t xml:space="preserve"> bien preparado alcanza un </w:t>
            </w:r>
            <w:r>
              <w:rPr>
                <w:rFonts w:ascii="Cambria" w:cs="Cambria" w:eastAsia="Cambria" w:hAnsi="Cambria"/>
                <w:b/>
                <w:bCs/>
                <w:color w:val="3A3A3A"/>
                <w:sz w:val="18"/>
                <w:szCs w:val="18"/>
              </w:rPr>
              <w:t xml:space="preserve">AUC ≈ 0.84</w:t>
            </w:r>
            <w:r>
              <w:rPr>
                <w:rFonts w:ascii="Cambria" w:cs="Cambria" w:eastAsia="Cambria" w:hAnsi="Cambria"/>
                <w:color w:val="3A3A3A"/>
                <w:sz w:val="18"/>
                <w:szCs w:val="18"/>
              </w:rPr>
              <w:t xml:space="preserve"> en prueba (valor operativo del venv) —que debe reportarse con su </w:t>
            </w:r>
            <w:r>
              <w:rPr>
                <w:rFonts w:ascii="Cambria" w:cs="Cambria" w:eastAsia="Cambria" w:hAnsi="Cambria"/>
                <w:b/>
                <w:bCs/>
                <w:color w:val="3A3A3A"/>
                <w:sz w:val="18"/>
                <w:szCs w:val="18"/>
              </w:rPr>
              <w:t xml:space="preserve">banda de incertidumbre</w:t>
            </w:r>
            <w:r>
              <w:rPr>
                <w:rFonts w:ascii="Cambria" w:cs="Cambria" w:eastAsia="Cambria" w:hAnsi="Cambria"/>
                <w:color w:val="3A3A3A"/>
                <w:sz w:val="18"/>
                <w:szCs w:val="18"/>
              </w:rPr>
              <w:t xml:space="preserve"> (IC de DeLong o dispersión por validación cruzada), no como punto fijo—, con </w:t>
            </w:r>
            <w:r>
              <w:rPr>
                <w:rFonts w:ascii="Cambria" w:cs="Cambria" w:eastAsia="Cambria" w:hAnsi="Cambria"/>
                <w:b/>
                <w:bCs/>
                <w:color w:val="3A3A3A"/>
                <w:sz w:val="18"/>
                <w:szCs w:val="18"/>
              </w:rPr>
              <w:t xml:space="preserve">contrato bianual</w:t>
            </w:r>
            <w:r>
              <w:rPr>
                <w:rFonts w:ascii="Cambria" w:cs="Cambria" w:eastAsia="Cambria" w:hAnsi="Cambria"/>
                <w:color w:val="3A3A3A"/>
                <w:sz w:val="18"/>
                <w:szCs w:val="18"/>
              </w:rPr>
              <w:t xml:space="preserve"> y </w:t>
            </w:r>
            <w:r>
              <w:rPr>
                <w:rFonts w:ascii="Cambria" w:cs="Cambria" w:eastAsia="Cambria" w:hAnsi="Cambria"/>
                <w:b/>
                <w:bCs/>
                <w:color w:val="3A3A3A"/>
                <w:sz w:val="18"/>
                <w:szCs w:val="18"/>
              </w:rPr>
              <w:t xml:space="preserve">antigüedad alta</w:t>
            </w:r>
            <w:r>
              <w:rPr>
                <w:rFonts w:ascii="Cambria" w:cs="Cambria" w:eastAsia="Cambria" w:hAnsi="Cambria"/>
                <w:color w:val="3A3A3A"/>
                <w:sz w:val="18"/>
                <w:szCs w:val="18"/>
              </w:rPr>
              <w:t xml:space="preserve"> como los factores protectores más fuertes (OR bien por debajo de 1) y </w:t>
            </w:r>
            <w:r>
              <w:rPr>
                <w:rFonts w:ascii="Cambria" w:cs="Cambria" w:eastAsia="Cambria" w:hAnsi="Cambria"/>
                <w:b/>
                <w:bCs/>
                <w:color w:val="3A3A3A"/>
                <w:sz w:val="18"/>
                <w:szCs w:val="18"/>
              </w:rPr>
              <w:t xml:space="preserve">fibra óptica</w:t>
            </w:r>
            <w:r>
              <w:rPr>
                <w:rFonts w:ascii="Cambria" w:cs="Cambria" w:eastAsia="Cambria" w:hAnsi="Cambria"/>
                <w:color w:val="3A3A3A"/>
                <w:sz w:val="18"/>
                <w:szCs w:val="18"/>
              </w:rPr>
              <w:t xml:space="preserve"> y </w:t>
            </w:r>
            <w:r>
              <w:rPr>
                <w:rFonts w:ascii="Cambria" w:cs="Cambria" w:eastAsia="Cambria" w:hAnsi="Cambria"/>
                <w:b/>
                <w:bCs/>
                <w:color w:val="3A3A3A"/>
                <w:sz w:val="18"/>
                <w:szCs w:val="18"/>
              </w:rPr>
              <w:t xml:space="preserve">cargo mensual alto</w:t>
            </w:r>
            <w:r>
              <w:rPr>
                <w:rFonts w:ascii="Cambria" w:cs="Cambria" w:eastAsia="Cambria" w:hAnsi="Cambria"/>
                <w:color w:val="3A3A3A"/>
                <w:sz w:val="18"/>
                <w:szCs w:val="18"/>
              </w:rPr>
              <w:t xml:space="preserve"> como factores de riesgo (OR por encima de 1). Un trabajo que deje el umbral en 0.50 sin justificar por costo, optimice la exactitud, ajuste el umbral al mirar el conjunto de prueba, interprete el AUC como exactitud o el OR como causa, o use SMOTE/remuestreo (S10) no puede alcanzar C3/C4/C6 altos.</w:t>
            </w:r>
          </w:p>
        </w:tc>
      </w:tr>
    </w:tbl>
    <w:p>
      <w:pPr>
        <w:spacing w:after="220"/>
      </w:pPr>
    </w:p>
    <w:p>
      <w:pPr>
        <w:spacing w:after="260" w:line="265"/>
      </w:pPr>
      <w:r>
        <w:rPr>
          <w:rFonts w:ascii="Cambria" w:cs="Cambria" w:eastAsia="Cambria" w:hAnsi="Cambria"/>
          <w:i/>
          <w:iCs/>
          <w:color w:val="6E6E6E"/>
          <w:sz w:val="18"/>
          <w:szCs w:val="18"/>
        </w:rPr>
        <w:t xml:space="preserve">El desempeño en este entregable se refuerza con el </w:t>
      </w:r>
      <w:r>
        <w:rPr>
          <w:rFonts w:ascii="Cambria" w:cs="Cambria" w:eastAsia="Cambria" w:hAnsi="Cambria"/>
          <w:b/>
          <w:bCs/>
          <w:i/>
          <w:iCs/>
          <w:color w:val="6E6E6E"/>
          <w:sz w:val="18"/>
          <w:szCs w:val="18"/>
        </w:rPr>
        <w:t xml:space="preserve">control corto</w:t>
      </w:r>
      <w:r>
        <w:rPr>
          <w:rFonts w:ascii="Cambria" w:cs="Cambria" w:eastAsia="Cambria" w:hAnsi="Cambria"/>
          <w:i/>
          <w:iCs/>
          <w:color w:val="6E6E6E"/>
          <w:sz w:val="18"/>
          <w:szCs w:val="18"/>
        </w:rPr>
        <w:t xml:space="preserve"> de cierre y con los ítems [S09] del banco de exámenes. Alimenta la fase «Modelado» del proyecto integrador. Lecturas de apoyo: Nelder &amp; Wedderburn (1972, marco GLM), Hosmer, Lemeshow &amp; Sturdivant (2013, odds ratio y construcción de modelos), King &amp; Zeng (2001, umbral y costo en eventos raros) e ISLR cap. 4 en la bibliografía de la sesión.</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Entregable evaluable — Sesión S09: modelo logístico de churn, umbral por costo y recomendación de retención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evaluable — Sesión S09</dc:title>
  <dc:creator>UPC</dc:creator>
  <dc:description>Modelo logístico de churn, umbral por costo y recomendación de retención (Telco)</dc:description>
  <cp:lastModifiedBy>Un-named</cp:lastModifiedBy>
  <cp:revision>1</cp:revision>
  <dcterms:created xsi:type="dcterms:W3CDTF">2026-09-11T14:14:15.056Z</dcterms:created>
  <dcterms:modified xsi:type="dcterms:W3CDTF">2026-09-11T14:14:15.056Z</dcterms:modified>
</cp:coreProperties>
</file>

<file path=docProps/custom.xml><?xml version="1.0" encoding="utf-8"?>
<Properties xmlns="http://schemas.openxmlformats.org/officeDocument/2006/custom-properties" xmlns:vt="http://schemas.openxmlformats.org/officeDocument/2006/docPropsVTypes"/>
</file>