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Plantilla de evaluación de un clasificador — ROC/AUC, matriz de confusión y umbral por costo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Plantilla de trabajo de la Sesión S09 — Herramientas para la Ciencia de Datos (UPC). Convierte las probabilidades de un modelo de clasificación (regresión logística) en una decisión de negocio: primero se evalúa el </w:t>
      </w:r>
      <w:r>
        <w:rPr>
          <w:b/>
          <w:color w:val="2D2D2D"/>
        </w:rPr>
        <w:t>ordenamiento</w:t>
      </w:r>
      <w:r>
        <w:rPr>
          <w:color w:val="2D2D2D"/>
        </w:rPr>
        <w:t xml:space="preserve"> con la curva ROC y el AUC, luego se fija un </w:t>
      </w:r>
      <w:r>
        <w:rPr>
          <w:b/>
          <w:color w:val="2D2D2D"/>
        </w:rPr>
        <w:t>umbral</w:t>
      </w:r>
      <w:r>
        <w:rPr>
          <w:color w:val="2D2D2D"/>
        </w:rPr>
        <w:t xml:space="preserve"> y se leen sus errores en la matriz de confusión, y por último se elige el umbral que </w:t>
      </w:r>
      <w:r>
        <w:rPr>
          <w:b/>
          <w:color w:val="2D2D2D"/>
        </w:rPr>
        <w:t>minimiza el costo esperado</w:t>
      </w:r>
      <w:r>
        <w:rPr>
          <w:color w:val="2D2D2D"/>
        </w:rPr>
        <w:t xml:space="preserve"> del error. Se completa con los resultados del cuaderno </w:t>
      </w:r>
      <w:r>
        <w:rPr>
          <w:rFonts w:ascii="Consolas" w:hAnsi="Consolas"/>
          <w:color w:val="2D2D2D"/>
          <w:sz w:val="19"/>
        </w:rPr>
        <w:t>notebook/S09_logistica_glm.ipynb</w:t>
      </w:r>
      <w:r>
        <w:rPr>
          <w:color w:val="2D2D2D"/>
        </w:rPr>
        <w:t xml:space="preserve"> y del archivo </w:t>
      </w:r>
      <w:r>
        <w:rPr>
          <w:rFonts w:ascii="Consolas" w:hAnsi="Consolas"/>
          <w:color w:val="2D2D2D"/>
          <w:sz w:val="19"/>
        </w:rPr>
        <w:t>resultados/S09_resultados.xlsx</w:t>
      </w:r>
      <w:r>
        <w:rPr>
          <w:color w:val="2D2D2D"/>
        </w:rPr>
        <w:t>. Una a dos páginas, cada cifra técnica traducida a una frase de negocio. Español impersonal. Fechas DD/MM/YYYY, UTF-8.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Concepto</w:t>
      </w:r>
    </w:p>
    <w:p>
      <w:pPr>
        <w:jc w:val="both"/>
      </w:pPr>
      <w:r>
        <w:t xml:space="preserve">Un clasificador entrega una </w:t>
      </w:r>
      <w:r>
        <w:rPr>
          <w:b/>
        </w:rPr>
        <w:t>probabilidad</w:t>
      </w:r>
      <w:r>
        <w:t xml:space="preserve"> </w:t>
      </w:r>
      <w:r>
        <w:rPr>
          <w:rFonts w:ascii="Consolas" w:hAnsi="Consolas"/>
          <w:color w:val="9B1B30"/>
          <w:sz w:val="19"/>
        </w:rPr>
        <w:t>p̂</w:t>
      </w:r>
      <w:r>
        <w:t xml:space="preserve"> (de fuga, de impago, de compra), no una etiqueta. Evaluarlo tiene dos capas que no se deben confundir. La primera es el </w:t>
      </w:r>
      <w:r>
        <w:rPr>
          <w:b/>
        </w:rPr>
        <w:t>poder de ordenamiento</w:t>
      </w:r>
      <w:r>
        <w:t xml:space="preserve">, independiente del umbral: ¿el modelo puntúa más alto a los positivos que a los negativos? Eso lo miden la curva </w:t>
      </w:r>
      <w:r>
        <w:rPr>
          <w:b/>
        </w:rPr>
        <w:t>ROC</w:t>
      </w:r>
      <w:r>
        <w:t xml:space="preserve"> y el </w:t>
      </w:r>
      <w:r>
        <w:rPr>
          <w:b/>
        </w:rPr>
        <w:t>AUC</w:t>
      </w:r>
      <w:r>
        <w:t xml:space="preserve">. La segunda es la </w:t>
      </w:r>
      <w:r>
        <w:rPr>
          <w:b/>
        </w:rPr>
        <w:t>decisión</w:t>
      </w:r>
      <w:r>
        <w:t xml:space="preserve">: al fijar un </w:t>
      </w:r>
      <w:r>
        <w:rPr>
          <w:b/>
        </w:rPr>
        <w:t>umbral</w:t>
      </w:r>
      <w:r>
        <w:t xml:space="preserve"> </w:t>
      </w:r>
      <w:r>
        <w:rPr>
          <w:rFonts w:ascii="Consolas" w:hAnsi="Consolas"/>
          <w:color w:val="9B1B30"/>
          <w:sz w:val="19"/>
        </w:rPr>
        <w:t>t</w:t>
      </w:r>
      <w:r>
        <w:t xml:space="preserve"> (se predice positivo si </w:t>
      </w:r>
      <w:r>
        <w:rPr>
          <w:rFonts w:ascii="Consolas" w:hAnsi="Consolas"/>
          <w:color w:val="9B1B30"/>
          <w:sz w:val="19"/>
        </w:rPr>
        <w:t>p̂ ≥ t</w:t>
      </w:r>
      <w:r>
        <w:t xml:space="preserve">), cada caso cae en la </w:t>
      </w:r>
      <w:r>
        <w:rPr>
          <w:b/>
        </w:rPr>
        <w:t>matriz de confusión</w:t>
      </w:r>
      <w:r>
        <w:t xml:space="preserve"> y genera errores de dos tipos —falsos negativos (FN) y falsos positivos (FP)— que casi nunca cuestan lo mismo. El AUC dice "qué tan bien ordena"; la matriz de confusión en el umbral elegido dice "qué decisión toma y a qué costo". Se reportan </w:t>
      </w:r>
      <w:r>
        <w:rPr>
          <w:b/>
        </w:rPr>
        <w:t>juntos</w:t>
      </w:r>
      <w:r>
        <w:t>, nunca uno solo.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Metadatos del reporte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 a completar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Analista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Fecha del análisis (DD/MM/YYYY)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Dataset / fuente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Variable objetivo (evento positivo = 1)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Partición para validar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train ___ % / test ___ % (semilla ___)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Herramienta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Python (scikit-learn </w:t>
            </w:r>
            <w:r>
              <w:rPr>
                <w:rFonts w:ascii="Consolas" w:hAnsi="Consolas"/>
                <w:color w:val="9B1B30"/>
                <w:sz w:val="19"/>
              </w:rPr>
              <w:t>roc_curve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roc_auc_score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confusion_matrix</w:t>
            </w:r>
            <w:r>
              <w:rPr>
                <w:sz w:val="19"/>
              </w:rPr>
              <w:t>) — notebook/S09_logistica_glm.ipynb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1. Leer la curva ROC y el AUC (ordenamiento, sin umbral)</w:t>
      </w:r>
    </w:p>
    <w:p>
      <w:pPr>
        <w:jc w:val="both"/>
      </w:pPr>
      <w:r>
        <w:t xml:space="preserve">La </w:t>
      </w:r>
      <w:r>
        <w:rPr>
          <w:b/>
        </w:rPr>
        <w:t>curva ROC</w:t>
      </w:r>
      <w:r>
        <w:t xml:space="preserve"> traza la </w:t>
      </w:r>
      <w:r>
        <w:rPr>
          <w:b/>
        </w:rPr>
        <w:t>sensibilidad (TPR)</w:t>
      </w:r>
      <w:r>
        <w:t xml:space="preserve"> en el eje Y frente a la </w:t>
      </w:r>
      <w:r>
        <w:rPr>
          <w:b/>
        </w:rPr>
        <w:t>tasa de falsos positivos (FPR = 1 − especificidad)</w:t>
      </w:r>
      <w:r>
        <w:t xml:space="preserve"> en el eje X, al barrer el umbral de 0 a 1. Cada punto es un umbral posible. La </w:t>
      </w:r>
      <w:r>
        <w:rPr>
          <w:b/>
        </w:rPr>
        <w:t>diagonal</w:t>
      </w:r>
      <w:r>
        <w:t xml:space="preserve"> es el azar; una curva que </w:t>
      </w:r>
      <w:r>
        <w:rPr>
          <w:b/>
        </w:rPr>
        <w:t>se aproxima a la esquina superior izquierda</w:t>
      </w:r>
      <w:r>
        <w:t xml:space="preserve"> indica buen clasificador.</w:t>
      </w:r>
    </w:p>
    <w:p>
      <w:pPr>
        <w:jc w:val="both"/>
      </w:pPr>
      <w:r>
        <w:t xml:space="preserve">El </w:t>
      </w:r>
      <w:r>
        <w:rPr>
          <w:b/>
        </w:rPr>
        <w:t>AUC</w:t>
      </w:r>
      <w:r>
        <w:t xml:space="preserve"> (</w:t>
      </w:r>
      <w:r>
        <w:rPr>
          <w:rFonts w:ascii="Consolas" w:hAnsi="Consolas"/>
          <w:color w:val="9B1B30"/>
          <w:sz w:val="19"/>
        </w:rPr>
        <w:t>roc_auc_score</w:t>
      </w:r>
      <w:r>
        <w:t xml:space="preserve">) resume la curva en un número en </w:t>
      </w:r>
      <w:r>
        <w:rPr>
          <w:rFonts w:ascii="Consolas" w:hAnsi="Consolas"/>
          <w:color w:val="9B1B30"/>
          <w:sz w:val="19"/>
        </w:rPr>
        <w:t>[0,5, 1]</w:t>
      </w:r>
      <w:r>
        <w:t xml:space="preserve">. Interpretación probabilística: es la </w:t>
      </w:r>
      <w:r>
        <w:rPr>
          <w:b/>
        </w:rPr>
        <w:t>probabilidad de que el modelo puntúe más alto a un positivo tomado al azar que a un negativo tomado al azar</w:t>
      </w:r>
      <w: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Guía orientativa del AUC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Lectura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0,5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azar (la diagonal)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0,7 – 0,8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aceptable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0,8 – 0,9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bueno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&gt; 0,9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excelente (y sospechar fuga de información si roza 1 en negocio)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</w:rPr>
        <w:t>AUC del modelo = ___</w:t>
      </w:r>
      <w:r>
        <w:t xml:space="preserve"> → lectura de negocio: "el modelo ordena bien / de forma aceptable / pobre a los clientes por su riesgo de ___".</w:t>
      </w:r>
    </w:p>
    <w:p>
      <w:pPr>
        <w:pStyle w:val="ListBullet"/>
        <w:spacing w:after="40"/>
      </w:pPr>
      <w:r>
        <w:rPr>
          <w:b/>
        </w:rPr>
        <w:t>Qué mide y qué NO:</w:t>
      </w:r>
      <w:r>
        <w:t xml:space="preserve"> el AUC evalúa solo el </w:t>
      </w:r>
      <w:r>
        <w:rPr>
          <w:b/>
        </w:rPr>
        <w:t>ranking</w:t>
      </w:r>
      <w:r>
        <w:t xml:space="preserve">, con independencia del umbral; </w:t>
      </w:r>
      <w:r>
        <w:rPr>
          <w:b/>
        </w:rPr>
        <w:t>no</w:t>
      </w:r>
      <w:r>
        <w:t xml:space="preserve"> dice qué decisión tomar. Por eso se acompaña siempre de la matriz de confusión (Sección 2) en el umbral elegido (Sección 3).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Advertencias de lectura del AUC.</w:t>
      </w:r>
      <w:r>
        <w:rPr>
          <w:color w:val="2D2D2D"/>
        </w:rPr>
        <w:t xml:space="preserve"> (1) No confundir AUC con exactitud: son conceptos distintos (el AUC no depende del umbral; la exactitud sí). (2) No comparar AUC entre datasets o particiones distintas como si fueran comparables. (3) Con clases muy desbalanceadas, un AUC-ROC alto no prueba buen desempeño sobre la minoría; ese matiz (PR-AUC) se profundiza en S10 — aquí basta con reportar el AUC junto a recall y precisión. (4) </w:t>
      </w:r>
      <w:r>
        <w:rPr>
          <w:b/>
          <w:color w:val="2D2D2D"/>
        </w:rPr>
        <w:t>El AUC es una estimación puntual, no un valor exacto:</w:t>
      </w:r>
      <w:r>
        <w:rPr>
          <w:color w:val="2D2D2D"/>
        </w:rPr>
        <w:t xml:space="preserve"> se reporta con su </w:t>
      </w:r>
      <w:r>
        <w:rPr>
          <w:b/>
          <w:color w:val="2D2D2D"/>
        </w:rPr>
        <w:t>banda de incertidumbre</w:t>
      </w:r>
      <w:r>
        <w:rPr>
          <w:color w:val="2D2D2D"/>
        </w:rPr>
        <w:t xml:space="preserve"> —intervalo de confianza de </w:t>
      </w:r>
      <w:r>
        <w:rPr>
          <w:b/>
          <w:color w:val="2D2D2D"/>
        </w:rPr>
        <w:t>DeLong</w:t>
      </w:r>
      <w:r>
        <w:rPr>
          <w:color w:val="2D2D2D"/>
        </w:rPr>
        <w:t xml:space="preserve"> o dispersión por </w:t>
      </w:r>
      <w:r>
        <w:rPr>
          <w:b/>
          <w:color w:val="2D2D2D"/>
        </w:rPr>
        <w:t>validación cruzada</w:t>
      </w:r>
      <w:r>
        <w:rPr>
          <w:color w:val="2D2D2D"/>
        </w:rPr>
        <w:t>— (p. ej. «AUC = 0,84 [IC 95 % 0,81–0,87]»), no como un número seco.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2. Leer la matriz de confusión (a un umbral fijo)</w:t>
      </w:r>
    </w:p>
    <w:p>
      <w:pPr>
        <w:jc w:val="both"/>
      </w:pPr>
      <w:r>
        <w:t>Al fijar el umbral, cada caso se clasifica y se cruza con la clase real. Convención de scikit-learn (filas = real, columnas = predicho, orden 0 luego 1):</w:t>
      </w:r>
    </w:p>
    <w:p>
      <w:pPr>
        <w:spacing w:before="80" w:after="120"/>
        <w:ind w:left="170"/>
        <w:shd w:val="clear" w:color="auto" w:fill="F4F4F4"/>
        <w:pBdr>
          <w:left w:val="single" w:sz="12" w:space="6" w:color="6E6E6E"/>
        </w:pBdr>
      </w:pPr>
      <w:r>
        <w:rPr>
          <w:rFonts w:ascii="Consolas" w:hAnsi="Consolas"/>
          <w:color w:val="2D2D2D"/>
          <w:sz w:val="18"/>
        </w:rPr>
        <w:t xml:space="preserve"> Predicho 0 (negativo) Predicho 1 (positivo)</w:t>
        <w:br/>
        <w:t>Real 0 (negativo) VN FP</w:t>
        <w:br/>
        <w:t>Real 1 (positivo) FN VP</w:t>
      </w:r>
    </w:p>
    <w:p>
      <w:pPr>
        <w:pStyle w:val="ListBullet"/>
        <w:spacing w:after="40"/>
      </w:pPr>
      <w:r>
        <w:rPr>
          <w:b/>
        </w:rPr>
        <w:t>VP</w:t>
      </w:r>
      <w:r>
        <w:t xml:space="preserve"> verdaderos positivos — </w:t>
      </w:r>
      <w:r>
        <w:rPr>
          <w:b/>
        </w:rPr>
        <w:t>VN</w:t>
      </w:r>
      <w:r>
        <w:t xml:space="preserve"> verdaderos negativos.</w:t>
      </w:r>
    </w:p>
    <w:p>
      <w:pPr>
        <w:pStyle w:val="ListBullet"/>
        <w:spacing w:after="40"/>
      </w:pPr>
      <w:r>
        <w:rPr>
          <w:b/>
        </w:rPr>
        <w:t>FP</w:t>
      </w:r>
      <w:r>
        <w:t xml:space="preserve"> falso positivo: se predijo positivo y era negativo (falsa alarma).</w:t>
      </w:r>
    </w:p>
    <w:p>
      <w:pPr>
        <w:pStyle w:val="ListBullet"/>
        <w:spacing w:after="40"/>
      </w:pPr>
      <w:r>
        <w:rPr>
          <w:b/>
        </w:rPr>
        <w:t>FN</w:t>
      </w:r>
      <w:r>
        <w:t xml:space="preserve"> falso negativo: se predijo negativo y era positivo (positivo que se escapó).</w:t>
      </w:r>
    </w:p>
    <w:p>
      <w:pPr>
        <w:jc w:val="both"/>
      </w:pPr>
      <w:r>
        <w:t>Métricas derivadas y la pregunta de negocio que responde cada una: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Fórmula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Pregunta que responde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 a completar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Exactitud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(VP+VN)/N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¿qué fracción acierta? (induce a error si hay clase minoritaria)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Precisión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VP/(VP+FP)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 los casos marcados como positivos, ¿cuántos lo eran realmente?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Sensibilidad / recall (TPR)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VP/(VP+FN)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 los positivos reales, ¿cuántos se detectaron?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Especificidad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VN/(VN+FP)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 los negativos reales, ¿cuántos se clasificaron como negativos?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FPR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FP/(FP+VN)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 los negativos reales, ¿cuántos se marcaron por error como positivos? (= 1 − especificidad)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Clave de negocio.</w:t>
      </w:r>
      <w:r>
        <w:rPr>
          <w:color w:val="2D2D2D"/>
        </w:rPr>
        <w:t xml:space="preserve"> La </w:t>
      </w:r>
      <w:r>
        <w:rPr>
          <w:b/>
          <w:color w:val="2D2D2D"/>
        </w:rPr>
        <w:t>exactitud</w:t>
      </w:r>
      <w:r>
        <w:rPr>
          <w:color w:val="2D2D2D"/>
        </w:rPr>
        <w:t xml:space="preserve"> por sí sola induce a error cuando una clase es minoritaria: predecir "nadie es positivo" puede dar exactitud alta y ser inútil. Casi siempre importa más la </w:t>
      </w:r>
      <w:r>
        <w:rPr>
          <w:b/>
          <w:color w:val="2D2D2D"/>
        </w:rPr>
        <w:t>sensibilidad</w:t>
      </w:r>
      <w:r>
        <w:rPr>
          <w:color w:val="2D2D2D"/>
        </w:rPr>
        <w:t xml:space="preserve"> (no omitir positivos = pocos FN) leída junto a la precisión. Una exactitud alta con recall bajo es señal de alarma, no de éxito.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3. Tabla de umbral — barrido y costo esperado</w:t>
      </w:r>
    </w:p>
    <w:p>
      <w:pPr>
        <w:jc w:val="both"/>
      </w:pPr>
      <w:r>
        <w:t xml:space="preserve">El </w:t>
      </w:r>
      <w:r>
        <w:rPr>
          <w:rFonts w:ascii="Consolas" w:hAnsi="Consolas"/>
          <w:color w:val="9B1B30"/>
          <w:sz w:val="19"/>
        </w:rPr>
        <w:t>0,5</w:t>
      </w:r>
      <w:r>
        <w:t xml:space="preserve"> por defecto rara vez es el punto correcto. Se recorre un rango de umbrales y, para cada uno, se tabulan los conteos, las métricas y el </w:t>
      </w:r>
      <w:r>
        <w:rPr>
          <w:b/>
        </w:rPr>
        <w:t>costo total esperado</w:t>
      </w:r>
      <w:r>
        <w:t xml:space="preserve"> </w:t>
      </w:r>
      <w:r>
        <w:rPr>
          <w:rFonts w:ascii="Consolas" w:hAnsi="Consolas"/>
          <w:color w:val="9B1B30"/>
          <w:sz w:val="19"/>
        </w:rPr>
        <w:t>= C_FN·FN + C_FP·FP</w:t>
      </w:r>
      <w:r>
        <w:t xml:space="preserve">. Se completa con los conteos que el cuaderno exporta a </w:t>
      </w:r>
      <w:r>
        <w:rPr>
          <w:rFonts w:ascii="Consolas" w:hAnsi="Consolas"/>
          <w:color w:val="9B1B30"/>
          <w:sz w:val="19"/>
        </w:rPr>
        <w:t>resultados/S09_resultados.xlsx</w:t>
      </w:r>
      <w:r>
        <w:t>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Qué mide este costo (y qué no).</w:t>
      </w:r>
      <w:r>
        <w:rPr>
          <w:color w:val="2D2D2D"/>
        </w:rPr>
        <w:t xml:space="preserve"> El «costo total esperado» </w:t>
      </w:r>
      <w:r>
        <w:rPr>
          <w:rFonts w:ascii="Consolas" w:hAnsi="Consolas"/>
          <w:color w:val="2D2D2D"/>
          <w:sz w:val="19"/>
        </w:rPr>
        <w:t>C_FN·FN + C_FP·FP</w:t>
      </w:r>
      <w:r>
        <w:rPr>
          <w:color w:val="2D2D2D"/>
        </w:rPr>
        <w:t xml:space="preserve"> es el </w:t>
      </w:r>
      <w:r>
        <w:rPr>
          <w:b/>
          <w:color w:val="2D2D2D"/>
        </w:rPr>
        <w:t>costo de los errores</w:t>
      </w:r>
      <w:r>
        <w:rPr>
          <w:color w:val="2D2D2D"/>
        </w:rPr>
        <w:t xml:space="preserve"> de clasificación, y es el </w:t>
      </w:r>
      <w:r>
        <w:rPr>
          <w:b/>
          <w:color w:val="2D2D2D"/>
        </w:rPr>
        <w:t>criterio para elegir el umbral</w:t>
      </w:r>
      <w:r>
        <w:rPr>
          <w:color w:val="2D2D2D"/>
        </w:rPr>
        <w:t xml:space="preserve">. </w:t>
      </w:r>
      <w:r>
        <w:rPr>
          <w:b/>
          <w:color w:val="2D2D2D"/>
        </w:rPr>
        <w:t>No</w:t>
      </w:r>
      <w:r>
        <w:rPr>
          <w:color w:val="2D2D2D"/>
        </w:rPr>
        <w:t xml:space="preserve"> es el costo total ni el </w:t>
      </w:r>
      <w:r>
        <w:rPr>
          <w:b/>
          <w:color w:val="2D2D2D"/>
        </w:rPr>
        <w:t>ROI</w:t>
      </w:r>
      <w:r>
        <w:rPr>
          <w:color w:val="2D2D2D"/>
        </w:rPr>
        <w:t xml:space="preserve"> de la acción de negocio (p. ej. una campaña): el costo de campaña contacta </w:t>
      </w:r>
      <w:r>
        <w:rPr>
          <w:b/>
          <w:color w:val="2D2D2D"/>
        </w:rPr>
        <w:t>también a los verdaderos positivos</w:t>
      </w:r>
      <w:r>
        <w:rPr>
          <w:color w:val="2D2D2D"/>
        </w:rPr>
        <w:t xml:space="preserve"> (</w:t>
      </w:r>
      <w:r>
        <w:rPr>
          <w:rFonts w:ascii="Consolas" w:hAnsi="Consolas"/>
          <w:color w:val="2D2D2D"/>
          <w:sz w:val="19"/>
        </w:rPr>
        <w:t>VP·C_FP</w:t>
      </w:r>
      <w:r>
        <w:rPr>
          <w:color w:val="2D2D2D"/>
        </w:rPr>
        <w:t xml:space="preserve">) —a quienes igual hay que abordar— y el ROI </w:t>
      </w:r>
      <w:r>
        <w:rPr>
          <w:b/>
          <w:color w:val="2D2D2D"/>
        </w:rPr>
        <w:t>resta el valor salvado</w:t>
      </w:r>
      <w:r>
        <w:rPr>
          <w:color w:val="2D2D2D"/>
        </w:rPr>
        <w:t xml:space="preserve"> (</w:t>
      </w:r>
      <w:r>
        <w:rPr>
          <w:rFonts w:ascii="Consolas" w:hAnsi="Consolas"/>
          <w:color w:val="2D2D2D"/>
          <w:sz w:val="19"/>
        </w:rPr>
        <w:t>VP, tasa de salvamento, valor del cliente</w:t>
      </w:r>
      <w:r>
        <w:rPr>
          <w:color w:val="2D2D2D"/>
        </w:rPr>
        <w:t xml:space="preserve">). Aquí se optimiza el </w:t>
      </w:r>
      <w:r>
        <w:rPr>
          <w:b/>
          <w:color w:val="2D2D2D"/>
        </w:rPr>
        <w:t>costo de errores</w:t>
      </w:r>
      <w:r>
        <w:rPr>
          <w:color w:val="2D2D2D"/>
        </w:rPr>
        <w:t>; el ROI completo de la campaña es una extensión.</w:t>
      </w:r>
    </w:p>
    <w:p>
      <w:pPr>
        <w:jc w:val="both"/>
      </w:pPr>
      <w:r>
        <w:t>Antes de llenar la tabla, fijar los costos del error (mismas unidades monetarias):</w:t>
      </w:r>
    </w:p>
    <w:p>
      <w:pPr>
        <w:pStyle w:val="ListBullet"/>
        <w:spacing w:after="40"/>
      </w:pPr>
      <w:r>
        <w:rPr>
          <w:rFonts w:ascii="Consolas" w:hAnsi="Consolas"/>
          <w:color w:val="9B1B30"/>
          <w:sz w:val="19"/>
        </w:rPr>
        <w:t>C_FN</w:t>
      </w:r>
      <w:r>
        <w:t xml:space="preserve"> (costo de un falso negativo, no detectar un positivo real) = </w:t>
      </w:r>
      <w:r>
        <w:rPr>
          <w:b/>
        </w:rPr>
        <w:t>______</w:t>
      </w:r>
    </w:p>
    <w:p>
      <w:pPr>
        <w:pStyle w:val="ListBullet"/>
        <w:spacing w:after="40"/>
      </w:pPr>
      <w:r>
        <w:rPr>
          <w:rFonts w:ascii="Consolas" w:hAnsi="Consolas"/>
          <w:color w:val="9B1B30"/>
          <w:sz w:val="19"/>
        </w:rPr>
        <w:t>C_FP</w:t>
      </w:r>
      <w:r>
        <w:t xml:space="preserve"> (costo de un falso positivo, actuar sobre quien no lo era) = </w:t>
      </w:r>
      <w:r>
        <w:rPr>
          <w:b/>
        </w:rPr>
        <w:t>______</w:t>
      </w:r>
    </w:p>
    <w:p>
      <w:pPr>
        <w:pStyle w:val="ListBullet"/>
        <w:spacing w:after="40"/>
      </w:pPr>
      <w:r>
        <w:rPr>
          <w:b/>
        </w:rPr>
        <w:t>Umbral óptimo teórico:</w:t>
      </w:r>
      <w:r>
        <w:t xml:space="preserve"> </w:t>
      </w:r>
      <w:r>
        <w:rPr>
          <w:rFonts w:ascii="Consolas" w:hAnsi="Consolas"/>
          <w:color w:val="9B1B30"/>
          <w:sz w:val="19"/>
        </w:rPr>
        <w:t>t* = C_FP / (C_FP + C_FN)</w:t>
      </w:r>
      <w:r>
        <w:t xml:space="preserve"> = </w:t>
      </w:r>
      <w:r>
        <w:rPr>
          <w:b/>
        </w:rPr>
        <w:t>______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Umbral t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VP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FP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FN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VN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Precisión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Costo esperado (C_FN·FN + C_FP·FP)</w:t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0,10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0,20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0,30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0,40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0,50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0,60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0,70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0,80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0,90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</w:rPr>
        <w:t>Umbral elegido `t` = ___</w:t>
      </w:r>
      <w:r>
        <w:t xml:space="preserve"> — criterio: el que </w:t>
      </w:r>
      <w:r>
        <w:rPr>
          <w:b/>
        </w:rPr>
        <w:t>minimiza el costo esperado</w:t>
      </w:r>
      <w:r>
        <w:t xml:space="preserve"> (última columna), no el que maximiza la exactitud.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4. Criterio de elección del umbral según el costo (FN vs. FP)</w:t>
      </w:r>
    </w:p>
    <w:p>
      <w:pPr>
        <w:jc w:val="both"/>
      </w:pPr>
      <w:r>
        <w:t>Elegir el umbral es convertir el modelo en política: decidir cuántos errores de cada tipo se aceptan. El procedimiento: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1.  </w:t>
      </w:r>
      <w:r>
        <w:rPr>
          <w:b/>
        </w:rPr>
        <w:t>Asignar costos.</w:t>
      </w:r>
      <w:r>
        <w:t xml:space="preserve"> </w:t>
      </w:r>
      <w:r>
        <w:rPr>
          <w:rFonts w:ascii="Consolas" w:hAnsi="Consolas"/>
          <w:color w:val="9B1B30"/>
          <w:sz w:val="19"/>
        </w:rPr>
        <w:t>C_FN</w:t>
      </w:r>
      <w:r>
        <w:t xml:space="preserve"> = costo de no detectar un positivo real (≈ valor perdido). </w:t>
      </w:r>
      <w:r>
        <w:rPr>
          <w:rFonts w:ascii="Consolas" w:hAnsi="Consolas"/>
          <w:color w:val="9B1B30"/>
          <w:sz w:val="19"/>
        </w:rPr>
        <w:t>C_FP</w:t>
      </w:r>
      <w:r>
        <w:t xml:space="preserve"> = costo de actuar sobre quien no lo era (≈ costo de la acción/incentivo).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2.  </w:t>
      </w:r>
      <w:r>
        <w:rPr>
          <w:b/>
        </w:rPr>
        <w:t>Regla de dirección.</w:t>
      </w:r>
      <w:r>
        <w:t xml:space="preserve"> Si un FN cuesta mucho más que un FP (</w:t>
      </w:r>
      <w:r>
        <w:rPr>
          <w:rFonts w:ascii="Consolas" w:hAnsi="Consolas"/>
          <w:color w:val="9B1B30"/>
          <w:sz w:val="19"/>
        </w:rPr>
        <w:t>C_FN ≫ C_FP</w:t>
      </w:r>
      <w:r>
        <w:t xml:space="preserve">), el umbral óptimo </w:t>
      </w:r>
      <w:r>
        <w:rPr>
          <w:b/>
        </w:rPr>
        <w:t>baja</w:t>
      </w:r>
      <w:r>
        <w:t xml:space="preserve"> (</w:t>
      </w:r>
      <w:r>
        <w:rPr>
          <w:rFonts w:ascii="Consolas" w:hAnsi="Consolas"/>
          <w:color w:val="9B1B30"/>
          <w:sz w:val="19"/>
        </w:rPr>
        <w:t>t* = C_FP/(C_FP+C_FN)</w:t>
      </w:r>
      <w:r>
        <w:t xml:space="preserve"> es pequeño): se marca como positivo a más gente, se captan más positivos reales (menos FN) a cambio de más falsas alarmas (más FP). Si el FP es el error caro, el umbral </w:t>
      </w:r>
      <w:r>
        <w:rPr>
          <w:b/>
        </w:rPr>
        <w:t>sube</w:t>
      </w:r>
      <w:r>
        <w:t>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3.  </w:t>
      </w:r>
      <w:r>
        <w:rPr>
          <w:b/>
        </w:rPr>
        <w:t>Barrido empírico.</w:t>
      </w:r>
      <w:r>
        <w:t xml:space="preserve"> Recorrer la tabla de umbral (Sección 3) y elegir el </w:t>
      </w:r>
      <w:r>
        <w:rPr>
          <w:rFonts w:ascii="Consolas" w:hAnsi="Consolas"/>
          <w:color w:val="9B1B30"/>
          <w:sz w:val="19"/>
        </w:rPr>
        <w:t>t</w:t>
      </w:r>
      <w:r>
        <w:t xml:space="preserve"> que minimiza el costo total esperado.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4.  </w:t>
      </w:r>
      <w:r>
        <w:rPr>
          <w:b/>
        </w:rPr>
        <w:t>Comunicar la consecuencia</w:t>
      </w:r>
      <w:r>
        <w:t xml:space="preserve"> en términos de negocio, al comparar el umbral por defecto con el elegido (cuántos positivos más se captan, cuántas falsas alarmas extra, cuánto cae el costo esperado).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Errores frecuentes.</w:t>
      </w:r>
      <w:r>
        <w:rPr>
          <w:color w:val="2D2D2D"/>
        </w:rPr>
        <w:t xml:space="preserve"> (a) Dejar </w:t>
      </w:r>
      <w:r>
        <w:rPr>
          <w:rFonts w:ascii="Consolas" w:hAnsi="Consolas"/>
          <w:color w:val="2D2D2D"/>
          <w:sz w:val="19"/>
        </w:rPr>
        <w:t>t = 0,5</w:t>
      </w:r>
      <w:r>
        <w:rPr>
          <w:color w:val="2D2D2D"/>
        </w:rPr>
        <w:t xml:space="preserve"> "porque es lo normal". (b) Optimizar la exactitud (premia predecir la clase mayoritaria). (c) Mover el umbral </w:t>
      </w:r>
      <w:r>
        <w:rPr>
          <w:b/>
          <w:color w:val="2D2D2D"/>
        </w:rPr>
        <w:t>al mirar el test</w:t>
      </w:r>
      <w:r>
        <w:rPr>
          <w:color w:val="2D2D2D"/>
        </w:rPr>
        <w:t xml:space="preserve"> hasta obtener una cifra favorable: es fuga de información — el umbral se fija con validación y se </w:t>
      </w:r>
      <w:r>
        <w:rPr>
          <w:b/>
          <w:color w:val="2D2D2D"/>
        </w:rPr>
        <w:t>reporta</w:t>
      </w:r>
      <w:r>
        <w:rPr>
          <w:color w:val="2D2D2D"/>
        </w:rPr>
        <w:t xml:space="preserve"> en test. </w:t>
      </w:r>
      <w:r>
        <w:rPr>
          <w:i/>
          <w:color w:val="2D2D2D"/>
        </w:rPr>
        <w:t>El remuestreo/SMOTE para el desbalance es de S10; aquí la palanca es el umbral por costo.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5. Ejemplo resuelto — churn de clientes (FN = cliente perdido)</w:t>
      </w:r>
    </w:p>
    <w:p>
      <w:pPr>
        <w:jc w:val="both"/>
      </w:pPr>
      <w:r>
        <w:t xml:space="preserve">Contexto: modelo de regresión logística de fuga (churn). El </w:t>
      </w:r>
      <w:r>
        <w:rPr>
          <w:b/>
        </w:rPr>
        <w:t>positivo (1) es "el cliente se va"</w:t>
      </w:r>
      <w:r>
        <w:t xml:space="preserve">. Un </w:t>
      </w:r>
      <w:r>
        <w:rPr>
          <w:b/>
        </w:rPr>
        <w:t>FN</w:t>
      </w:r>
      <w:r>
        <w:t xml:space="preserve"> es no detectar a un cliente que sí se fuga → se pierde el cliente y su valor de vida. Un </w:t>
      </w:r>
      <w:r>
        <w:rPr>
          <w:b/>
        </w:rPr>
        <w:t>FP</w:t>
      </w:r>
      <w:r>
        <w:t xml:space="preserve"> es ofrecer retención a un cliente que se iba a quedar → se gasta el incentivo sin necesidad.</w:t>
      </w:r>
    </w:p>
    <w:p>
      <w:pPr>
        <w:pStyle w:val="ListBullet"/>
        <w:spacing w:after="40"/>
      </w:pPr>
      <w:r>
        <w:t>Costos (</w:t>
      </w:r>
      <w:r>
        <w:rPr>
          <w:b/>
        </w:rPr>
        <w:t>supuestos ilustrativos declarados</w:t>
      </w:r>
      <w:r>
        <w:t xml:space="preserve">, no un benchmark del sector): </w:t>
      </w:r>
      <w:r>
        <w:rPr>
          <w:rFonts w:ascii="Consolas" w:hAnsi="Consolas"/>
          <w:color w:val="9B1B30"/>
          <w:sz w:val="19"/>
        </w:rPr>
        <w:t>C_FN = S/ 300</w:t>
      </w:r>
      <w:r>
        <w:t xml:space="preserve"> (margen </w:t>
      </w:r>
      <w:r>
        <w:rPr>
          <w:b/>
        </w:rPr>
        <w:t>anual</w:t>
      </w:r>
      <w:r>
        <w:t xml:space="preserve"> perdido del cliente que se fuga) — </w:t>
      </w:r>
      <w:r>
        <w:rPr>
          <w:rFonts w:ascii="Consolas" w:hAnsi="Consolas"/>
          <w:color w:val="9B1B30"/>
          <w:sz w:val="19"/>
        </w:rPr>
        <w:t>C_FP = S/ 20</w:t>
      </w:r>
      <w:r>
        <w:t xml:space="preserve"> (costo de la campaña de retención sobre quien no se iba). La </w:t>
      </w:r>
      <w:r>
        <w:rPr>
          <w:b/>
        </w:rPr>
        <w:t>relación 15:1</w:t>
      </w:r>
      <w:r>
        <w:t xml:space="preserve"> entre ambos es una </w:t>
      </w:r>
      <w:r>
        <w:rPr>
          <w:b/>
        </w:rPr>
        <w:t>consecuencia de estos supuestos</w:t>
      </w:r>
      <w:r>
        <w:t xml:space="preserve">, no una cifra observada. El </w:t>
      </w:r>
      <w:r>
        <w:rPr>
          <w:b/>
        </w:rPr>
        <w:t>valor de vida del cliente</w:t>
      </w:r>
      <w:r>
        <w:t xml:space="preserve"> (CLV) es mucho mayor —CLV ≈ USD 4 400 ≈ </w:t>
      </w:r>
      <w:r>
        <w:rPr>
          <w:b/>
        </w:rPr>
        <w:t>S/ 16 300</w:t>
      </w:r>
      <w:r>
        <w:t xml:space="preserve"> (a un tipo de cambio ≈ S/ 3,7 por USD), las fuentes de actualidad de la sesión—, pero mide un concepto </w:t>
      </w:r>
      <w:r>
        <w:rPr>
          <w:b/>
        </w:rPr>
        <w:t>distinto</w:t>
      </w:r>
      <w:r>
        <w:t xml:space="preserve"> (valor de por vida, no margen de un año); tomar el margen anual como </w:t>
      </w:r>
      <w:r>
        <w:rPr>
          <w:rFonts w:ascii="Consolas" w:hAnsi="Consolas"/>
          <w:color w:val="9B1B30"/>
          <w:sz w:val="19"/>
        </w:rPr>
        <w:t>C_FN</w:t>
      </w:r>
      <w:r>
        <w:t xml:space="preserve"> es una elección </w:t>
      </w:r>
      <w:r>
        <w:rPr>
          <w:b/>
        </w:rPr>
        <w:t>conservadora</w:t>
      </w:r>
      <w:r>
        <w:t xml:space="preserve">. Antes de compararlos, CLV y </w:t>
      </w:r>
      <w:r>
        <w:rPr>
          <w:rFonts w:ascii="Consolas" w:hAnsi="Consolas"/>
          <w:color w:val="9B1B30"/>
          <w:sz w:val="19"/>
        </w:rPr>
        <w:t>C_FN</w:t>
      </w:r>
      <w:r>
        <w:t xml:space="preserve"> deben ir en la </w:t>
      </w:r>
      <w:r>
        <w:rPr>
          <w:b/>
        </w:rPr>
        <w:t>misma moneda</w:t>
      </w:r>
      <w:r>
        <w:t xml:space="preserve">. Como </w:t>
      </w:r>
      <w:r>
        <w:rPr>
          <w:rFonts w:ascii="Consolas" w:hAnsi="Consolas"/>
          <w:color w:val="9B1B30"/>
          <w:sz w:val="19"/>
        </w:rPr>
        <w:t>C_FN ≫ C_FP</w:t>
      </w:r>
      <w:r>
        <w:t>, el error caro es no detectar al cliente que se fuga.</w:t>
      </w:r>
    </w:p>
    <w:p>
      <w:pPr>
        <w:pStyle w:val="ListBullet"/>
        <w:spacing w:after="40"/>
      </w:pPr>
      <w:r>
        <w:rPr>
          <w:b/>
        </w:rPr>
        <w:t>Umbral óptimo teórico (regla de Bayes):</w:t>
      </w:r>
      <w:r>
        <w:t xml:space="preserve"> </w:t>
      </w:r>
      <w:r>
        <w:rPr>
          <w:rFonts w:ascii="Consolas" w:hAnsi="Consolas"/>
          <w:color w:val="9B1B30"/>
          <w:sz w:val="19"/>
        </w:rPr>
        <w:t>t* = 20 / (20 + 300) = 0,0625</w:t>
      </w:r>
      <w:r>
        <w:t xml:space="preserve">. Es el umbral que minimiza el costo esperado </w:t>
      </w:r>
      <w:r>
        <w:rPr>
          <w:b/>
        </w:rPr>
        <w:t>bajo probabilidades calibradas</w:t>
      </w:r>
      <w:r>
        <w:t xml:space="preserve">. La malla del barrido {0,10; 0,20; …; 0,90} </w:t>
      </w:r>
      <w:r>
        <w:rPr>
          <w:b/>
        </w:rPr>
        <w:t>no incluye</w:t>
      </w:r>
      <w:r>
        <w:t xml:space="preserve"> 0,0625, por lo que el mínimo empírico cae en </w:t>
      </w:r>
      <w:r>
        <w:rPr>
          <w:b/>
        </w:rPr>
        <w:t>0,10</w:t>
      </w:r>
      <w:r>
        <w:t xml:space="preserve"> —el valor de la malla </w:t>
      </w:r>
      <w:r>
        <w:rPr>
          <w:b/>
        </w:rPr>
        <w:t>más cercano</w:t>
      </w:r>
      <w:r>
        <w:t xml:space="preserve"> a </w:t>
      </w:r>
      <w:r>
        <w:rPr>
          <w:rFonts w:ascii="Consolas" w:hAnsi="Consolas"/>
          <w:color w:val="9B1B30"/>
          <w:sz w:val="19"/>
        </w:rPr>
        <w:t>t*</w:t>
      </w:r>
      <w:r>
        <w:t xml:space="preserve"> y del mismo lado—: es una </w:t>
      </w:r>
      <w:r>
        <w:rPr>
          <w:b/>
        </w:rPr>
        <w:t>aproximación por la malla</w:t>
      </w:r>
      <w:r>
        <w:t xml:space="preserve">, </w:t>
      </w:r>
      <w:r>
        <w:rPr>
          <w:b/>
        </w:rPr>
        <w:t>no</w:t>
      </w:r>
      <w:r>
        <w:t xml:space="preserve"> una «confirmación» del valor teórico. Lo robusto es la </w:t>
      </w:r>
      <w:r>
        <w:rPr>
          <w:b/>
        </w:rPr>
        <w:t>dirección</w:t>
      </w:r>
      <w:r>
        <w:t xml:space="preserve"> (bajar bastante el umbral respecto a 0,50).</w:t>
      </w:r>
    </w:p>
    <w:p>
      <w:pPr>
        <w:pStyle w:val="ListBullet"/>
        <w:spacing w:after="40"/>
      </w:pPr>
      <w:r>
        <w:rPr>
          <w:b/>
        </w:rPr>
        <w:t>Lectura de la consecuencia (frase para gerencia):</w:t>
      </w:r>
      <w:r>
        <w:t xml:space="preserve"> "Bajar el umbral de 0,50 a 0,10 capta 139 fugas más (el recall sube de 0,575 a 0,947) a cambio de 421 contactos extra a clientes que se quedaban; con </w:t>
      </w:r>
      <w:r>
        <w:rPr>
          <w:rFonts w:ascii="Consolas" w:hAnsi="Consolas"/>
          <w:color w:val="9B1B30"/>
          <w:sz w:val="19"/>
        </w:rPr>
        <w:t>C_FN</w:t>
      </w:r>
      <w:r>
        <w:t xml:space="preserve"> = S/ 300 y </w:t>
      </w:r>
      <w:r>
        <w:rPr>
          <w:rFonts w:ascii="Consolas" w:hAnsi="Consolas"/>
          <w:color w:val="9B1B30"/>
          <w:sz w:val="19"/>
        </w:rPr>
        <w:t>C_FP</w:t>
      </w:r>
      <w:r>
        <w:t xml:space="preserve"> = S/ 20, el </w:t>
      </w:r>
      <w:r>
        <w:rPr>
          <w:b/>
        </w:rPr>
        <w:t>costo esperado del error</w:t>
      </w:r>
      <w:r>
        <w:t xml:space="preserve"> cae de S/ 50 000 a S/ 16 720."</w:t>
      </w:r>
    </w:p>
    <w:p>
      <w:pPr>
        <w:pStyle w:val="ListBullet"/>
        <w:spacing w:after="40"/>
      </w:pPr>
      <w:r>
        <w:rPr>
          <w:b/>
        </w:rPr>
        <w:t>Qué es y qué NO es ese S/ 16 720.</w:t>
      </w:r>
      <w:r>
        <w:t xml:space="preserve"> Es el </w:t>
      </w:r>
      <w:r>
        <w:rPr>
          <w:b/>
        </w:rPr>
        <w:t>costo de los errores</w:t>
      </w:r>
      <w:r>
        <w:t xml:space="preserve"> </w:t>
      </w:r>
      <w:r>
        <w:rPr>
          <w:rFonts w:ascii="Consolas" w:hAnsi="Consolas"/>
          <w:color w:val="9B1B30"/>
          <w:sz w:val="19"/>
        </w:rPr>
        <w:t>C_FN·FN + C_FP·FP</w:t>
      </w:r>
      <w:r>
        <w:t xml:space="preserve"> (el criterio para </w:t>
      </w:r>
      <w:r>
        <w:rPr>
          <w:b/>
        </w:rPr>
        <w:t>elegir el umbral</w:t>
      </w:r>
      <w:r>
        <w:t xml:space="preserve">), </w:t>
      </w:r>
      <w:r>
        <w:rPr>
          <w:b/>
        </w:rPr>
        <w:t>no</w:t>
      </w:r>
      <w:r>
        <w:t xml:space="preserve"> el costo total ni el </w:t>
      </w:r>
      <w:r>
        <w:rPr>
          <w:b/>
        </w:rPr>
        <w:t>ROI</w:t>
      </w:r>
      <w:r>
        <w:t xml:space="preserve"> de la campaña de retención. El </w:t>
      </w:r>
      <w:r>
        <w:rPr>
          <w:b/>
        </w:rPr>
        <w:t>costo de campaña</w:t>
      </w:r>
      <w:r>
        <w:t xml:space="preserve"> contacta a </w:t>
      </w:r>
      <w:r>
        <w:rPr>
          <w:b/>
        </w:rPr>
        <w:t>todos</w:t>
      </w:r>
      <w:r>
        <w:t xml:space="preserve"> los marcados en riesgo —los </w:t>
      </w:r>
      <w:r>
        <w:rPr>
          <w:b/>
        </w:rPr>
        <w:t>890</w:t>
      </w:r>
      <w:r>
        <w:t xml:space="preserve"> del corte 0,10 (VP + FP = 354 + 536) × S/ 20 = </w:t>
      </w:r>
      <w:r>
        <w:rPr>
          <w:b/>
        </w:rPr>
        <w:t>S/ 17 800</w:t>
      </w:r>
      <w:r>
        <w:t xml:space="preserve">—, es decir, suma también el contacto de los </w:t>
      </w:r>
      <w:r>
        <w:rPr>
          <w:b/>
        </w:rPr>
        <w:t>354 verdaderos positivos</w:t>
      </w:r>
      <w:r>
        <w:t xml:space="preserve"> (354 × S/ 20 = S/ 7 080) que el costo-de-errores omite. El </w:t>
      </w:r>
      <w:r>
        <w:rPr>
          <w:b/>
        </w:rPr>
        <w:t>ROI real</w:t>
      </w:r>
      <w:r>
        <w:t xml:space="preserve"> resta además el </w:t>
      </w:r>
      <w:r>
        <w:rPr>
          <w:b/>
        </w:rPr>
        <w:t>valor salvado</w:t>
      </w:r>
      <w:r>
        <w:t xml:space="preserve"> = (VP × </w:t>
      </w:r>
      <w:r>
        <w:rPr>
          <w:b/>
        </w:rPr>
        <w:t>tasa de salvamento</w:t>
      </w:r>
      <w:r>
        <w:t xml:space="preserve"> × CLV), porque solo una fracción de los contactados aceptará la retención. Este ejemplo optimiza el </w:t>
      </w:r>
      <w:r>
        <w:rPr>
          <w:b/>
        </w:rPr>
        <w:t>costo de errores</w:t>
      </w:r>
      <w:r>
        <w:t>; el ROI de campaña completo (con tasa de salvamento y CLV) es una extensión.</w:t>
      </w:r>
    </w:p>
    <w:p>
      <w:pPr>
        <w:pStyle w:val="ListBullet"/>
        <w:spacing w:after="40"/>
      </w:pPr>
      <w:r>
        <w:rPr>
          <w:b/>
        </w:rPr>
        <w:t>Reporte final:</w:t>
      </w:r>
      <w:r>
        <w:t xml:space="preserve"> el </w:t>
      </w:r>
      <w:r>
        <w:rPr>
          <w:b/>
        </w:rPr>
        <w:t>AUC</w:t>
      </w:r>
      <w:r>
        <w:t xml:space="preserve"> (Sección 1) muestra que el modelo ordena bien a los clientes por riesgo; la </w:t>
      </w:r>
      <w:r>
        <w:rPr>
          <w:b/>
        </w:rPr>
        <w:t>matriz de confusión</w:t>
      </w:r>
      <w:r>
        <w:t xml:space="preserve"> (Sección 2) en el umbral 0,10 muestra los errores concretos a ese corte; la </w:t>
      </w:r>
      <w:r>
        <w:rPr>
          <w:b/>
        </w:rPr>
        <w:t>tabla de umbral</w:t>
      </w:r>
      <w:r>
        <w:t xml:space="preserve"> (Sección 3) justifica por qué 0,10 y no 0,50. Los tres, juntos, sustentan la recomendación de retención del entregable.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6. Supuestos y diagnósticos (verificar antes de confiar en la evaluación)</w:t>
      </w:r>
    </w:p>
    <w:p>
      <w:pPr>
        <w:jc w:val="both"/>
      </w:pPr>
      <w:r>
        <w:t>Un AUC alto o una matriz de confusión favorable no bastan si el modelo viola sus supuestos: los coeficientes, los odds ratio y hasta las probabilidades predichas pueden quedar sesgados. Estos son los supuestos más relevantes al evaluar un clasificador (los tres primeros, propios de la regresión logística; el último, del GLM Poisson cuando la respuesta es un conteo):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Supuesto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identificar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corregir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Linealidad en el logit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Prueba de Box-Tidwell (término </w:t>
            </w:r>
            <w:r>
              <w:rPr>
                <w:rFonts w:ascii="Consolas" w:hAnsi="Consolas"/>
                <w:color w:val="9B1B30"/>
                <w:sz w:val="19"/>
              </w:rPr>
              <w:t>x·ln x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color w:val="9B1B30"/>
                <w:sz w:val="19"/>
              </w:rPr>
              <w:t>p &lt; 0,05</w:t>
            </w:r>
            <w:r>
              <w:rPr>
                <w:sz w:val="19"/>
              </w:rPr>
              <w:t>); residuos parciales con tendencia curva; logit empírico por deciles que no cae sobre una recta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Transformar el predictor (log, raíz); términos polinómicos o de interacción; categorizar en tramos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Multicolinealidad severa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VIF por predictor (</w:t>
            </w:r>
            <w:r>
              <w:rPr>
                <w:rFonts w:ascii="Consolas" w:hAnsi="Consolas"/>
                <w:color w:val="9B1B30"/>
                <w:sz w:val="19"/>
              </w:rPr>
              <w:t>&gt; 5</w:t>
            </w:r>
            <w:r>
              <w:rPr>
                <w:sz w:val="19"/>
              </w:rPr>
              <w:t xml:space="preserve"> preocupa, </w:t>
            </w:r>
            <w:r>
              <w:rPr>
                <w:rFonts w:ascii="Consolas" w:hAnsi="Consolas"/>
                <w:color w:val="9B1B30"/>
                <w:sz w:val="19"/>
              </w:rPr>
              <w:t>&gt; 10</w:t>
            </w:r>
            <w:r>
              <w:rPr>
                <w:sz w:val="19"/>
              </w:rPr>
              <w:t xml:space="preserve"> severa); correlaciones absolutas </w:t>
            </w:r>
            <w:r>
              <w:rPr>
                <w:rFonts w:ascii="Consolas" w:hAnsi="Consolas"/>
                <w:color w:val="9B1B30"/>
                <w:sz w:val="19"/>
              </w:rPr>
              <w:t>&gt; 0,8-0,9</w:t>
            </w:r>
            <w:r>
              <w:rPr>
                <w:sz w:val="19"/>
              </w:rPr>
              <w:t>; coeficientes inestables o con signo sin sentido de negocio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Quitar o combinar los predictores correlacionados; PCA; regularización L1/L2 (S05)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Separación perfecta o cuasi-separación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Avisos «did not converge»; coeficientes y errores estándar desmesurados; odds ratio extremos; probabilidades próximas a 0 o 1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Quitar o combinar el predictor que la causa; regularización L2 (Ridge); regresión de Firth (avanzado)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Sobre-dispersión (para conteos, Poisson)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Factor de dispersión </w:t>
            </w:r>
            <w:r>
              <w:rPr>
                <w:rFonts w:ascii="Consolas" w:hAnsi="Consolas"/>
                <w:color w:val="9B1B30"/>
                <w:sz w:val="19"/>
              </w:rPr>
              <w:t>φ̂ = deviance/gl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9B1B30"/>
                <w:sz w:val="19"/>
              </w:rPr>
              <w:t>&gt; 1,5</w:t>
            </w:r>
            <w:r>
              <w:rPr>
                <w:sz w:val="19"/>
              </w:rPr>
              <w:t xml:space="preserve"> alerta, </w:t>
            </w:r>
            <w:r>
              <w:rPr>
                <w:rFonts w:ascii="Consolas" w:hAnsi="Consolas"/>
                <w:color w:val="9B1B30"/>
                <w:sz w:val="19"/>
              </w:rPr>
              <w:t>&gt; 2</w:t>
            </w:r>
            <w:r>
              <w:rPr>
                <w:sz w:val="19"/>
              </w:rPr>
              <w:t xml:space="preserve"> clara); dispersión de Pearson </w:t>
            </w:r>
            <w:r>
              <w:rPr>
                <w:rFonts w:ascii="Consolas" w:hAnsi="Consolas"/>
                <w:color w:val="9B1B30"/>
                <w:sz w:val="19"/>
              </w:rPr>
              <w:t>χ²/gl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Escalar los errores estándar (quasi-Poisson); binomial negativa (avanzado)</w:t>
            </w:r>
          </w:p>
        </w:tc>
      </w:tr>
    </w:tbl>
    <w:p>
      <w:pPr>
        <w:spacing w:after="40"/>
      </w:pPr>
    </w:p>
    <w:p>
      <w:pPr>
        <w:jc w:val="both"/>
      </w:pPr>
      <w:r>
        <w:t>Tratamiento completo (cómo identificar y cómo corregir cada supuesto, con umbrales y alcance): la guía de supuestos de la sesión.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Checklist antes de entregar</w:t>
      </w:r>
    </w:p>
    <w:p>
      <w:pPr>
        <w:pStyle w:val="ListBullet"/>
        <w:spacing w:after="40"/>
      </w:pPr>
      <w:r>
        <w:t xml:space="preserve">[ ] 1. ¿Se reportó el AUC con su lectura de negocio (ordena bien / aceptable / pobre) y con su </w:t>
      </w:r>
      <w:r>
        <w:rPr>
          <w:b/>
        </w:rPr>
        <w:t>banda de incertidumbre</w:t>
      </w:r>
      <w:r>
        <w:t xml:space="preserve"> (IC de DeLong / CV)?</w:t>
      </w:r>
    </w:p>
    <w:p>
      <w:pPr>
        <w:pStyle w:val="ListBullet"/>
        <w:spacing w:after="40"/>
      </w:pPr>
      <w:r>
        <w:t>[ ] 2. ¿Se acompaña el AUC de la matriz de confusión en el umbral elegido (no uno solo)?</w:t>
      </w:r>
    </w:p>
    <w:p>
      <w:pPr>
        <w:pStyle w:val="ListBullet"/>
        <w:spacing w:after="40"/>
      </w:pPr>
      <w:r>
        <w:t>[ ] 3. ¿Se leyeron precisión, recall y especificidad por separado (no solo exactitud)?</w:t>
      </w:r>
    </w:p>
    <w:p>
      <w:pPr>
        <w:pStyle w:val="ListBullet"/>
        <w:spacing w:after="40"/>
      </w:pPr>
      <w:r>
        <w:t xml:space="preserve">[ ] 4. ¿Se fijaron </w:t>
      </w:r>
      <w:r>
        <w:rPr>
          <w:rFonts w:ascii="Consolas" w:hAnsi="Consolas"/>
          <w:color w:val="9B1B30"/>
          <w:sz w:val="19"/>
        </w:rPr>
        <w:t>C_FN</w:t>
      </w:r>
      <w:r>
        <w:t xml:space="preserve"> y </w:t>
      </w:r>
      <w:r>
        <w:rPr>
          <w:rFonts w:ascii="Consolas" w:hAnsi="Consolas"/>
          <w:color w:val="9B1B30"/>
          <w:sz w:val="19"/>
        </w:rPr>
        <w:t>C_FP</w:t>
      </w:r>
      <w:r>
        <w:t xml:space="preserve"> y se calculó </w:t>
      </w:r>
      <w:r>
        <w:rPr>
          <w:rFonts w:ascii="Consolas" w:hAnsi="Consolas"/>
          <w:color w:val="9B1B30"/>
          <w:sz w:val="19"/>
        </w:rPr>
        <w:t>t* = C_FP/(C_FP+C_FN)</w:t>
      </w:r>
      <w:r>
        <w:t>?</w:t>
      </w:r>
    </w:p>
    <w:p>
      <w:pPr>
        <w:pStyle w:val="ListBullet"/>
        <w:spacing w:after="40"/>
      </w:pPr>
      <w:r>
        <w:t xml:space="preserve">[ ] 5. ¿La tabla de umbral incluye el costo esperado y se eligió el </w:t>
      </w:r>
      <w:r>
        <w:rPr>
          <w:rFonts w:ascii="Consolas" w:hAnsi="Consolas"/>
          <w:color w:val="9B1B30"/>
          <w:sz w:val="19"/>
        </w:rPr>
        <w:t>t</w:t>
      </w:r>
      <w:r>
        <w:t xml:space="preserve"> que lo minimiza?</w:t>
      </w:r>
    </w:p>
    <w:p>
      <w:pPr>
        <w:pStyle w:val="ListBullet"/>
        <w:spacing w:after="40"/>
      </w:pPr>
      <w:r>
        <w:t>[ ] 6. ¿El umbral se fijó con validación y se reporta en test (sin fuga de información)?</w:t>
      </w:r>
    </w:p>
    <w:p>
      <w:pPr>
        <w:pStyle w:val="ListBullet"/>
        <w:spacing w:after="40"/>
      </w:pPr>
      <w:r>
        <w:t>[ ] 7. ¿Se comunicó la consecuencia del umbral en fugas captadas, falsas alarmas y costo?</w:t>
      </w:r>
    </w:p>
    <w:p>
      <w:pPr>
        <w:pStyle w:val="ListBullet"/>
        <w:spacing w:after="40"/>
      </w:pPr>
      <w:r>
        <w:t xml:space="preserve">[ ] 8. ¿Se distinguió el </w:t>
      </w:r>
      <w:r>
        <w:rPr>
          <w:b/>
        </w:rPr>
        <w:t>costo de errores</w:t>
      </w:r>
      <w:r>
        <w:t xml:space="preserve"> (</w:t>
      </w:r>
      <w:r>
        <w:rPr>
          <w:rFonts w:ascii="Consolas" w:hAnsi="Consolas"/>
          <w:color w:val="9B1B30"/>
          <w:sz w:val="19"/>
        </w:rPr>
        <w:t>C_FN·FN + C_FP·FP</w:t>
      </w:r>
      <w:r>
        <w:t xml:space="preserve">, criterio del umbral) del </w:t>
      </w:r>
      <w:r>
        <w:rPr>
          <w:b/>
        </w:rPr>
        <w:t>costo/ROI de la campaña</w:t>
      </w:r>
      <w:r>
        <w:t xml:space="preserve"> (que suma el contacto de los VP y resta el valor salvado)?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plantilla se completa con los resultados del cuaderno </w:t>
      </w:r>
      <w:r>
        <w:rPr>
          <w:rFonts w:ascii="Consolas" w:hAnsi="Consolas"/>
          <w:color w:val="2D2D2D"/>
          <w:sz w:val="19"/>
        </w:rPr>
        <w:t>notebook/S09_logistica_glm.ipynb</w:t>
      </w:r>
      <w:r>
        <w:rPr>
          <w:color w:val="2D2D2D"/>
        </w:rPr>
        <w:t xml:space="preserve"> (probabilidades del modelo de churn, </w:t>
      </w:r>
      <w:r>
        <w:rPr>
          <w:rFonts w:ascii="Consolas" w:hAnsi="Consolas"/>
          <w:color w:val="2D2D2D"/>
          <w:sz w:val="19"/>
        </w:rPr>
        <w:t>roc_auc_score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roc_curve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confusion_matrix</w:t>
      </w:r>
      <w:r>
        <w:rPr>
          <w:color w:val="2D2D2D"/>
        </w:rPr>
        <w:t xml:space="preserve"> a varios umbrales y conteos exportados a </w:t>
      </w:r>
      <w:r>
        <w:rPr>
          <w:rFonts w:ascii="Consolas" w:hAnsi="Consolas"/>
          <w:color w:val="2D2D2D"/>
          <w:sz w:val="19"/>
        </w:rPr>
        <w:t>resultados/S09_resultados.xlsx</w:t>
      </w:r>
      <w:r>
        <w:rPr>
          <w:color w:val="2D2D2D"/>
        </w:rPr>
        <w:t xml:space="preserve">). Su versión completada acompaña al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 como la evaluación del clasificador de churn (Telco): ROC/AUC, matriz de confusión y elección del umbral por costo de FN vs. FP.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Derivado de la guía de interpretación de resultados (Sección 5 matriz de confusión, Sección 6 umbral según costo FN vs. FP, Sección 7 curva ROC y AUC) y el glosario de la sesión (Sección 13 matriz de confusión, Sección 14 umbral y costo del error, Sección 15 ROC/AUC). Fuentes: ISLR Sección 4.4.3 (matriz de confusión, umbral ≠ 0,5, ROC/AUC); King &amp; Zeng (2001), Political Analysis 9(2) (umbral y tasa base del evento raro); documentación scikit-learn </w:t>
      </w:r>
      <w:r>
        <w:rPr>
          <w:rFonts w:ascii="Consolas" w:hAnsi="Consolas"/>
          <w:color w:val="2D2D2D"/>
          <w:sz w:val="19"/>
        </w:rPr>
        <w:t>confusion_matrix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roc_curve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roc_auc_score</w:t>
      </w:r>
      <w:r>
        <w:rPr>
          <w:color w:val="2D2D2D"/>
        </w:rPr>
        <w:t>. El tratamiento del desbalance de clases (SMOTE, PR-AUC como foco) es de S10.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Plantilla de evaluación de un clasificador — ROC/AUC, matriz de confusión y umbral por costo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