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1 página: interpretar el odds ratio ante una audiencia de negocio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una página de la Sesión S09 — Herramientas para la Ciencia de Datos (UPC). Traduce los coeficientes de una regresión logística (en log-odds) al lenguaje de una decisión: qué es el odds ratio, cómo se lee un factor de riesgo y qué frases usar ante gerencia. Acompaña al cuaderno </w:t>
      </w:r>
      <w:r>
        <w:rPr>
          <w:rFonts w:ascii="Consolas" w:hAnsi="Consolas"/>
          <w:color w:val="2D2D2D"/>
          <w:sz w:val="19"/>
        </w:rPr>
        <w:t>notebook/S09_logistica_glm.ipynb</w:t>
      </w:r>
      <w:r>
        <w:rPr>
          <w:color w:val="2D2D2D"/>
        </w:rPr>
        <w:t xml:space="preserve"> y sustenta la interpretación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Odds vs. probabilidad — no son lo mismo</w:t>
      </w:r>
    </w:p>
    <w:p>
      <w:pPr>
        <w:pStyle w:val="ListBullet"/>
        <w:spacing w:after="40"/>
      </w:pPr>
      <w:r>
        <w:rPr>
          <w:b/>
        </w:rPr>
        <w:t>Probabilidad `p`:</w:t>
      </w:r>
      <w:r>
        <w:t xml:space="preserve"> proporción esperada de casos en que el evento ocurre, entre 0 y 1 (p. ej. </w:t>
      </w:r>
      <w:r>
        <w:rPr>
          <w:rFonts w:ascii="Consolas" w:hAnsi="Consolas"/>
          <w:color w:val="9B1B30"/>
          <w:sz w:val="19"/>
        </w:rPr>
        <w:t>p = 0,20</w:t>
      </w:r>
      <w:r>
        <w:t xml:space="preserve"> = 20 % de fuga).</w:t>
      </w:r>
    </w:p>
    <w:p>
      <w:pPr>
        <w:pStyle w:val="ListBullet"/>
        <w:spacing w:after="40"/>
      </w:pPr>
      <w:r>
        <w:rPr>
          <w:b/>
        </w:rPr>
        <w:t>Odds:</w:t>
      </w:r>
      <w:r>
        <w:t xml:space="preserve"> cociente entre la probabilidad de que ocurra y la de que no: </w:t>
      </w:r>
      <w:r>
        <w:rPr>
          <w:rFonts w:ascii="Consolas" w:hAnsi="Consolas"/>
          <w:color w:val="9B1B30"/>
          <w:sz w:val="19"/>
        </w:rPr>
        <w:t>odds = p / (1 − p)</w:t>
      </w:r>
      <w:r>
        <w:t xml:space="preserve">. Rango </w:t>
      </w:r>
      <w:r>
        <w:rPr>
          <w:rFonts w:ascii="Consolas" w:hAnsi="Consolas"/>
          <w:color w:val="9B1B30"/>
          <w:sz w:val="19"/>
        </w:rPr>
        <w:t>[0, +∞)</w:t>
      </w:r>
      <w:r>
        <w:t xml:space="preserve">. Con </w:t>
      </w:r>
      <w:r>
        <w:rPr>
          <w:rFonts w:ascii="Consolas" w:hAnsi="Consolas"/>
          <w:color w:val="9B1B30"/>
          <w:sz w:val="19"/>
        </w:rPr>
        <w:t>p = 0,20</w:t>
      </w:r>
      <w:r>
        <w:t xml:space="preserve">, </w:t>
      </w:r>
      <w:r>
        <w:rPr>
          <w:rFonts w:ascii="Consolas" w:hAnsi="Consolas"/>
          <w:color w:val="9B1B30"/>
          <w:sz w:val="19"/>
        </w:rPr>
        <w:t>odds = 0,20 / 0,80 = 0,25</w:t>
      </w:r>
      <w:r>
        <w:t xml:space="preserve"> ("1 a 4"). Un odds de 1 equivale a </w:t>
      </w:r>
      <w:r>
        <w:rPr>
          <w:rFonts w:ascii="Consolas" w:hAnsi="Consolas"/>
          <w:color w:val="9B1B30"/>
          <w:sz w:val="19"/>
        </w:rPr>
        <w:t>p = 0,5</w:t>
      </w:r>
      <w:r>
        <w:t>; un odds de 4 significa "4 veces más probable que ocurra a que no" (</w:t>
      </w:r>
      <w:r>
        <w:rPr>
          <w:rFonts w:ascii="Consolas" w:hAnsi="Consolas"/>
          <w:color w:val="9B1B30"/>
          <w:sz w:val="19"/>
        </w:rPr>
        <w:t>p = 0,8</w:t>
      </w:r>
      <w:r>
        <w:t>).</w:t>
      </w:r>
    </w:p>
    <w:p>
      <w:pPr>
        <w:pStyle w:val="ListBullet"/>
        <w:spacing w:after="40"/>
      </w:pPr>
      <w:r>
        <w:rPr>
          <w:b/>
        </w:rPr>
        <w:t>Ida y vuelta:</w:t>
      </w:r>
      <w:r>
        <w:t xml:space="preserve"> </w:t>
      </w:r>
      <w:r>
        <w:rPr>
          <w:rFonts w:ascii="Consolas" w:hAnsi="Consolas"/>
          <w:color w:val="9B1B30"/>
          <w:sz w:val="19"/>
        </w:rPr>
        <w:t>odds = p/(1−p)</w:t>
      </w:r>
      <w:r>
        <w:t xml:space="preserve"> y </w:t>
      </w:r>
      <w:r>
        <w:rPr>
          <w:rFonts w:ascii="Consolas" w:hAnsi="Consolas"/>
          <w:color w:val="9B1B30"/>
          <w:sz w:val="19"/>
        </w:rPr>
        <w:t>p = odds/(1+odds)</w:t>
      </w:r>
      <w:r>
        <w:t>.</w:t>
      </w:r>
    </w:p>
    <w:p>
      <w:pPr>
        <w:jc w:val="both"/>
      </w:pPr>
      <w:r>
        <w:t xml:space="preserve">La regresión logística es lineal </w:t>
      </w:r>
      <w:r>
        <w:rPr>
          <w:b/>
        </w:rPr>
        <w:t>en los log-odds</w:t>
      </w:r>
      <w:r>
        <w:t>, no en la probabilidad. Por eso sus coeficientes se interpretan en el terreno de los odds, y ahí es donde se vuelven un mensaje claro para negocio.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OR = exp(β): la regla central</w:t>
      </w:r>
    </w:p>
    <w:p>
      <w:pPr>
        <w:jc w:val="both"/>
      </w:pPr>
      <w:r>
        <w:t xml:space="preserve">Los coeficientes de un </w:t>
      </w:r>
      <w:r>
        <w:rPr>
          <w:rFonts w:ascii="Consolas" w:hAnsi="Consolas"/>
          <w:color w:val="9B1B30"/>
          <w:sz w:val="19"/>
        </w:rPr>
        <w:t>Logit</w:t>
      </w:r>
      <w:r>
        <w:t xml:space="preserve"> viven en </w:t>
      </w:r>
      <w:r>
        <w:rPr>
          <w:b/>
        </w:rPr>
        <w:t>log-odds</w:t>
      </w:r>
      <w:r>
        <w:t xml:space="preserve"> y </w:t>
      </w:r>
      <w:r>
        <w:rPr>
          <w:b/>
        </w:rPr>
        <w:t>no</w:t>
      </w:r>
      <w:r>
        <w:t xml:space="preserve"> se leen directamente. Se </w:t>
      </w:r>
      <w:r>
        <w:rPr>
          <w:b/>
        </w:rPr>
        <w:t>exponencian</w:t>
      </w:r>
      <w:r>
        <w:t>: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Odds ratio (OR) de una variable = `exp(β)`.</w:t>
      </w:r>
      <w:r>
        <w:rPr>
          <w:color w:val="2D2D2D"/>
        </w:rPr>
        <w:t xml:space="preserve"> Es cuánto se </w:t>
      </w:r>
      <w:r>
        <w:rPr>
          <w:b/>
          <w:color w:val="2D2D2D"/>
        </w:rPr>
        <w:t>multiplican</w:t>
      </w:r>
      <w:r>
        <w:rPr>
          <w:color w:val="2D2D2D"/>
        </w:rPr>
        <w:t xml:space="preserve"> los odds del evento cuando esa variable aumenta en </w:t>
      </w:r>
      <w:r>
        <w:rPr>
          <w:b/>
          <w:color w:val="2D2D2D"/>
        </w:rPr>
        <w:t>una unidad</w:t>
      </w:r>
      <w:r>
        <w:rPr>
          <w:color w:val="2D2D2D"/>
        </w:rPr>
        <w:t>, con lo demás constante.</w:t>
      </w:r>
    </w:p>
    <w:p>
      <w:pPr>
        <w:pStyle w:val="ListBullet"/>
        <w:spacing w:after="40"/>
      </w:pPr>
      <w:r>
        <w:rPr>
          <w:b/>
        </w:rPr>
        <w:t>`OR &gt; 1`</w:t>
      </w:r>
      <w:r>
        <w:t xml:space="preserve"> → factor de </w:t>
      </w:r>
      <w:r>
        <w:rPr>
          <w:b/>
        </w:rPr>
        <w:t>riesgo</w:t>
      </w:r>
      <w:r>
        <w:t xml:space="preserve"> (aumenta los odds).</w:t>
      </w:r>
    </w:p>
    <w:p>
      <w:pPr>
        <w:pStyle w:val="ListBullet"/>
        <w:spacing w:after="40"/>
      </w:pPr>
      <w:r>
        <w:rPr>
          <w:b/>
        </w:rPr>
        <w:t>`OR &lt; 1`</w:t>
      </w:r>
      <w:r>
        <w:t xml:space="preserve"> → factor </w:t>
      </w:r>
      <w:r>
        <w:rPr>
          <w:b/>
        </w:rPr>
        <w:t>protector</w:t>
      </w:r>
      <w:r>
        <w:t xml:space="preserve"> (reduce los odds).</w:t>
      </w:r>
    </w:p>
    <w:p>
      <w:pPr>
        <w:pStyle w:val="ListBullet"/>
        <w:spacing w:after="40"/>
      </w:pPr>
      <w:r>
        <w:rPr>
          <w:b/>
        </w:rPr>
        <w:t>`OR = 1`</w:t>
      </w:r>
      <w:r>
        <w:t xml:space="preserve"> (β = 0) → sin efecto.</w:t>
      </w:r>
    </w:p>
    <w:p>
      <w:pPr>
        <w:jc w:val="both"/>
      </w:pPr>
      <w:r>
        <w:t xml:space="preserve">La frase-plantilla es siempre la misma: </w:t>
      </w:r>
      <w:r>
        <w:rPr>
          <w:b/>
        </w:rPr>
        <w:t>"el factor X multiplica por OR las odds del evento"</w:t>
      </w:r>
      <w:r>
        <w:t xml:space="preserve">. Ejemplo: si </w:t>
      </w:r>
      <w:r>
        <w:rPr>
          <w:rFonts w:ascii="Consolas" w:hAnsi="Consolas"/>
          <w:color w:val="9B1B30"/>
          <w:sz w:val="19"/>
        </w:rPr>
        <w:t>age</w:t>
      </w:r>
      <w:r>
        <w:t xml:space="preserve"> tiene β = 0,043, su </w:t>
      </w:r>
      <w:r>
        <w:rPr>
          <w:rFonts w:ascii="Consolas" w:hAnsi="Consolas"/>
          <w:color w:val="9B1B30"/>
          <w:sz w:val="19"/>
        </w:rPr>
        <w:t>OR = exp(0,043) = 1,044</w:t>
      </w:r>
      <w:r>
        <w:t xml:space="preserve"> → "cada año adicional multiplica por 1,044 las odds del evento (≈ +4,4 %)".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Nota — verificar los supuestos primero.</w:t>
      </w:r>
      <w:r>
        <w:rPr>
          <w:color w:val="2D2D2D"/>
        </w:rPr>
        <w:t xml:space="preserve"> Antes de interpretar los odds ratio, verificar los supuestos del modelo (linealidad en el logit, multicolinealidad, separación); ver la guía de supuestos de la sesión.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OR por incremento de una unidad y por rango</w:t>
      </w:r>
    </w:p>
    <w:p>
      <w:pPr>
        <w:jc w:val="both"/>
      </w:pPr>
      <w:r>
        <w:t xml:space="preserve">El OR de </w:t>
      </w:r>
      <w:r>
        <w:rPr>
          <w:rFonts w:ascii="Consolas" w:hAnsi="Consolas"/>
          <w:color w:val="9B1B30"/>
          <w:sz w:val="19"/>
        </w:rPr>
        <w:t>exp(β)</w:t>
      </w:r>
      <w:r>
        <w:t xml:space="preserve"> corresponde a </w:t>
      </w:r>
      <w:r>
        <w:rPr>
          <w:b/>
        </w:rPr>
        <w:t>+1 unidad</w:t>
      </w:r>
      <w:r>
        <w:t xml:space="preserve"> de la variable. Para un cambio de </w:t>
      </w:r>
      <w:r>
        <w:rPr>
          <w:rFonts w:ascii="Consolas" w:hAnsi="Consolas"/>
          <w:color w:val="9B1B30"/>
          <w:sz w:val="19"/>
        </w:rPr>
        <w:t>d</w:t>
      </w:r>
      <w:r>
        <w:t xml:space="preserve"> unidades se usa </w:t>
      </w:r>
      <w:r>
        <w:rPr>
          <w:b/>
        </w:rPr>
        <w:t>`OR = exp(d·β)`</w:t>
      </w:r>
      <w:r>
        <w:t xml:space="preserve"> (los efectos se </w:t>
      </w:r>
      <w:r>
        <w:rPr>
          <w:b/>
        </w:rPr>
        <w:t>multiplican</w:t>
      </w:r>
      <w:r>
        <w:t>, no se suman):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β (log-odds)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Por +1 unidad: `exp(β)`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Por rango: `exp(d·β)`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negocio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age</w:t>
            </w:r>
            <w:r>
              <w:rPr>
                <w:sz w:val="19"/>
              </w:rPr>
              <w:t xml:space="preserve"> (años)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0,043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1,044 (+4,4 % por año)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por </w:t>
            </w:r>
            <w:r>
              <w:rPr>
                <w:b/>
                <w:sz w:val="19"/>
              </w:rPr>
              <w:t>década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9B1B30"/>
                <w:sz w:val="19"/>
              </w:rPr>
              <w:t>exp(10·0,0425)=exp(0,425)=</w:t>
            </w:r>
            <w:r>
              <w:rPr>
                <w:b/>
                <w:sz w:val="19"/>
              </w:rPr>
              <w:t>1,53</w:t>
            </w:r>
            <w:r>
              <w:rPr>
                <w:sz w:val="19"/>
              </w:rPr>
              <w:t xml:space="preserve"> (+53 %)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cada década de más multiplica por 1,53 las odds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tobacco</w:t>
            </w:r>
            <w:r>
              <w:rPr>
                <w:sz w:val="19"/>
              </w:rPr>
              <w:t xml:space="preserve"> (kg)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0,080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1,083 (+8,3 % por kg)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por 5 kg: </w:t>
            </w:r>
            <w:r>
              <w:rPr>
                <w:rFonts w:ascii="Consolas" w:hAnsi="Consolas"/>
                <w:color w:val="9B1B30"/>
                <w:sz w:val="19"/>
              </w:rPr>
              <w:t>exp(0,40)=</w:t>
            </w:r>
            <w:r>
              <w:rPr>
                <w:b/>
                <w:sz w:val="19"/>
              </w:rPr>
              <w:t>1,49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cada kg acumulado sube 8,3 % las odds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ldl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0,185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1,203 (+20 % por unidad)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por 2 uds.: </w:t>
            </w:r>
            <w:r>
              <w:rPr>
                <w:rFonts w:ascii="Consolas" w:hAnsi="Consolas"/>
                <w:color w:val="9B1B30"/>
                <w:sz w:val="19"/>
              </w:rPr>
              <w:t>exp(0,37)=</w:t>
            </w:r>
            <w:r>
              <w:rPr>
                <w:b/>
                <w:sz w:val="19"/>
              </w:rPr>
              <w:t>1,45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cada unidad de LDL sube 20 % las odds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famhist</w:t>
            </w:r>
            <w:r>
              <w:rPr>
                <w:sz w:val="19"/>
              </w:rPr>
              <w:t xml:space="preserve"> (dummy: Present vs. Absent)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0,939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2,558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 (categórica)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tener antecedente </w:t>
            </w:r>
            <w:r>
              <w:rPr>
                <w:b/>
                <w:sz w:val="19"/>
              </w:rPr>
              <w:t>multiplica por ≈ 2,56</w:t>
            </w:r>
            <w:r>
              <w:rPr>
                <w:sz w:val="19"/>
              </w:rPr>
              <w:t xml:space="preserve"> las odds frente a no tenerlo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Variables dummy:</w:t>
      </w:r>
      <w:r>
        <w:t xml:space="preserve"> el OR compara directamente las dos categorías; hay que decir </w:t>
      </w:r>
      <w:r>
        <w:rPr>
          <w:b/>
        </w:rPr>
        <w:t>cuál es la referencia</w:t>
      </w:r>
      <w:r>
        <w:t xml:space="preserve"> (aquí </w:t>
      </w:r>
      <w:r>
        <w:rPr>
          <w:rFonts w:ascii="Consolas" w:hAnsi="Consolas"/>
          <w:color w:val="9B1B30"/>
          <w:sz w:val="19"/>
        </w:rPr>
        <w:t>Absent</w:t>
      </w:r>
      <w:r>
        <w:t>). "Present multiplica por 2,56 las odds frente a Absent."</w:t>
      </w:r>
    </w:p>
    <w:p>
      <w:pPr>
        <w:pStyle w:val="ListBullet"/>
        <w:spacing w:after="40"/>
      </w:pPr>
      <w:r>
        <w:rPr>
          <w:b/>
        </w:rPr>
        <w:t>Escala del incremento:</w:t>
      </w:r>
      <w:r>
        <w:t xml:space="preserve"> reportar "por década" o "por cada 10 puntos" suele comunicar mejor que "por unidad" cuando la unidad es muy pequeña.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Errores de lectura que se deben evitar</w:t>
      </w:r>
    </w:p>
    <w:p>
      <w:pPr>
        <w:pStyle w:val="ListBullet"/>
        <w:spacing w:after="40"/>
      </w:pPr>
      <w:r>
        <w:rPr>
          <w:b/>
        </w:rPr>
        <w:t>OR ≠ probabilidad.</w:t>
      </w:r>
      <w:r>
        <w:t xml:space="preserve"> Un OR de 1,044 </w:t>
      </w:r>
      <w:r>
        <w:rPr>
          <w:b/>
        </w:rPr>
        <w:t>no</w:t>
      </w:r>
      <w:r>
        <w:t xml:space="preserve"> es "+4,4 % de probabilidad"; es "+4,4 % en las </w:t>
      </w:r>
      <w:r>
        <w:rPr>
          <w:b/>
        </w:rPr>
        <w:t>odds</w:t>
      </w:r>
      <w:r>
        <w:t>". La traducción a probabilidad depende del nivel base (la sigmoide es no lineal).</w:t>
      </w:r>
    </w:p>
    <w:p>
      <w:pPr>
        <w:pStyle w:val="ListBullet"/>
        <w:spacing w:after="40"/>
      </w:pPr>
      <w:r>
        <w:rPr>
          <w:b/>
        </w:rPr>
        <w:t>Intervalo de confianza del OR</w:t>
      </w:r>
      <w:r>
        <w:t xml:space="preserve"> = </w:t>
      </w:r>
      <w:r>
        <w:rPr>
          <w:rFonts w:ascii="Consolas" w:hAnsi="Consolas"/>
          <w:color w:val="9B1B30"/>
          <w:sz w:val="19"/>
        </w:rPr>
        <w:t>exp</w:t>
      </w:r>
      <w:r>
        <w:t xml:space="preserve"> de los límites del IC del coeficiente. Si el IC del OR </w:t>
      </w:r>
      <w:r>
        <w:rPr>
          <w:b/>
        </w:rPr>
        <w:t>cruza 1</w:t>
      </w:r>
      <w:r>
        <w:t xml:space="preserve">, el efecto </w:t>
      </w:r>
      <w:r>
        <w:rPr>
          <w:b/>
        </w:rPr>
        <w:t>no</w:t>
      </w:r>
      <w:r>
        <w:t xml:space="preserve"> es estadísticamente significativo.</w:t>
      </w:r>
    </w:p>
    <w:p>
      <w:pPr>
        <w:pStyle w:val="ListBullet"/>
        <w:spacing w:after="40"/>
      </w:pPr>
      <w:r>
        <w:rPr>
          <w:b/>
        </w:rPr>
        <w:t>OR ≠ causa.</w:t>
      </w:r>
      <w:r>
        <w:t xml:space="preserve"> El OR es una </w:t>
      </w:r>
      <w:r>
        <w:rPr>
          <w:b/>
        </w:rPr>
        <w:t>asociación</w:t>
      </w:r>
      <w:r>
        <w:t xml:space="preserve"> dentro del modelo, no un efecto causal (puede haber confusores no medidos). Se comunica como </w:t>
      </w:r>
      <w:r>
        <w:rPr>
          <w:b/>
        </w:rPr>
        <w:t>"factor de riesgo asociado"</w:t>
      </w:r>
      <w:r>
        <w:t>, con esa salvedad. La estimación causal formal es de S12.</w:t>
      </w:r>
    </w:p>
    <w:p>
      <w:pPr>
        <w:pStyle w:val="ListBullet"/>
        <w:spacing w:after="40"/>
      </w:pPr>
      <w:r>
        <w:rPr>
          <w:b/>
        </w:rPr>
        <w:t>OR ≠ riesgo relativo.</w:t>
      </w:r>
      <w:r>
        <w:t xml:space="preserve"> Un OR grande sobre un evento raro no implica una probabilidad absoluta grande.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Frases-plantilla listas para gerencia</w:t>
      </w:r>
    </w:p>
    <w:p>
      <w:pPr>
        <w:pStyle w:val="ListBullet"/>
        <w:spacing w:after="40"/>
      </w:pPr>
      <w:r>
        <w:t xml:space="preserve">"Cada </w:t>
      </w:r>
      <w:r>
        <w:rPr>
          <w:b/>
        </w:rPr>
        <w:t>[unidad]</w:t>
      </w:r>
      <w:r>
        <w:t xml:space="preserve"> adicional de </w:t>
      </w:r>
      <w:r>
        <w:rPr>
          <w:b/>
        </w:rPr>
        <w:t>[variable]</w:t>
      </w:r>
      <w:r>
        <w:t xml:space="preserve"> multiplica por </w:t>
      </w:r>
      <w:r>
        <w:rPr>
          <w:b/>
        </w:rPr>
        <w:t>[OR]</w:t>
      </w:r>
      <w:r>
        <w:t xml:space="preserve"> las probabilidades (odds) de </w:t>
      </w:r>
      <w:r>
        <w:rPr>
          <w:b/>
        </w:rPr>
        <w:t>[evento]</w:t>
      </w:r>
      <w:r>
        <w:t>, con lo demás igual."</w:t>
      </w:r>
    </w:p>
    <w:p>
      <w:pPr>
        <w:pStyle w:val="ListBullet"/>
        <w:spacing w:after="40"/>
      </w:pPr>
      <w:r>
        <w:t xml:space="preserve">"Los clientes con </w:t>
      </w:r>
      <w:r>
        <w:rPr>
          <w:b/>
        </w:rPr>
        <w:t>[categoría]</w:t>
      </w:r>
      <w:r>
        <w:t xml:space="preserve"> tienen </w:t>
      </w:r>
      <w:r>
        <w:rPr>
          <w:b/>
        </w:rPr>
        <w:t>[OR]</w:t>
      </w:r>
      <w:r>
        <w:t xml:space="preserve"> veces las odds de </w:t>
      </w:r>
      <w:r>
        <w:rPr>
          <w:b/>
        </w:rPr>
        <w:t>[evento]</w:t>
      </w:r>
      <w:r>
        <w:t xml:space="preserve"> frente a los de </w:t>
      </w:r>
      <w:r>
        <w:rPr>
          <w:b/>
        </w:rPr>
        <w:t>[referencia]</w:t>
      </w:r>
      <w:r>
        <w:t>."</w:t>
      </w:r>
    </w:p>
    <w:p>
      <w:pPr>
        <w:pStyle w:val="ListBullet"/>
        <w:spacing w:after="40"/>
      </w:pPr>
      <w:r>
        <w:t xml:space="preserve">"Por cada </w:t>
      </w:r>
      <w:r>
        <w:rPr>
          <w:b/>
        </w:rPr>
        <w:t>[rango, p. ej. década / 10 puntos]</w:t>
      </w:r>
      <w:r>
        <w:t xml:space="preserve"> de </w:t>
      </w:r>
      <w:r>
        <w:rPr>
          <w:b/>
        </w:rPr>
        <w:t>[variable]</w:t>
      </w:r>
      <w:r>
        <w:t xml:space="preserve">, las odds de </w:t>
      </w:r>
      <w:r>
        <w:rPr>
          <w:b/>
        </w:rPr>
        <w:t>[evento]</w:t>
      </w:r>
      <w:r>
        <w:t xml:space="preserve"> se multiplican por </w:t>
      </w:r>
      <w:r>
        <w:rPr>
          <w:b/>
        </w:rPr>
        <w:t>[exp(d·β)]</w:t>
      </w:r>
      <w:r>
        <w:t xml:space="preserve"> (≈ </w:t>
      </w:r>
      <w:r>
        <w:rPr>
          <w:b/>
        </w:rPr>
        <w:t>[±%]</w:t>
      </w:r>
      <w:r>
        <w:t>)."</w:t>
      </w:r>
    </w:p>
    <w:p>
      <w:pPr>
        <w:pStyle w:val="ListBullet"/>
        <w:spacing w:after="40"/>
      </w:pPr>
      <w:r>
        <w:t xml:space="preserve">"Es un factor </w:t>
      </w:r>
      <w:r>
        <w:rPr>
          <w:b/>
        </w:rPr>
        <w:t>[de riesgo / protector]</w:t>
      </w:r>
      <w:r>
        <w:t xml:space="preserve">: su OR es </w:t>
      </w:r>
      <w:r>
        <w:rPr>
          <w:b/>
        </w:rPr>
        <w:t>[mayor / menor]</w:t>
      </w:r>
      <w:r>
        <w:t xml:space="preserve"> que 1; el intervalo </w:t>
      </w:r>
      <w:r>
        <w:rPr>
          <w:b/>
        </w:rPr>
        <w:t>[incluye / no incluye]</w:t>
      </w:r>
      <w:r>
        <w:t xml:space="preserve"> el 1, así que el efecto </w:t>
      </w:r>
      <w:r>
        <w:rPr>
          <w:b/>
        </w:rPr>
        <w:t>[no es / sí es]</w:t>
      </w:r>
      <w:r>
        <w:t xml:space="preserve"> significativo."</w:t>
      </w:r>
    </w:p>
    <w:p>
      <w:pPr>
        <w:pStyle w:val="ListBullet"/>
        <w:spacing w:after="40"/>
      </w:pPr>
      <w:r>
        <w:t xml:space="preserve">Cierre de prudencia: "Este es un factor de riesgo </w:t>
      </w:r>
      <w:r>
        <w:rPr>
          <w:b/>
        </w:rPr>
        <w:t>asociado</w:t>
      </w:r>
      <w:r>
        <w:t>, no una relación causal probada; para decidir una intervención se valida con un experimento (A/B)."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se aplica sobre los coeficientes del cuaderno </w:t>
      </w:r>
      <w:r>
        <w:rPr>
          <w:rFonts w:ascii="Consolas" w:hAnsi="Consolas"/>
          <w:color w:val="2D2D2D"/>
          <w:sz w:val="19"/>
        </w:rPr>
        <w:t>notebook/S09_logistica_glm.ipynb</w:t>
      </w:r>
      <w:r>
        <w:rPr>
          <w:color w:val="2D2D2D"/>
        </w:rPr>
        <w:t xml:space="preserve"> (modelo logístico de churn: </w:t>
      </w:r>
      <w:r>
        <w:rPr>
          <w:rFonts w:ascii="Consolas" w:hAnsi="Consolas"/>
          <w:color w:val="2D2D2D"/>
          <w:sz w:val="19"/>
        </w:rPr>
        <w:t>summary</w:t>
      </w:r>
      <w:r>
        <w:rPr>
          <w:color w:val="2D2D2D"/>
        </w:rPr>
        <w:t xml:space="preserve"> y su columna </w:t>
      </w:r>
      <w:r>
        <w:rPr>
          <w:rFonts w:ascii="Consolas" w:hAnsi="Consolas"/>
          <w:color w:val="2D2D2D"/>
          <w:sz w:val="19"/>
        </w:rPr>
        <w:t>coef</w:t>
      </w:r>
      <w:r>
        <w:rPr>
          <w:color w:val="2D2D2D"/>
        </w:rPr>
        <w:t xml:space="preserve">, exponenciada a OR y exportada a </w:t>
      </w:r>
      <w:r>
        <w:rPr>
          <w:rFonts w:ascii="Consolas" w:hAnsi="Consolas"/>
          <w:color w:val="2D2D2D"/>
          <w:sz w:val="19"/>
        </w:rPr>
        <w:t>resultados/S09_resultados.xlsx</w:t>
      </w:r>
      <w:r>
        <w:rPr>
          <w:color w:val="2D2D2D"/>
        </w:rPr>
        <w:t xml:space="preserve">). Sustenta la interpretación en odds ratio que exige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(drill 1: convertir un coeficiente logístico a OR e interpretarlo ante negocio).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2 odds, Sección 3 odds ratio = exp(β)) e la guía de interpretación de resultados (Sección 2 de coef a OR, OR por unidad y por rango; Sección 8 lo que un OR NO dice). Fuentes: Hosmer, Lemeshow &amp; Sturdivant (2013), </w:t>
      </w:r>
      <w:r>
        <w:rPr>
          <w:i/>
          <w:color w:val="2D2D2D"/>
        </w:rPr>
        <w:t>Applied Logistic Regression</w:t>
      </w:r>
      <w:r>
        <w:rPr>
          <w:color w:val="2D2D2D"/>
        </w:rPr>
        <w:t>, 3.ª ed., cap. 3; ISLR Sección 4.3.1–4.3.4. Valores de referencia (SAheart / ESL Tabla 4.2): tobacco 0,080, age 0,043, famhist 0,939, ldl 0,185 — el modelo de 7 predictores reproduce ESL Tabla 4.2: el valor operativo del venv coincide con el benchmark.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1 página: interpretar el odds ratio ante una audiencia de negocio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