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7A1526"/>
          <w:spacing w:val="40"/>
          <w:sz w:val="15"/>
          <w:szCs w:val="15"/>
        </w:rPr>
        <w:t xml:space="preserve">UPC · FACULTAD DE NEGOCIOS · PROGRAMA ADMINISTRACIÓN Y CIENCIA DE DATOS PARA NEGOCIOS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2D2D2D"/>
          <w:sz w:val="36"/>
          <w:szCs w:val="36"/>
        </w:rPr>
        <w:t xml:space="preserve">Entregable evaluable — Sesión S10</w:t>
      </w:r>
    </w:p>
    <w:p>
      <w:pPr>
        <w:pBdr>
          <w:bottom w:val="single" w:color="E4002B" w:sz="18" w:space="10"/>
        </w:pBdr>
        <w:spacing w:after="160"/>
      </w:pPr>
      <w:r>
        <w:rPr>
          <w:rFonts w:ascii="Cambria" w:cs="Cambria" w:eastAsia="Cambria" w:hAnsi="Cambria"/>
          <w:color w:val="7A1526"/>
          <w:sz w:val="28"/>
          <w:szCs w:val="28"/>
        </w:rPr>
        <w:t xml:space="preserve">Benchmark reproducible de clasificadores clásicos sobre fraude 99:1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CURSO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Herramientas para la Ciencia de Datos · Sesión 10 · Clasificadores clásicos: LDA/QDA + Naive Bayes + clases desbalanceadas · Entregable evaluable · Material del estudiante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MODALIDAD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Trabajo en parejas durante el laboratorio · entrega individual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CALIFICACIÓN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Escala vigesimal 0–20, según la rúbrica de la sección 4 de este documento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CUADERNO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notebook/S10_clasificadores_clasicos.ipynb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(todo el análisis se desarrolla y reproduce aquí)</w:t>
            </w:r>
          </w:p>
        </w:tc>
      </w:tr>
    </w:tbl>
    <w:p>
      <w:pPr>
        <w:spacing w:after="150"/>
      </w:pPr>
    </w:p>
    <w:p>
      <w:pPr>
        <w:spacing w:after="180" w:line="265"/>
      </w:pPr>
      <w:r>
        <w:rPr>
          <w:rFonts w:ascii="Cambria" w:cs="Cambria" w:eastAsia="Cambria" w:hAnsi="Cambria"/>
          <w:color w:val="3A3A3A"/>
          <w:sz w:val="18"/>
          <w:szCs w:val="18"/>
        </w:rPr>
        <w:t xml:space="preserve">Material del estudiante. Trabajo evaluable de la Sesión 10. Español impersonal.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El entregable se completa con: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la plantilla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plantillas/benchmark_clasificadores.docx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(tabla de métricas y curvas ROC/PR de todos los modelos) y la guía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plantillas/guia_metricas_desbalance.docx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(por qué la accuracy induce a error, ROC vs. PR, cómo se lee cada métrica). Todo el análisis se desarrolla en el cuaderno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notebook/S10_clasificadores_clasicos.ipynb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. Los ejercicios previos están en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evaluacion/drills.docx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, el diccionario de variables en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data/diccionario_datos.md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y las lecturas en la bibliografía de la sesión.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1526" w:color="auto" w:val="clear"/>
            <w:tcMar>
              <w:top w:type="dxa" w:w="180"/>
              <w:left w:type="dxa" w:w="150"/>
              <w:bottom w:type="dxa" w:w="180"/>
              <w:right w:type="dxa" w:w="15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30"/>
                <w:sz w:val="15"/>
                <w:szCs w:val="15"/>
              </w:rPr>
              <w:t xml:space="preserve">OBJETIVO DEL ENTREGABLE</w:t>
            </w:r>
          </w:p>
          <w:p>
            <w:pPr>
              <w:spacing w:line="280"/>
            </w:pP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Construir un benchmark reproducible de clasificadores generativos (LDA, QDA, Naive Bayes gaussiano) frente a una línea base logística sobre el fraude ULB 99:1, tratar el desbalance con </w:t>
            </w:r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>SMOTE</w:t>
            </w: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 y/o </w:t>
            </w:r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>class_weight</w:t>
            </w: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, evaluar con las métricas correctas (PR-AUC, no accuracy) y elegir el modelo campeón con su umbral de operación por costo, hasta convertirlo en una recomendación de negocio accionable y honesta sobre sus límites.</w:t>
            </w:r>
          </w:p>
        </w:tc>
      </w:tr>
    </w:tbl>
    <w:p>
      <w:pPr>
        <w:spacing w:after="200"/>
      </w:pPr>
    </w:p>
    <w:p>
      <w:pPr>
        <w:keepNext/>
        <w:spacing w:after="110" w:before="240"/>
      </w:pPr>
      <w:r>
        <w:rPr>
          <w:rFonts w:ascii="Calibri" w:cs="Calibri" w:eastAsia="Calibri" w:hAnsi="Calibri"/>
          <w:b/>
          <w:bCs/>
          <w:color w:val="7A1526"/>
          <w:sz w:val="21"/>
          <w:szCs w:val="21"/>
        </w:rPr>
        <w:t xml:space="preserve">Contenido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6180"/>
        <w:gridCol w:w="2400"/>
      </w:tblGrid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1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Contexto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2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La tarea (siete puntos, en este orden)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máx. 5 páginas + anexos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3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Formato de entrega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4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Rúbrica de evaluación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vigesimal, total 20</w:t>
            </w:r>
          </w:p>
        </w:tc>
      </w:tr>
    </w:tbl>
    <w:p>
      <w:pPr>
        <w:spacing w:after="220"/>
      </w:pP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1.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CONTEXTO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Credit Card Fraud (ULB) y el costo de ignorar la clase rara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Una entidad financiera procesa cientos de miles de transacciones al día; solo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0,17 %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son fraude. La clase rara es la que cuesta dinero, pero un modelo que la ignore puede exhibir «99,8 % de acierto» y ser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inútil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. El problema es doble: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elegir un clasificador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que ordene bien el riesgo y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evaluarlo con la métrica correcta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para no presentar un modelo como mejor de lo que es. Esta sesión compara el enfoque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generativo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(LDA, QDA, Naive Bayes: modelan P(x | clase) y aplican la regla de Bayes, P(clase | x) es proporcional a P(x | clase) · P(clase)) con una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línea base discriminativa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(regresión logística, que modela P(clase | x) directamente), trata el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desbalance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SMOTE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/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class_weight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) y decide con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PR-AUC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, no con accuracy. El valor del trabajo no está en «entrenar clasificadores», sino en construir un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benchmark reproducible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(mismo protocolo, misma semilla, mismas métricas),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elegir el modelo campeón por PR-AUC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con su umbral de operación y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comunicar una recomendación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honesta. El caso de negocio es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Credit Card Fraud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(ULB, 284 807 transacciones, 492 fraudes, 0,172 %).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1.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Comparar generativo vs. discriminativo: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ajustar LDA, QDA y Naive Bayes gaussiano (generativos) frente a una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línea base logística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(discriminativa) bajo idéntico protocolo.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2.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Tratar el desbalance: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aplicar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SMOTE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(solo en train) y/o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class_weight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='balanced', sin fuga de información, y evaluar siempre sobre un conjunto de prueba con la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distribución real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3.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Evaluar y decidir: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precision, recall, F1,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PR-AUC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log-loss (nunca accuracy como criterio); elegir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campeón por PR-AUC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con su umbral y cerrar con una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recomendación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sus salvaguardas.</w:t>
            </w:r>
          </w:p>
        </w:tc>
      </w:tr>
    </w:tbl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2.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TAREA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Preparar, ajustar, evaluar, tratar el desbalance, elegir el campeón y decidir un supuesto — informe máx. 5 páginas + anexos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Elaborar un informe (máx. 5 páginas + anexos del cuaderno) que contenga, en este orden: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2.1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Preparación de los datos y protocolo reproducible (fraude ULB)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Cargar el dataset completo (o la muestra estratificada documentada en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data/diccionario_datos.md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), verificar 284 807×31 y 492 fraudes (0,172 %), fijar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Class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como objetivo, partir en entrenamiento/prueba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estratificado 70/30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random_state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=42)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escalar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todas las variables con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StandardScaler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ajustado solo en train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Reportar la forma de las matrices y la proporción de fraude en cada partición (debe conservarse ≈ 0,17 %). 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(Advertencia: el conjunto de prueba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nunca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se remuestrea ni se escala con estadísticos del test.)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2.2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La paradoja de la accuracy (línea de partida)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Construir el clasificador trivial «todo legítimo» y reportar su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accuracy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(≈ 0,9983) y su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recall de fraude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(= 0). Justificar por qué esto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descarta la accuracy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como criterio y fija las métricas de la clase rara (recall, precision, F1, PR-AUC) como objetivo.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2.3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Ajuste de los clasificadores (generativos + base)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Entrenar sobre el mismo train escalado: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LDA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QDA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Naive Bayes gaussiano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línea base logística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Reportar que ajustan y convergen. Comentar brevemente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supuesto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 cada generativo (LDA: covarianzas iguales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→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frontera lineal; QDA: covarianza por clase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→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frontera cuadrática; Naive Bayes: independencia condicional de las variables).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2.4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Evaluación con las métricas correctas + ROC vs. PR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Para cada modelo, predecir probabilidades en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prueba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tabular: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precision, recall, F1, PR-AUC (average precision), ROC-AUC y log-loss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—sobre la clase fraude,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precisión = VP/(VP+FP)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recall = VP/(VP+FN)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F1 = 2·precisión·recall/(precisión+recall)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y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PR-AUC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es el área bajo la curva precision-recall (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average precision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)— (matriz de confusión al umbral 0,5). Trazar las curvas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ROC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precision-recall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 todos los modelos. Interpretar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brecha ROC ≫ PR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en 99:1: el ROC-AUC es alto para todos (~0,95–0,97)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no distingue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;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PR-AUC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los separa (0,08–0,71) y es el número honesto. Materializar en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plantillas/benchmark_clasificadores.docx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2.5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Tratamiento del desbalance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Aplicar </w:t>
            </w:r>
            <w:r>
              <w:rPr>
                <w:rFonts w:ascii="Consolas" w:cs="Consolas" w:eastAsia="Consolas" w:hAnsi="Consolas"/>
                <w:b/>
                <w:bCs/>
                <w:color w:val="7A1526"/>
                <w:sz w:val="16"/>
                <w:szCs w:val="16"/>
              </w:rPr>
              <w:t xml:space="preserve">SMOTE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random_state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=42)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solo al train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(idealmente dentro de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imblearn.pipeline.Pipeline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 sobre la línea base y/o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class_weight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='balanced'; recalcular recall/precisión/F1 en prueba. Reportar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trade-off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(el recall sube, la precisión baja) mediante la comparación de la matriz de confusión antes/después. Declarar explícitamente que el conjunto de prueba conserva la distribución real y advertir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leakage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 aplicar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SMOTE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antes del split.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2.6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Modelo campeón, umbral y recomendación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Elegir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campeón por PR-AUC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(no por accuracy ni ROC-AUC) y fijar su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umbral de operación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por costo (enlace con el umbral por costo de S09: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t* = C_FP/(C_FP+C_FN)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), no en 0,5 por defecto.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Cerrar la decisión en dinero: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computar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costo esperado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C_FN·FN + C_FP·FP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 la base (57 FN, 16 FP) frente a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SMOTE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(18 FN, 1 885 FP), con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C_FN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anclado al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importe medio del fraude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 la columna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Amount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(≈ US$ 122, estimado del dataset; un falso negativo pierde el importe defraudado) y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C_FP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a un costo de revisión ilustrativo (US$ 5–20), y declarar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qué configuración minimiza el costo esperado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(con estos costos, la base sin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SMOTE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SMOTE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solo pagaría si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C_FN/C_FP ≥ 48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). Comunicar la recomendación de negocio: a qué transacciones alertar, con qué recall esperado, a qué tasa de falsas alarmas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a qué costo esperado en US$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Cerrar con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salvaguardas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: PR-AUC como métrica de decisión (no accuracy/ROC),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SMOTE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solo en train, «generativo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≠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mejor» (ningún enfoque domina siempre), y reproducibilidad (semilla, versiones, preprocesamiento documentados).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2.7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Supuesto/decisión crítica de la sesión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Identificar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decidir explícitamente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al menos un supuesto o decisión metodológica de las que gobiernan la sesión —la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igualdad de covarianzas de LDA frente a la covarianza por clase de QDA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(qué frontera implica cada una —lineal vs. cuadrática— y cuándo se prefiere LDA),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paradoja de la exactitud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en 99:1 (por qué la accuracy no puede ser el criterio y qué métricas la sustituyen), el </w:t>
            </w:r>
            <w:r>
              <w:rPr>
                <w:rFonts w:ascii="Consolas" w:cs="Consolas" w:eastAsia="Consolas" w:hAnsi="Consolas"/>
                <w:b/>
                <w:bCs/>
                <w:color w:val="7A1526"/>
                <w:sz w:val="16"/>
                <w:szCs w:val="16"/>
              </w:rPr>
              <w:t xml:space="preserve">SMOTE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 solo en train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(por qué aplicarlo antes del split es fuga de datos y qué le pasa a las métricas), o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elección de PR-AUC frente a ROC-AUC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como métrica de decisión (por qué el ROC induce a error en desbalance)— con indicación de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cómo se identifica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(señal, gráfico o métrica, con su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umbral o criterio práctico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cómo se decide o corrige, y por qué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según la guía de supuestos de la sesión (LDA vs. QDA Partes 2.2 y 3.1; paradoja de la accuracy Parte 5.1; PR-AUC vs. ROC-AUC Parte 5.2;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SMOTE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fuga Parte 5.3). No basta con aplicarlo de forma implícita: debe quedar escrito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qué se decidió y con qué criterio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</w:t>
            </w:r>
          </w:p>
        </w:tc>
      </w:tr>
    </w:tbl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3.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FORMATO DE ENTREGA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/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1.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Informe en.md o.docx con las figuras y tablas exportadas desde el cuaderno.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2.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El análisis reproducible en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notebook/S10_clasificadores_clasicos.ipynb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; los resultados numéricos (tabla del benchmark, puntos de las curvas ROC y PR, matrices de confusión) volcados a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resultados/S10_resultados.xlsx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las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figuras de resultados generadas al leer ese Excel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(convención del curso: curvas ROC, curvas precision-recall, barras de PR-AUC por modelo).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3.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Toda cifra citada en el informe debe existir en el cuaderno o en el Excel de resultados. El pipeline es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determinista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dada la semilla (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random_state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=42) y las versiones fijadas (la matriz de versiones certificada del curso).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4.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El modelo se selecciona por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PR-AUC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; la accuracy puede reportarse como contexto,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nunca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como criterio de elección.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5.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Prohibido: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elegir o reportar el modelo por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accuracy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o por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ROC-AUC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en este 99:1; aplicar </w:t>
            </w:r>
            <w:r>
              <w:rPr>
                <w:rFonts w:ascii="Consolas" w:cs="Consolas" w:eastAsia="Consolas" w:hAnsi="Consolas"/>
                <w:b/>
                <w:bCs/>
                <w:color w:val="7A1526"/>
                <w:sz w:val="17"/>
                <w:szCs w:val="17"/>
              </w:rPr>
              <w:t xml:space="preserve">SMOTE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 antes del split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o sobre todo el dataset (fuga de información);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remuestrear el conjunto de prueba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(debe conservar 0,17 %); comparar modelos con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protocolos distintos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(otro split, otro preprocesamiento); dejar el umbral en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0,5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«porque es lo normal» sin justificar por costo; usar KNN/SVM (prerequisito, fuera de alcance) o re-enseñar la logística de S09 más allá de la línea base.</w:t>
            </w:r>
          </w:p>
        </w:tc>
      </w:tr>
    </w:tbl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4.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RÚBRICA DE EVALUACIÓN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Escala vigesimal, 0–20 · siete criterios × cuatro niveles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>   |   total 20 puntos</w:t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Siete criterios × cuatro niveles. La columna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Peso (máx.)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es el puntaje del nivel </w:t>
      </w:r>
      <w:r>
        <w:rPr>
          <w:rFonts w:ascii="Cambria" w:cs="Cambria" w:eastAsia="Cambria" w:hAnsi="Cambria"/>
          <w:i/>
          <w:iCs/>
          <w:color w:val="2D2D2D"/>
          <w:sz w:val="20"/>
          <w:szCs w:val="20"/>
        </w:rPr>
        <w:t xml:space="preserve">Excelente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; los pesos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suman exactamente 20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. Cada nivel otorga el puntaje indicado entre paréntesis.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20"/>
        <w:gridCol w:w="1638"/>
        <w:gridCol w:w="1638"/>
        <w:gridCol w:w="1638"/>
        <w:gridCol w:w="1638"/>
        <w:gridCol w:w="908"/>
      </w:tblGrid>
      <w:tr>
        <w:trPr>
          <w:tblHeader/>
        </w:trPr>
        <w:tc>
          <w:tcPr>
            <w:tcW w:type="dxa" w:w="2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CRITERIO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INSUFICIENTE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BÁSICO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COMPETENTE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EXCELENTE</w:t>
            </w:r>
          </w:p>
        </w:tc>
        <w:tc>
          <w:tcPr>
            <w:tcW w:type="dxa" w:w="9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PESO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C1. Preparación + protocolo reproducible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prepara los datos o rompe el protocolo (escala con el test, no estratifica).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Prepara con un error (no estratifica, o escala sobre todo el dataset).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Split estratificado 70/30 (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random_state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=42),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StandardScaler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solo en train, proporción de fraude reportada.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Protocolo completo y documentado: verifica 284 807×31 y 0,172 % de fraude, split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estratificado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70/30 (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random_state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=42), escalado ajustado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solo en train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, formas y % de fraude por partición, semilla y versiones fijadas.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C2. Benchmark de clasificadores (generativos + base)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ajusta los modelos o solo uno.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Ajusta algunos pero sin protocolo común.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Ajusta LDA, QDA, Naive Bayes y la base logística bajo el mismo protocolo.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Ajusta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LDA, QDA, Naive Bayes gaussiano y la línea base logística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bajo idéntico protocolo, con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supuesto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de cada generativo comentado (covarianzas LDA/QDA, independencia de Naive Bayes) y su rol frente al discriminativo.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C3. Métricas correctas + ROC vs. PR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Solo reporta accuracy o no evalúa.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Da alguna métrica de la clase rara pero no PR-AUC ni las interpreta.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Tabula precision/recall/F1/PR-AUC/log-loss y traza ROC y PR.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Tabla completa (precision, recall, F1,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PR-AUC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, ROC-AUC, log-loss) + curvas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ROC y precision-recall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, con la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paradoja de la accuracy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demostrada e interpretación explícita de la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brecha ROC ≫ PR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(por qué el PR-AUC es el número honesto); cifras trazables al Excel.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(4)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C4. Tratamiento del desbalance (</w:t>
            </w:r>
            <w:r>
              <w:rPr>
                <w:rFonts w:ascii="Consolas" w:cs="Consolas" w:eastAsia="Consolas" w:hAnsi="Consolas"/>
                <w:b/>
                <w:bCs/>
                <w:color w:val="7A1526"/>
                <w:sz w:val="15"/>
                <w:szCs w:val="15"/>
              </w:rPr>
              <w:t xml:space="preserve">SMOTE</w:t>
            </w: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b/>
                <w:bCs/>
                <w:color w:val="7A1526"/>
                <w:sz w:val="15"/>
                <w:szCs w:val="15"/>
              </w:rPr>
              <w:t xml:space="preserve">class_weight</w:t>
            </w: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trata el desbalance, o aplica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SMOTE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con leakage.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Aplica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SMOTE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pero no evalúa el trade-off o remuestrea el test.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Aplica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SMOTE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solo en train y reporta que el recall sube y la precisión baja.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/>
                <w:bCs/>
                <w:color w:val="7A1526"/>
                <w:sz w:val="14"/>
                <w:szCs w:val="14"/>
              </w:rPr>
              <w:t xml:space="preserve">SMOTE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 solo en train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(o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class_weight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), sin leakage, con el conjunto de prueba en su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distribución real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; reporta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trade-off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(recall 0,615 </w:t>
            </w:r>
            <w:r>
              <w:rPr>
                <w:rFonts w:ascii="Calibri" w:cs="Calibri" w:eastAsia="Calibri" w:hAnsi="Calibri"/>
                <w:color w:val="2D2D2D"/>
                <w:sz w:val="16"/>
                <w:szCs w:val="16"/>
              </w:rPr>
              <w:t xml:space="preserve">→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0,878, precisión a la baja) con matrices antes/después y advierte el leakage de remuestrear antes del split.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(4)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C5. Excel + gráficas leídas del Excel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Sin cuaderno reproducible ni Excel.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Vuelca algunas cifras al Excel pero grafica desde memoria.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Vuelca resultados a S10_resultados.xlsx y grafica desde el Excel.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(1,5)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Todo el benchmark (métricas, puntos ROC/PR, matrices de confusión) en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resultados/S10_resultados.xlsx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, con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figuras generadas al leer el Excel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(curvas ROC/PR, barras de PR-AUC) y toda cifra del informe trazable.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C6. Campeón por PR-AUC + umbral + costo esperado + recomendación + salvaguardas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Sin elección de campeón o elige por accuracy/ROC.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Elige un modelo pero sin justificar por PR-AUC ni fijar umbral.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Elige el campeón por PR-AUC y fija un umbral; recomendación básica.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(1,5)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Declara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campeón por PR-AUC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, fija su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umbral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por costo (no 0,5),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cierra la decisión en dinero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(costo esperado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C_FN·FN + C_FP·FP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con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C_FN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anclado al importe medio del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Amount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, base vs.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SMOTE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, y cuál minimiza el costo), comunica una recomendación accionable (a qué alertar, recall, falsas alarmas y costo esperado en US$) y cierra con salvaguardas: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PR-AUC </w:t>
            </w:r>
            <w:r>
              <w:rPr>
                <w:rFonts w:ascii="Calibri" w:cs="Calibri" w:eastAsia="Calibri" w:hAnsi="Calibri"/>
                <w:b/>
                <w:bCs/>
                <w:color w:val="2D2D2D"/>
                <w:sz w:val="16"/>
                <w:szCs w:val="16"/>
              </w:rPr>
              <w:t xml:space="preserve">≠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 accuracy/ROC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7A1526"/>
                <w:sz w:val="14"/>
                <w:szCs w:val="14"/>
              </w:rPr>
              <w:t xml:space="preserve">SMOTE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 solo en train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, «generativo </w:t>
            </w:r>
            <w:r>
              <w:rPr>
                <w:rFonts w:ascii="Calibri" w:cs="Calibri" w:eastAsia="Calibri" w:hAnsi="Calibri"/>
                <w:color w:val="2D2D2D"/>
                <w:sz w:val="16"/>
                <w:szCs w:val="16"/>
              </w:rPr>
              <w:t xml:space="preserve">≠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mejor», reproducibilidad.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C7. Supuesto/decisión crítica identificada y decidida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identifica ningún supuesto/decisión, o lo aplica sin nombrarlo.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Menciona un supuesto (p. ej. LDA vs. QDA o la paradoja de la accuracy) pero sin diagnóstico ni criterio.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Identifica un supuesto/decisión con su señal o criterio y toma la decisión correcta.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(1,5)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Identifica y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decide explícitamente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</w:t>
            </w:r>
            <w:r>
              <w:rPr>
                <w:rFonts w:ascii="Calibri" w:cs="Calibri" w:eastAsia="Calibri" w:hAnsi="Calibri"/>
                <w:color w:val="2D2D2D"/>
                <w:sz w:val="16"/>
                <w:szCs w:val="16"/>
              </w:rPr>
              <w:t xml:space="preserve">≥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1 supuesto/decisión (covarianzas LDA vs. QDA, paradoja de la accuracy,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SMOTE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solo en train/fuga, o PR-AUC vs. ROC-AUC), con su diagnóstico (señal/gráfico/métrica +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umbral o criterio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) y justificación, según la guía de supuestos de la sesión.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2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9D9D9" w:sz="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Puntaje total = C1 + C2 + C3 + C4 + C5 + C6 + C7 = 3 + 3 + 4 + 4 + 2 + 2 + 2 = 20 puntos.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4.1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Honestidad analítica: no hay una única política de detección, pero sí reglas de lectura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No hay una única política de detección «correcta» —otros costos supuestos, otro umbral o el uso de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class_weight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en lugar de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SMOTE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pueden puntuar alto si el razonamiento es coherente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trazable al Excel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—, pero el análisis debe respetar las reglas de lectura de la sesión. Como referencia, sobre el fraude ULB con el protocolo del curso (valores operativos del venv)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PR-AUC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separa nítidamente los modelos —línea base logística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0,708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LDA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0,675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QDA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0,148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Naive Bayes gaussiano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0,081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— mientras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ROC-AUC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es uniformemente alto (0,955–0,973)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no distingue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SMOTE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sube el recall de fraude de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0,615 a 0,878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a costa de la precisión.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Como cierre económico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con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C_FN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= importe medio del fraude de la columna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Amount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(≈ US$ 122, estimado del dataset) y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C_FP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= US$ 5–20 de revisión,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costo esperado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 la base (57 FN, 16 FP ≈ US$ 7 126 a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C_FP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=10) es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menor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que el de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SMOTE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(18 FN, 1 885 FP ≈ US$ 21 050): a estos costos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base sin </w:t>
            </w:r>
            <w:r>
              <w:rPr>
                <w:rFonts w:ascii="Consolas" w:cs="Consolas" w:eastAsia="Consolas" w:hAnsi="Consolas"/>
                <w:b/>
                <w:bCs/>
                <w:color w:val="7A1526"/>
                <w:sz w:val="16"/>
                <w:szCs w:val="16"/>
              </w:rPr>
              <w:t xml:space="preserve">SMOTE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 minimiza el costo esperado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SMOTE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solo convendría si el importe medio del fraude superara ≈ 48× el costo de revisión). Un trabajo que elija el modelo por accuracy o ROC-AUC, aplique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SMOTE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con leakage, remuestree el test o deje el umbral en 0,5 sin justificar no puede alcanzar C3/C4/C6 altos.</w:t>
            </w:r>
          </w:p>
        </w:tc>
      </w:tr>
    </w:tbl>
    <w:p>
      <w:pPr>
        <w:spacing w:after="220"/>
      </w:pPr>
    </w:p>
    <w:p>
      <w:pPr>
        <w:spacing w:after="260" w:line="265"/>
      </w:pP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El desempeño en este entregable se refuerza con el </w:t>
      </w:r>
      <w:r>
        <w:rPr>
          <w:rFonts w:ascii="Cambria" w:cs="Cambria" w:eastAsia="Cambria" w:hAnsi="Cambria"/>
          <w:b/>
          <w:bCs/>
          <w:i/>
          <w:iCs/>
          <w:color w:val="6E6E6E"/>
          <w:sz w:val="18"/>
          <w:szCs w:val="18"/>
        </w:rPr>
        <w:t xml:space="preserve">control corto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 de cierre y con los ítems [S10] del banco de exámenes. Cierra el arco de </w:t>
      </w:r>
      <w:r>
        <w:rPr>
          <w:rFonts w:ascii="Cambria" w:cs="Cambria" w:eastAsia="Cambria" w:hAnsi="Cambria"/>
          <w:b/>
          <w:bCs/>
          <w:i/>
          <w:iCs/>
          <w:color w:val="6E6E6E"/>
          <w:sz w:val="18"/>
          <w:szCs w:val="18"/>
        </w:rPr>
        <w:t xml:space="preserve">clasificación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 de la Unidad 2 y alimenta la fase «Modelado» del proyecto integrador. Lecturas de apoyo: Fisher (1936, LDA), Domingos &amp; Pazzani (1997, Naive Bayes), Chawla et al. (2002, </w:t>
      </w:r>
      <w:r>
        <w:rPr>
          <w:rFonts w:ascii="Consolas" w:cs="Consolas" w:eastAsia="Consolas" w:hAnsi="Consolas"/>
          <w:i/>
          <w:iCs/>
          <w:color w:val="7A1526"/>
          <w:sz w:val="16"/>
          <w:szCs w:val="16"/>
        </w:rPr>
        <w:t xml:space="preserve">SMOTE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), Saito &amp; Rehmsmeier (2015, PR vs. ROC) y He &amp; Garcia (2009, datos desbalanceados) en la bibliografía de la sesión.</w:t>
      </w:r>
    </w:p>
    <w:sectPr>
      <w:headerReference w:type="default" r:id="rId7"/>
      <w:footerReference w:type="default" r:id="rId8"/>
      <w:pgSz w:w="12240" w:h="15840" w:orient="portrait"/>
      <w:pgMar w:top="108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E6E"/>
        <w:sz w:val="14"/>
        <w:szCs w:val="14"/>
      </w:rPr>
      <w:t xml:space="preserve">Herramientas para la Ciencia de Datos, UPC, Facultad de Negocios     |     </w:t>
    </w:r>
    <w:r>
      <w:rPr>
        <w:rFonts w:ascii="Calibri" w:cs="Calibri" w:eastAsia="Calibri" w:hAnsi="Calibri"/>
        <w:b/>
        <w:bCs/>
        <w:color w:val="7A152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FE2E6" w:sz="4" w:space="4"/>
      </w:pBdr>
      <w:spacing w:after="120"/>
    </w:pPr>
    <w:r>
      <w:rPr>
        <w:rFonts w:ascii="Calibri" w:cs="Calibri" w:eastAsia="Calibri" w:hAnsi="Calibri"/>
        <w:color w:val="6E6E6E"/>
        <w:sz w:val="15"/>
        <w:szCs w:val="15"/>
      </w:rPr>
      <w:t xml:space="preserve">Entregable evaluable — Sesión S10: benchmark reproducible de clasificadores clásicos sobre fraude 99:1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2D2D2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Entregable evaluable — Sesión S10</dc:title>
  <dc:creator>UPC</dc:creator>
  <dc:description>Benchmark reproducible de clasificadores clásicos sobre fraude 99:1</dc:description>
  <cp:lastModifiedBy>Un-named</cp:lastModifiedBy>
  <cp:revision>1</cp:revision>
  <dcterms:created xsi:type="dcterms:W3CDTF">2026-09-11T14:14:19.454Z</dcterms:created>
  <dcterms:modified xsi:type="dcterms:W3CDTF">2026-09-11T14:14:19.455Z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