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S12</w:t>
      </w:r>
    </w:p>
    <w:p>
      <w:pPr>
        <w:pBdr>
          <w:bottom w:val="single" w:color="E4002B" w:sz="18" w:space="10"/>
        </w:pBdr>
        <w:spacing w:after="160"/>
      </w:pPr>
      <w:r>
        <w:rPr>
          <w:rFonts w:ascii="Cambria" w:cs="Cambria" w:eastAsia="Cambria" w:hAnsi="Cambria"/>
          <w:color w:val="7A1526"/>
          <w:sz w:val="28"/>
          <w:szCs w:val="28"/>
        </w:rPr>
        <w:t xml:space="preserve">Inferencia causal: contrafactual, DAGs y puertas traseras, DiD y tendencias paralelas, PSM y balance, refutación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12 · Inferencia causal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notebook/S12_inferencia_causal.ipynb</w:t>
            </w:r>
          </w:p>
        </w:tc>
      </w:tr>
    </w:tbl>
    <w:p>
      <w:pPr>
        <w:spacing w:after="150"/>
      </w:pPr>
    </w:p>
    <w:p>
      <w:pPr>
        <w:spacing w:after="180" w:line="265"/>
      </w:pPr>
      <w:r>
        <w:rPr>
          <w:rFonts w:ascii="Cambria" w:cs="Cambria" w:eastAsia="Cambria" w:hAnsi="Cambria"/>
          <w:color w:val="3A3A3A"/>
          <w:sz w:val="18"/>
          <w:szCs w:val="18"/>
        </w:rPr>
        <w:t xml:space="preserve">Material del estudiante. Tres ejercicios de práctica de la Sesión 12 (Inferencia causal: contrafactual, DAGs y puertas traseras, DiD y tendencias paralelas, PSM y balance, refutación). Se resuelven en parejas; la entrega es individual. Español impersonal.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notebook/S12_inferencia_causal.ipynb</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plantillas/guia_dags.docx</w:t>
      </w:r>
      <w:r>
        <w:rPr>
          <w:rFonts w:ascii="Cambria" w:cs="Cambria" w:eastAsia="Cambria" w:hAnsi="Cambria"/>
          <w:color w:val="3A3A3A"/>
          <w:sz w:val="18"/>
          <w:szCs w:val="18"/>
        </w:rPr>
        <w:t xml:space="preserve"> (dibujar DAGs, cerrar puertas traseras y detectar colliders — Drill 1), la plantilla </w:t>
      </w:r>
      <w:r>
        <w:rPr>
          <w:rFonts w:ascii="Consolas" w:cs="Consolas" w:eastAsia="Consolas" w:hAnsi="Consolas"/>
          <w:color w:val="7A1526"/>
          <w:sz w:val="16"/>
          <w:szCs w:val="16"/>
        </w:rPr>
        <w:t xml:space="preserve">plantillas/plantilla_analisis_causal.docx</w:t>
      </w:r>
      <w:r>
        <w:rPr>
          <w:rFonts w:ascii="Cambria" w:cs="Cambria" w:eastAsia="Cambria" w:hAnsi="Cambria"/>
          <w:color w:val="3A3A3A"/>
          <w:sz w:val="18"/>
          <w:szCs w:val="18"/>
        </w:rPr>
        <w:t xml:space="preserve"> (supuestos, estimación y pruebas de robustez — Drills 2 y 3),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el análisis se apoya en </w:t>
      </w:r>
      <w:r>
        <w:rPr>
          <w:rFonts w:ascii="Cambria" w:cs="Cambria" w:eastAsia="Cambria" w:hAnsi="Cambria"/>
          <w:b/>
          <w:bCs/>
          <w:color w:val="3A3A3A"/>
          <w:sz w:val="18"/>
          <w:szCs w:val="18"/>
        </w:rPr>
        <w:t xml:space="preserve">DoWhy</w:t>
      </w:r>
      <w:r>
        <w:rPr>
          <w:rFonts w:ascii="Cambria" w:cs="Cambria" w:eastAsia="Cambria" w:hAnsi="Cambria"/>
          <w:color w:val="3A3A3A"/>
          <w:sz w:val="18"/>
          <w:szCs w:val="18"/>
        </w:rPr>
        <w:t xml:space="preserve">, statsmodels, scikit-learn (emparejamiento), pandas y numpy. </w:t>
      </w:r>
      <w:r>
        <w:rPr>
          <w:rFonts w:ascii="Cambria" w:cs="Cambria" w:eastAsia="Cambria" w:hAnsi="Cambria"/>
          <w:b/>
          <w:bCs/>
          <w:color w:val="3A3A3A"/>
          <w:sz w:val="18"/>
          <w:szCs w:val="18"/>
        </w:rPr>
        <w:t xml:space="preserve">Operativo = venv:</w:t>
      </w:r>
      <w:r>
        <w:rPr>
          <w:rFonts w:ascii="Cambria" w:cs="Cambria" w:eastAsia="Cambria" w:hAnsi="Cambria"/>
          <w:color w:val="3A3A3A"/>
          <w:sz w:val="18"/>
          <w:szCs w:val="18"/>
        </w:rPr>
        <w:t xml:space="preserve"> toda cifra proviene del cuaderno / </w:t>
      </w:r>
      <w:r>
        <w:rPr>
          <w:rFonts w:ascii="Consolas" w:cs="Consolas" w:eastAsia="Consolas" w:hAnsi="Consolas"/>
          <w:color w:val="7A1526"/>
          <w:sz w:val="16"/>
          <w:szCs w:val="16"/>
        </w:rPr>
        <w:t xml:space="preserve">resultados/S12_resultados.xlsx</w:t>
      </w:r>
      <w:r>
        <w:rPr>
          <w:rFonts w:ascii="Cambria" w:cs="Cambria" w:eastAsia="Cambria" w:hAnsi="Cambria"/>
          <w:color w:val="3A3A3A"/>
          <w:sz w:val="18"/>
          <w:szCs w:val="18"/>
        </w:rPr>
        <w:t xml:space="preserve">; las cifras publicadas de los papers (DiD +2,76 de Card &amp; Krueger; ATT +$1.794 de LaLonde) van </w:t>
      </w:r>
      <w:r>
        <w:rPr>
          <w:rFonts w:ascii="Cambria" w:cs="Cambria" w:eastAsia="Cambria" w:hAnsi="Cambria"/>
          <w:b/>
          <w:bCs/>
          <w:color w:val="3A3A3A"/>
          <w:sz w:val="18"/>
          <w:szCs w:val="18"/>
        </w:rPr>
        <w:t xml:space="preserve">etiquetadas como benchmark</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Regla transversal — confusión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causa:</w:t>
      </w:r>
      <w:r>
        <w:rPr>
          <w:rFonts w:ascii="Cambria" w:cs="Cambria" w:eastAsia="Cambria" w:hAnsi="Cambria"/>
          <w:color w:val="3A3A3A"/>
          <w:sz w:val="18"/>
          <w:szCs w:val="18"/>
        </w:rPr>
        <w:t xml:space="preserve"> una asociación (como un </w:t>
      </w:r>
      <w:r>
        <w:rPr>
          <w:rFonts w:ascii="Cambria" w:cs="Cambria" w:eastAsia="Cambria" w:hAnsi="Cambria"/>
          <w:i/>
          <w:iCs/>
          <w:color w:val="3A3A3A"/>
          <w:sz w:val="18"/>
          <w:szCs w:val="18"/>
        </w:rPr>
        <w:t xml:space="preserve">odds ratio</w:t>
      </w:r>
      <w:r>
        <w:rPr>
          <w:rFonts w:ascii="Cambria" w:cs="Cambria" w:eastAsia="Cambria" w:hAnsi="Cambria"/>
          <w:color w:val="3A3A3A"/>
          <w:sz w:val="18"/>
          <w:szCs w:val="18"/>
        </w:rPr>
        <w:t xml:space="preserve"> de S09) no es un efecto causal; identificar el efecto exige cerrar las puertas traseras.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análisis de supervivencia (S13) ni sistemas de recomendación (S14); el A/B testing se </w:t>
      </w:r>
      <w:r>
        <w:rPr>
          <w:rFonts w:ascii="Cambria" w:cs="Cambria" w:eastAsia="Cambria" w:hAnsi="Cambria"/>
          <w:b/>
          <w:bCs/>
          <w:color w:val="3A3A3A"/>
          <w:sz w:val="18"/>
          <w:szCs w:val="18"/>
        </w:rPr>
        <w:t xml:space="preserve">extiende</w:t>
      </w:r>
      <w:r>
        <w:rPr>
          <w:rFonts w:ascii="Cambria" w:cs="Cambria" w:eastAsia="Cambria" w:hAnsi="Cambria"/>
          <w:color w:val="3A3A3A"/>
          <w:sz w:val="18"/>
          <w:szCs w:val="18"/>
        </w:rPr>
        <w:t xml:space="preserve"> (poder, MDE, marco causal), no se re-enseña lo básico de S02. El Drill 1 se resuelve </w:t>
      </w:r>
      <w:r>
        <w:rPr>
          <w:rFonts w:ascii="Cambria" w:cs="Cambria" w:eastAsia="Cambria" w:hAnsi="Cambria"/>
          <w:b/>
          <w:bCs/>
          <w:color w:val="3A3A3A"/>
          <w:sz w:val="18"/>
          <w:szCs w:val="18"/>
        </w:rPr>
        <w:t xml:space="preserve">de forma manual</w:t>
      </w:r>
      <w:r>
        <w:rPr>
          <w:rFonts w:ascii="Cambria" w:cs="Cambria" w:eastAsia="Cambria" w:hAnsi="Cambria"/>
          <w:color w:val="3A3A3A"/>
          <w:sz w:val="18"/>
          <w:szCs w:val="18"/>
        </w:rPr>
        <w:t xml:space="preserve"> sobre un DAG (papel y lápiz o </w:t>
      </w:r>
      <w:r>
        <w:rPr>
          <w:rFonts w:ascii="Consolas" w:cs="Consolas" w:eastAsia="Consolas" w:hAnsi="Consolas"/>
          <w:color w:val="7A1526"/>
          <w:sz w:val="16"/>
          <w:szCs w:val="16"/>
        </w:rPr>
        <w:t xml:space="preserve">plantillas/guia_dags.docx</w:t>
      </w:r>
      <w:r>
        <w:rPr>
          <w:rFonts w:ascii="Cambria" w:cs="Cambria" w:eastAsia="Cambria" w:hAnsi="Cambria"/>
          <w:color w:val="3A3A3A"/>
          <w:sz w:val="18"/>
          <w:szCs w:val="18"/>
        </w:rPr>
        <w:t xml:space="preserve">); los Drills 2 y 3 interpretan las </w:t>
      </w:r>
      <w:r>
        <w:rPr>
          <w:rFonts w:ascii="Cambria" w:cs="Cambria" w:eastAsia="Cambria" w:hAnsi="Cambria"/>
          <w:b/>
          <w:bCs/>
          <w:color w:val="3A3A3A"/>
          <w:sz w:val="18"/>
          <w:szCs w:val="18"/>
        </w:rPr>
        <w:t xml:space="preserve">tablas de resultados</w:t>
      </w:r>
      <w:r>
        <w:rPr>
          <w:rFonts w:ascii="Cambria" w:cs="Cambria" w:eastAsia="Cambria" w:hAnsi="Cambria"/>
          <w:color w:val="3A3A3A"/>
          <w:sz w:val="18"/>
          <w:szCs w:val="18"/>
        </w:rPr>
        <w:t xml:space="preserve"> que produce el cuaderno sobre los casos de Card &amp; Krueger (DiD), LaLonde/NSW (PSM) y la campaña de retención de negocio.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cómo dibujar un DAG y elegir el conjunto de control que cierra las puertas traseras, cómo verificar el supuesto de tendencias paralelas antes de aplicar un DiD, y cómo comparar el efecto naive con el efecto ajustado por PSM para explicar la dirección del sesgo de selección.</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Dibujar un DAG y elegir el conjunto de control que cierra las puertas traseras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Verificar tendencias paralelas antes de aplicar DiD (caso Card &amp; Krueger)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Comparar el efecto naive vs. con PSM y explicar la diferencia</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DIBUJAR UN DAG Y ELEGIR EL CONJUNTO DE CONTROL QUE CIERRA LAS PUERTAS TRASERAS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Se estudia el efecto causal de una </w:t>
      </w:r>
      <w:r>
        <w:rPr>
          <w:rFonts w:ascii="Cambria" w:cs="Cambria" w:eastAsia="Cambria" w:hAnsi="Cambria"/>
          <w:b/>
          <w:bCs/>
          <w:color w:val="2D2D2D"/>
          <w:sz w:val="20"/>
          <w:szCs w:val="20"/>
        </w:rPr>
        <w:t xml:space="preserve">campaña de retención</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campaign</w:t>
      </w:r>
      <w:r>
        <w:rPr>
          <w:rFonts w:ascii="Cambria" w:cs="Cambria" w:eastAsia="Cambria" w:hAnsi="Cambria"/>
          <w:color w:val="2D2D2D"/>
          <w:sz w:val="20"/>
          <w:szCs w:val="20"/>
        </w:rPr>
        <w:t xml:space="preserve">, 1 = el cliente la recibió) sobre el </w:t>
      </w:r>
      <w:r>
        <w:rPr>
          <w:rFonts w:ascii="Cambria" w:cs="Cambria" w:eastAsia="Cambria" w:hAnsi="Cambria"/>
          <w:b/>
          <w:bCs/>
          <w:color w:val="2D2D2D"/>
          <w:sz w:val="20"/>
          <w:szCs w:val="20"/>
        </w:rPr>
        <w:t xml:space="preserve">valor incremental</w:t>
      </w:r>
      <w:r>
        <w:rPr>
          <w:rFonts w:ascii="Cambria" w:cs="Cambria" w:eastAsia="Cambria" w:hAnsi="Cambria"/>
          <w:color w:val="2D2D2D"/>
          <w:sz w:val="20"/>
          <w:szCs w:val="20"/>
        </w:rPr>
        <w:t xml:space="preserve"> del cliente el próximo trimestre (</w:t>
      </w:r>
      <w:r>
        <w:rPr>
          <w:rFonts w:ascii="Consolas" w:cs="Consolas" w:eastAsia="Consolas" w:hAnsi="Consolas"/>
          <w:color w:val="7A1526"/>
          <w:sz w:val="18"/>
          <w:szCs w:val="18"/>
        </w:rPr>
        <w:t xml:space="preserve">value</w:t>
      </w:r>
      <w:r>
        <w:rPr>
          <w:rFonts w:ascii="Cambria" w:cs="Cambria" w:eastAsia="Cambria" w:hAnsi="Cambria"/>
          <w:color w:val="2D2D2D"/>
          <w:sz w:val="20"/>
          <w:szCs w:val="20"/>
        </w:rPr>
        <w:t xml:space="preserve">, USD). Los datos son </w:t>
      </w:r>
      <w:r>
        <w:rPr>
          <w:rFonts w:ascii="Cambria" w:cs="Cambria" w:eastAsia="Cambria" w:hAnsi="Cambria"/>
          <w:b/>
          <w:bCs/>
          <w:color w:val="2D2D2D"/>
          <w:sz w:val="20"/>
          <w:szCs w:val="20"/>
        </w:rPr>
        <w:t xml:space="preserve">observacionales</w:t>
      </w:r>
      <w:r>
        <w:rPr>
          <w:rFonts w:ascii="Cambria" w:cs="Cambria" w:eastAsia="Cambria" w:hAnsi="Cambria"/>
          <w:color w:val="2D2D2D"/>
          <w:sz w:val="20"/>
          <w:szCs w:val="20"/>
        </w:rPr>
        <w:t xml:space="preserve">: el equipo de marketing eligió a quién contactar a partir de la </w:t>
      </w:r>
      <w:r>
        <w:rPr>
          <w:rFonts w:ascii="Cambria" w:cs="Cambria" w:eastAsia="Cambria" w:hAnsi="Cambria"/>
          <w:b/>
          <w:bCs/>
          <w:color w:val="2D2D2D"/>
          <w:sz w:val="20"/>
          <w:szCs w:val="20"/>
        </w:rPr>
        <w:t xml:space="preserve">actividad previa</w:t>
      </w:r>
      <w:r>
        <w:rPr>
          <w:rFonts w:ascii="Cambria" w:cs="Cambria" w:eastAsia="Cambria" w:hAnsi="Cambria"/>
          <w:color w:val="2D2D2D"/>
          <w:sz w:val="20"/>
          <w:szCs w:val="20"/>
        </w:rPr>
        <w:t xml:space="preserve"> del cliente (</w:t>
      </w:r>
      <w:r>
        <w:rPr>
          <w:rFonts w:ascii="Consolas" w:cs="Consolas" w:eastAsia="Consolas" w:hAnsi="Consolas"/>
          <w:color w:val="7A1526"/>
          <w:sz w:val="18"/>
          <w:szCs w:val="18"/>
        </w:rPr>
        <w:t xml:space="preserve">engagement</w:t>
      </w:r>
      <w:r>
        <w:rPr>
          <w:rFonts w:ascii="Cambria" w:cs="Cambria" w:eastAsia="Cambria" w:hAnsi="Cambria"/>
          <w:color w:val="2D2D2D"/>
          <w:sz w:val="20"/>
          <w:szCs w:val="20"/>
        </w:rPr>
        <w:t xml:space="preserve">, z-score de uso reciente). Se sabe además que </w:t>
      </w:r>
      <w:r>
        <w:rPr>
          <w:rFonts w:ascii="Consolas" w:cs="Consolas" w:eastAsia="Consolas" w:hAnsi="Consolas"/>
          <w:color w:val="7A1526"/>
          <w:sz w:val="18"/>
          <w:szCs w:val="18"/>
        </w:rPr>
        <w:t xml:space="preserve">engagement</w:t>
      </w:r>
      <w:r>
        <w:rPr>
          <w:rFonts w:ascii="Cambria" w:cs="Cambria" w:eastAsia="Cambria" w:hAnsi="Cambria"/>
          <w:color w:val="2D2D2D"/>
          <w:sz w:val="20"/>
          <w:szCs w:val="20"/>
        </w:rPr>
        <w:t xml:space="preserve"> predice también el valor futuro, y que la </w:t>
      </w:r>
      <w:r>
        <w:rPr>
          <w:rFonts w:ascii="Cambria" w:cs="Cambria" w:eastAsia="Cambria" w:hAnsi="Cambria"/>
          <w:b/>
          <w:bCs/>
          <w:color w:val="2D2D2D"/>
          <w:sz w:val="20"/>
          <w:szCs w:val="20"/>
        </w:rPr>
        <w:t xml:space="preserve">antigüedad</w:t>
      </w:r>
      <w:r>
        <w:rPr>
          <w:rFonts w:ascii="Cambria" w:cs="Cambria" w:eastAsia="Cambria" w:hAnsi="Cambria"/>
          <w:color w:val="2D2D2D"/>
          <w:sz w:val="20"/>
          <w:szCs w:val="20"/>
        </w:rPr>
        <w:t xml:space="preserve"> del cliente (</w:t>
      </w:r>
      <w:r>
        <w:rPr>
          <w:rFonts w:ascii="Consolas" w:cs="Consolas" w:eastAsia="Consolas" w:hAnsi="Consolas"/>
          <w:color w:val="7A1526"/>
          <w:sz w:val="18"/>
          <w:szCs w:val="18"/>
        </w:rPr>
        <w:t xml:space="preserve">tenure</w:t>
      </w:r>
      <w:r>
        <w:rPr>
          <w:rFonts w:ascii="Cambria" w:cs="Cambria" w:eastAsia="Cambria" w:hAnsi="Cambria"/>
          <w:color w:val="2D2D2D"/>
          <w:sz w:val="20"/>
          <w:szCs w:val="20"/>
        </w:rPr>
        <w:t xml:space="preserve">, meses) afecta al valor pero </w:t>
      </w:r>
      <w:r>
        <w:rPr>
          <w:rFonts w:ascii="Cambria" w:cs="Cambria" w:eastAsia="Cambria" w:hAnsi="Cambria"/>
          <w:b/>
          <w:bCs/>
          <w:color w:val="2D2D2D"/>
          <w:sz w:val="20"/>
          <w:szCs w:val="20"/>
        </w:rPr>
        <w:t xml:space="preserve">no</w:t>
      </w:r>
      <w:r>
        <w:rPr>
          <w:rFonts w:ascii="Cambria" w:cs="Cambria" w:eastAsia="Cambria" w:hAnsi="Cambria"/>
          <w:color w:val="2D2D2D"/>
          <w:sz w:val="20"/>
          <w:szCs w:val="20"/>
        </w:rPr>
        <w:t xml:space="preserve"> influyó en la decisión de contactarlo.</w:t>
      </w:r>
    </w:p>
    <w:p>
      <w:pPr>
        <w:spacing w:after="220"/>
      </w:pPr>
    </w:p>
    <w:p>
      <w:pPr>
        <w:spacing w:line="270"/>
      </w:pPr>
      <w:r>
        <w:rPr>
          <w:rFonts w:ascii="Cambria" w:cs="Cambria" w:eastAsia="Cambria" w:hAnsi="Cambria"/>
          <w:b/>
          <w:bCs/>
          <w:color w:val="2D2D2D"/>
          <w:sz w:val="20"/>
          <w:szCs w:val="20"/>
        </w:rPr>
        <w:t xml:space="preserve">(a) DAG base.</w:t>
      </w:r>
      <w:r>
        <w:rPr>
          <w:rFonts w:ascii="Cambria" w:cs="Cambria" w:eastAsia="Cambria" w:hAnsi="Cambria"/>
          <w:color w:val="2D2D2D"/>
          <w:sz w:val="20"/>
          <w:szCs w:val="20"/>
        </w:rPr>
        <w:t xml:space="preserve"> Dibujar el DAG con las cuatro variables y estas relaciones causales: </w:t>
      </w:r>
      <w:r>
        <w:rPr>
          <w:rFonts w:ascii="Consolas" w:cs="Consolas" w:eastAsia="Consolas" w:hAnsi="Consolas"/>
          <w:color w:val="7A1526"/>
          <w:sz w:val="18"/>
          <w:szCs w:val="18"/>
        </w:rPr>
        <w:t xml:space="preserve">engagement</w:t>
      </w:r>
      <w:r>
        <w:rPr>
          <w:rFonts w:ascii="Cambria" w:cs="Cambria" w:eastAsia="Cambria" w:hAnsi="Cambria"/>
          <w:color w:val="2D2D2D"/>
          <w:sz w:val="20"/>
          <w:szCs w:val="20"/>
        </w:rPr>
        <w:t xml:space="preserve">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campaign</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engagement</w:t>
      </w:r>
      <w:r>
        <w:rPr>
          <w:rFonts w:ascii="Cambria" w:cs="Cambria" w:eastAsia="Cambria" w:hAnsi="Cambria"/>
          <w:color w:val="2D2D2D"/>
          <w:sz w:val="20"/>
          <w:szCs w:val="20"/>
        </w:rPr>
        <w:t xml:space="preserve">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value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tenure</w:t>
      </w:r>
      <w:r>
        <w:rPr>
          <w:rFonts w:ascii="Cambria" w:cs="Cambria" w:eastAsia="Cambria" w:hAnsi="Cambria"/>
          <w:color w:val="2D2D2D"/>
          <w:sz w:val="20"/>
          <w:szCs w:val="20"/>
        </w:rPr>
        <w:t xml:space="preserve">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value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campaign</w:t>
      </w:r>
      <w:r>
        <w:rPr>
          <w:rFonts w:ascii="Cambria" w:cs="Cambria" w:eastAsia="Cambria" w:hAnsi="Cambria"/>
          <w:color w:val="2D2D2D"/>
          <w:sz w:val="20"/>
          <w:szCs w:val="20"/>
        </w:rPr>
        <w:t xml:space="preserve">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value</w:t>
      </w:r>
      <w:r>
        <w:rPr>
          <w:rFonts w:ascii="Cambria" w:cs="Cambria" w:eastAsia="Cambria" w:hAnsi="Cambria"/>
          <w:color w:val="2D2D2D"/>
          <w:sz w:val="20"/>
          <w:szCs w:val="20"/>
        </w:rPr>
        <w:t xml:space="preserve">. Sobre ese grafo: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Clasificar cada variable respecto al par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¿cuál es </w:t>
            </w:r>
            <w:r>
              <w:rPr>
                <w:rFonts w:ascii="Cambria" w:cs="Cambria" w:eastAsia="Cambria" w:hAnsi="Cambria"/>
                <w:b/>
                <w:bCs/>
                <w:color w:val="2D2D2D"/>
                <w:sz w:val="19"/>
                <w:szCs w:val="19"/>
              </w:rPr>
              <w:t xml:space="preserve">confusor</w:t>
            </w:r>
            <w:r>
              <w:rPr>
                <w:rFonts w:ascii="Cambria" w:cs="Cambria" w:eastAsia="Cambria" w:hAnsi="Cambria"/>
                <w:color w:val="2D2D2D"/>
                <w:sz w:val="19"/>
                <w:szCs w:val="19"/>
              </w:rPr>
              <w:t xml:space="preserve">, cuál es </w:t>
            </w:r>
            <w:r>
              <w:rPr>
                <w:rFonts w:ascii="Cambria" w:cs="Cambria" w:eastAsia="Cambria" w:hAnsi="Cambria"/>
                <w:b/>
                <w:bCs/>
                <w:color w:val="2D2D2D"/>
                <w:sz w:val="19"/>
                <w:szCs w:val="19"/>
              </w:rPr>
              <w:t xml:space="preserve">covariable de precisión</w:t>
            </w:r>
            <w:r>
              <w:rPr>
                <w:rFonts w:ascii="Cambria" w:cs="Cambria" w:eastAsia="Cambria" w:hAnsi="Cambria"/>
                <w:color w:val="2D2D2D"/>
                <w:sz w:val="19"/>
                <w:szCs w:val="19"/>
              </w:rPr>
              <w:t xml:space="preserve"> (afecta al resultado pero no al tratamiento) y cuál es el </w:t>
            </w:r>
            <w:r>
              <w:rPr>
                <w:rFonts w:ascii="Cambria" w:cs="Cambria" w:eastAsia="Cambria" w:hAnsi="Cambria"/>
                <w:b/>
                <w:bCs/>
                <w:color w:val="2D2D2D"/>
                <w:sz w:val="19"/>
                <w:szCs w:val="19"/>
              </w:rPr>
              <w:t xml:space="preserve">efecto</w:t>
            </w:r>
            <w:r>
              <w:rPr>
                <w:rFonts w:ascii="Cambria" w:cs="Cambria" w:eastAsia="Cambria" w:hAnsi="Cambria"/>
                <w:color w:val="2D2D2D"/>
                <w:sz w:val="19"/>
                <w:szCs w:val="19"/>
              </w:rPr>
              <w:t xml:space="preserve"> de interés?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Identificar </w:t>
            </w:r>
            <w:r>
              <w:rPr>
                <w:rFonts w:ascii="Cambria" w:cs="Cambria" w:eastAsia="Cambria" w:hAnsi="Cambria"/>
                <w:b/>
                <w:bCs/>
                <w:color w:val="2D2D2D"/>
                <w:sz w:val="19"/>
                <w:szCs w:val="19"/>
              </w:rPr>
              <w:t xml:space="preserve">el camino de puerta trasera</w:t>
            </w:r>
            <w:r>
              <w:rPr>
                <w:rFonts w:ascii="Cambria" w:cs="Cambria" w:eastAsia="Cambria" w:hAnsi="Cambria"/>
                <w:color w:val="2D2D2D"/>
                <w:sz w:val="19"/>
                <w:szCs w:val="19"/>
              </w:rPr>
              <w:t xml:space="preserve"> entre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(la trayectoria que empieza con una flecha </w:t>
            </w:r>
            <w:r>
              <w:rPr>
                <w:rFonts w:ascii="Cambria" w:cs="Cambria" w:eastAsia="Cambria" w:hAnsi="Cambria"/>
                <w:i/>
                <w:iCs/>
                <w:color w:val="2D2D2D"/>
                <w:sz w:val="19"/>
                <w:szCs w:val="19"/>
              </w:rPr>
              <w:t xml:space="preserve">hacia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y decir qué variable hay que </w:t>
            </w:r>
            <w:r>
              <w:rPr>
                <w:rFonts w:ascii="Cambria" w:cs="Cambria" w:eastAsia="Cambria" w:hAnsi="Cambria"/>
                <w:b/>
                <w:bCs/>
                <w:color w:val="2D2D2D"/>
                <w:sz w:val="19"/>
                <w:szCs w:val="19"/>
              </w:rPr>
              <w:t xml:space="preserve">condicionar</w:t>
            </w:r>
            <w:r>
              <w:rPr>
                <w:rFonts w:ascii="Cambria" w:cs="Cambria" w:eastAsia="Cambria" w:hAnsi="Cambria"/>
                <w:color w:val="2D2D2D"/>
                <w:sz w:val="19"/>
                <w:szCs w:val="19"/>
              </w:rPr>
              <w:t xml:space="preserve"> para bloquearlo.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Escribir el </w:t>
            </w:r>
            <w:r>
              <w:rPr>
                <w:rFonts w:ascii="Cambria" w:cs="Cambria" w:eastAsia="Cambria" w:hAnsi="Cambria"/>
                <w:b/>
                <w:bCs/>
                <w:color w:val="2D2D2D"/>
                <w:sz w:val="19"/>
                <w:szCs w:val="19"/>
              </w:rPr>
              <w:t xml:space="preserve">conjunto de ajuste mínimo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backdoor set</w:t>
            </w:r>
            <w:r>
              <w:rPr>
                <w:rFonts w:ascii="Cambria" w:cs="Cambria" w:eastAsia="Cambria" w:hAnsi="Cambria"/>
                <w:color w:val="2D2D2D"/>
                <w:sz w:val="19"/>
                <w:szCs w:val="19"/>
              </w:rPr>
              <w:t xml:space="preserve">) que identifica el efecto. ¿Es válido añadir también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Justificar qué gana y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cambia al incluirla.</w:t>
            </w:r>
          </w:p>
        </w:tc>
      </w:tr>
    </w:tbl>
    <w:p>
      <w:pPr>
        <w:spacing w:after="220"/>
      </w:pPr>
    </w:p>
    <w:p>
      <w:pPr>
        <w:spacing w:line="270"/>
      </w:pPr>
      <w:r>
        <w:rPr>
          <w:rFonts w:ascii="Cambria" w:cs="Cambria" w:eastAsia="Cambria" w:hAnsi="Cambria"/>
          <w:b/>
          <w:bCs/>
          <w:color w:val="2D2D2D"/>
          <w:sz w:val="20"/>
          <w:szCs w:val="20"/>
        </w:rPr>
        <w:t xml:space="preserve">(b) Variante con collider.</w:t>
      </w:r>
      <w:r>
        <w:rPr>
          <w:rFonts w:ascii="Cambria" w:cs="Cambria" w:eastAsia="Cambria" w:hAnsi="Cambria"/>
          <w:color w:val="2D2D2D"/>
          <w:sz w:val="20"/>
          <w:szCs w:val="20"/>
        </w:rPr>
        <w:t xml:space="preserve"> El notebook añade una quinta variable: </w:t>
      </w:r>
      <w:r>
        <w:rPr>
          <w:rFonts w:ascii="Consolas" w:cs="Consolas" w:eastAsia="Consolas" w:hAnsi="Consolas"/>
          <w:color w:val="7A1526"/>
          <w:sz w:val="18"/>
          <w:szCs w:val="18"/>
        </w:rPr>
        <w:t xml:space="preserve">uso_post</w:t>
      </w:r>
      <w:r>
        <w:rPr>
          <w:rFonts w:ascii="Cambria" w:cs="Cambria" w:eastAsia="Cambria" w:hAnsi="Cambria"/>
          <w:color w:val="2D2D2D"/>
          <w:sz w:val="20"/>
          <w:szCs w:val="20"/>
        </w:rPr>
        <w:t xml:space="preserve"> (uso/actividad del cliente </w:t>
      </w:r>
      <w:r>
        <w:rPr>
          <w:rFonts w:ascii="Cambria" w:cs="Cambria" w:eastAsia="Cambria" w:hAnsi="Cambria"/>
          <w:b/>
          <w:bCs/>
          <w:color w:val="2D2D2D"/>
          <w:sz w:val="20"/>
          <w:szCs w:val="20"/>
        </w:rPr>
        <w:t xml:space="preserve">posterior</w:t>
      </w:r>
      <w:r>
        <w:rPr>
          <w:rFonts w:ascii="Cambria" w:cs="Cambria" w:eastAsia="Cambria" w:hAnsi="Cambria"/>
          <w:color w:val="2D2D2D"/>
          <w:sz w:val="20"/>
          <w:szCs w:val="20"/>
        </w:rPr>
        <w:t xml:space="preserve"> a la campaña). Es mayor en quienes </w:t>
      </w:r>
      <w:r>
        <w:rPr>
          <w:rFonts w:ascii="Cambria" w:cs="Cambria" w:eastAsia="Cambria" w:hAnsi="Cambria"/>
          <w:b/>
          <w:bCs/>
          <w:color w:val="2D2D2D"/>
          <w:sz w:val="20"/>
          <w:szCs w:val="20"/>
        </w:rPr>
        <w:t xml:space="preserve">recibieron la campaña</w:t>
      </w:r>
      <w:r>
        <w:rPr>
          <w:rFonts w:ascii="Cambria" w:cs="Cambria" w:eastAsia="Cambria" w:hAnsi="Cambria"/>
          <w:color w:val="2D2D2D"/>
          <w:sz w:val="20"/>
          <w:szCs w:val="20"/>
        </w:rPr>
        <w:t xml:space="preserve"> y también en quienes tienen </w:t>
      </w:r>
      <w:r>
        <w:rPr>
          <w:rFonts w:ascii="Cambria" w:cs="Cambria" w:eastAsia="Cambria" w:hAnsi="Cambria"/>
          <w:b/>
          <w:bCs/>
          <w:color w:val="2D2D2D"/>
          <w:sz w:val="20"/>
          <w:szCs w:val="20"/>
        </w:rPr>
        <w:t xml:space="preserve">mayor valor</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campaign</w:t>
      </w:r>
      <w:r>
        <w:rPr>
          <w:rFonts w:ascii="Cambria" w:cs="Cambria" w:eastAsia="Cambria" w:hAnsi="Cambria"/>
          <w:color w:val="2D2D2D"/>
          <w:sz w:val="20"/>
          <w:szCs w:val="20"/>
        </w:rPr>
        <w:t xml:space="preserve">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uso_post</w:t>
      </w:r>
      <w:r>
        <w:rPr>
          <w:rFonts w:ascii="Cambria" w:cs="Cambria" w:eastAsia="Cambria" w:hAnsi="Cambria"/>
          <w:color w:val="2D2D2D"/>
          <w:sz w:val="20"/>
          <w:szCs w:val="20"/>
        </w:rPr>
        <w:t xml:space="preserve"> ← </w:t>
      </w:r>
      <w:r>
        <w:rPr>
          <w:rFonts w:ascii="Consolas" w:cs="Consolas" w:eastAsia="Consolas" w:hAnsi="Consolas"/>
          <w:color w:val="7A1526"/>
          <w:sz w:val="18"/>
          <w:szCs w:val="18"/>
        </w:rPr>
        <w:t xml:space="preserve">value</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Marcar </w:t>
            </w:r>
            <w:r>
              <w:rPr>
                <w:rFonts w:ascii="Consolas" w:cs="Consolas" w:eastAsia="Consolas" w:hAnsi="Consolas"/>
                <w:color w:val="7A1526"/>
                <w:sz w:val="17"/>
                <w:szCs w:val="17"/>
              </w:rPr>
              <w:t xml:space="preserve">uso_post</w:t>
            </w:r>
            <w:r>
              <w:rPr>
                <w:rFonts w:ascii="Cambria" w:cs="Cambria" w:eastAsia="Cambria" w:hAnsi="Cambria"/>
                <w:color w:val="2D2D2D"/>
                <w:sz w:val="19"/>
                <w:szCs w:val="19"/>
              </w:rPr>
              <w:t xml:space="preserve"> en el DAG. ¿Es confusor, mediador o </w:t>
            </w:r>
            <w:r>
              <w:rPr>
                <w:rFonts w:ascii="Cambria" w:cs="Cambria" w:eastAsia="Cambria" w:hAnsi="Cambria"/>
                <w:b/>
                <w:bCs/>
                <w:color w:val="2D2D2D"/>
                <w:sz w:val="19"/>
                <w:szCs w:val="19"/>
              </w:rPr>
              <w:t xml:space="preserve">collider</w:t>
            </w:r>
            <w:r>
              <w:rPr>
                <w:rFonts w:ascii="Cambria" w:cs="Cambria" w:eastAsia="Cambria" w:hAnsi="Cambria"/>
                <w:color w:val="2D2D2D"/>
                <w:sz w:val="19"/>
                <w:szCs w:val="19"/>
              </w:rPr>
              <w:t xml:space="preserve">? Justificar por la forma en que chocan las flechas.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propone «controlar por todo lo disponible» y </w:t>
            </w:r>
            <w:r>
              <w:rPr>
                <w:rFonts w:ascii="Cambria" w:cs="Cambria" w:eastAsia="Cambria" w:hAnsi="Cambria"/>
                <w:b/>
                <w:bCs/>
                <w:color w:val="2D2D2D"/>
                <w:sz w:val="19"/>
                <w:szCs w:val="19"/>
              </w:rPr>
              <w:t xml:space="preserve">añade </w:t>
            </w:r>
            <w:r>
              <w:rPr>
                <w:rFonts w:ascii="Consolas" w:cs="Consolas" w:eastAsia="Consolas" w:hAnsi="Consolas"/>
                <w:b/>
                <w:bCs/>
                <w:color w:val="7A1526"/>
                <w:sz w:val="17"/>
                <w:szCs w:val="17"/>
              </w:rPr>
              <w:t xml:space="preserve">uso_post</w:t>
            </w:r>
            <w:r>
              <w:rPr>
                <w:rFonts w:ascii="Cambria" w:cs="Cambria" w:eastAsia="Cambria" w:hAnsi="Cambria"/>
                <w:color w:val="2D2D2D"/>
                <w:sz w:val="19"/>
                <w:szCs w:val="19"/>
              </w:rPr>
              <w:t xml:space="preserve"> al conjunto de ajuste (o analiza solo a quienes respondieron). Explicar, con el criterio de puerta trasera, por qué eso </w:t>
            </w:r>
            <w:r>
              <w:rPr>
                <w:rFonts w:ascii="Cambria" w:cs="Cambria" w:eastAsia="Cambria" w:hAnsi="Cambria"/>
                <w:b/>
                <w:bCs/>
                <w:color w:val="2D2D2D"/>
                <w:sz w:val="19"/>
                <w:szCs w:val="19"/>
              </w:rPr>
              <w:t xml:space="preserve">abre</w:t>
            </w:r>
            <w:r>
              <w:rPr>
                <w:rFonts w:ascii="Cambria" w:cs="Cambria" w:eastAsia="Cambria" w:hAnsi="Cambria"/>
                <w:color w:val="2D2D2D"/>
                <w:sz w:val="19"/>
                <w:szCs w:val="19"/>
              </w:rPr>
              <w:t xml:space="preserve"> un camino espurio en lugar de cerrarlo y </w:t>
            </w:r>
            <w:r>
              <w:rPr>
                <w:rFonts w:ascii="Cambria" w:cs="Cambria" w:eastAsia="Cambria" w:hAnsi="Cambria"/>
                <w:b/>
                <w:bCs/>
                <w:color w:val="2D2D2D"/>
                <w:sz w:val="19"/>
                <w:szCs w:val="19"/>
              </w:rPr>
              <w:t xml:space="preserve">sesga</w:t>
            </w:r>
            <w:r>
              <w:rPr>
                <w:rFonts w:ascii="Cambria" w:cs="Cambria" w:eastAsia="Cambria" w:hAnsi="Cambria"/>
                <w:color w:val="2D2D2D"/>
                <w:sz w:val="19"/>
                <w:szCs w:val="19"/>
              </w:rPr>
              <w:t xml:space="preserve"> la estimación (</w:t>
            </w:r>
            <w:r>
              <w:rPr>
                <w:rFonts w:ascii="Cambria" w:cs="Cambria" w:eastAsia="Cambria" w:hAnsi="Cambria"/>
                <w:i/>
                <w:iCs/>
                <w:color w:val="2D2D2D"/>
                <w:sz w:val="19"/>
                <w:szCs w:val="19"/>
              </w:rPr>
              <w:t xml:space="preserve">collider bias</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Concluir con el </w:t>
            </w:r>
            <w:r>
              <w:rPr>
                <w:rFonts w:ascii="Cambria" w:cs="Cambria" w:eastAsia="Cambria" w:hAnsi="Cambria"/>
                <w:b/>
                <w:bCs/>
                <w:color w:val="2D2D2D"/>
                <w:sz w:val="19"/>
                <w:szCs w:val="19"/>
              </w:rPr>
              <w:t xml:space="preserve">conjunto de control correcto</w:t>
            </w:r>
            <w:r>
              <w:rPr>
                <w:rFonts w:ascii="Cambria" w:cs="Cambria" w:eastAsia="Cambria" w:hAnsi="Cambria"/>
                <w:color w:val="2D2D2D"/>
                <w:sz w:val="19"/>
                <w:szCs w:val="19"/>
              </w:rPr>
              <w:t xml:space="preserve"> para el efecto total de </w:t>
            </w:r>
            <w:r>
              <w:rPr>
                <w:rFonts w:ascii="Consolas" w:cs="Consolas" w:eastAsia="Consolas" w:hAnsi="Consolas"/>
                <w:color w:val="7A1526"/>
                <w:sz w:val="17"/>
                <w:szCs w:val="17"/>
              </w:rPr>
              <w:t xml:space="preserve">campaign</w:t>
            </w:r>
            <w:r>
              <w:rPr>
                <w:rFonts w:ascii="Cambria" w:cs="Cambria" w:eastAsia="Cambria" w:hAnsi="Cambria"/>
                <w:color w:val="2D2D2D"/>
                <w:sz w:val="19"/>
                <w:szCs w:val="19"/>
              </w:rPr>
              <w:t xml:space="preserve"> sobre </w:t>
            </w:r>
            <w:r>
              <w:rPr>
                <w:rFonts w:ascii="Consolas" w:cs="Consolas" w:eastAsia="Consolas" w:hAnsi="Consolas"/>
                <w:color w:val="7A1526"/>
                <w:sz w:val="17"/>
                <w:szCs w:val="17"/>
              </w:rPr>
              <w:t xml:space="preserve">value</w:t>
            </w:r>
            <w:r>
              <w:rPr>
                <w:rFonts w:ascii="Cambria" w:cs="Cambria" w:eastAsia="Cambria" w:hAnsi="Cambria"/>
                <w:color w:val="2D2D2D"/>
                <w:sz w:val="19"/>
                <w:szCs w:val="19"/>
              </w:rPr>
              <w:t xml:space="preserve">, e indicar explícitamente qué variable(s) se controlan y cuál se </w:t>
            </w:r>
            <w:r>
              <w:rPr>
                <w:rFonts w:ascii="Cambria" w:cs="Cambria" w:eastAsia="Cambria" w:hAnsi="Cambria"/>
                <w:b/>
                <w:bCs/>
                <w:color w:val="2D2D2D"/>
                <w:sz w:val="19"/>
                <w:szCs w:val="19"/>
              </w:rPr>
              <w:t xml:space="preserve">excluye a propósito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i/>
          <w:iCs/>
          <w:color w:val="6E6E6E"/>
          <w:sz w:val="18"/>
          <w:szCs w:val="18"/>
        </w:rPr>
        <w:t xml:space="preserve">(Pista: el reflejo de «incluir todas las variables en el modelo» es el error nº 1 de la sesión. Solo se controlan las variables que cierran puertas traseras — los confusores —; nunca un descendiente del tratamiento.)</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VERIFICAR TENDENCIAS PARALELAS ANTES DE APLICAR DID (CASO CARD &amp; KRUEGER)</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El 01/04/1992 Nueva Jersey (NJ) subió su salario mínimo; Pensilvania (PA) lo mantuvo. Card &amp; Krueger (1994) encuestaron </w:t>
      </w:r>
      <w:r>
        <w:rPr>
          <w:rFonts w:ascii="Cambria" w:cs="Cambria" w:eastAsia="Cambria" w:hAnsi="Cambria"/>
          <w:b/>
          <w:bCs/>
          <w:color w:val="2D2D2D"/>
          <w:sz w:val="20"/>
          <w:szCs w:val="20"/>
        </w:rPr>
        <w:t xml:space="preserve">410 restaurantes</w:t>
      </w:r>
      <w:r>
        <w:rPr>
          <w:rFonts w:ascii="Cambria" w:cs="Cambria" w:eastAsia="Cambria" w:hAnsi="Cambria"/>
          <w:color w:val="2D2D2D"/>
          <w:sz w:val="20"/>
          <w:szCs w:val="20"/>
        </w:rPr>
        <w:t xml:space="preserve"> de comida rápida </w:t>
      </w:r>
      <w:r>
        <w:rPr>
          <w:rFonts w:ascii="Cambria" w:cs="Cambria" w:eastAsia="Cambria" w:hAnsi="Cambria"/>
          <w:b/>
          <w:bCs/>
          <w:color w:val="2D2D2D"/>
          <w:sz w:val="20"/>
          <w:szCs w:val="20"/>
        </w:rPr>
        <w:t xml:space="preserve">antes</w:t>
      </w:r>
      <w:r>
        <w:rPr>
          <w:rFonts w:ascii="Cambria" w:cs="Cambria" w:eastAsia="Cambria" w:hAnsi="Cambria"/>
          <w:color w:val="2D2D2D"/>
          <w:sz w:val="20"/>
          <w:szCs w:val="20"/>
        </w:rPr>
        <w:t xml:space="preserve"> (feb–mar 1992) y </w:t>
      </w:r>
      <w:r>
        <w:rPr>
          <w:rFonts w:ascii="Cambria" w:cs="Cambria" w:eastAsia="Cambria" w:hAnsi="Cambria"/>
          <w:b/>
          <w:bCs/>
          <w:color w:val="2D2D2D"/>
          <w:sz w:val="20"/>
          <w:szCs w:val="20"/>
        </w:rPr>
        <w:t xml:space="preserve">después</w:t>
      </w:r>
      <w:r>
        <w:rPr>
          <w:rFonts w:ascii="Cambria" w:cs="Cambria" w:eastAsia="Cambria" w:hAnsi="Cambria"/>
          <w:color w:val="2D2D2D"/>
          <w:sz w:val="20"/>
          <w:szCs w:val="20"/>
        </w:rPr>
        <w:t xml:space="preserve"> (nov–dic 1992) y estimaron el efecto sobre el empleo (FTE = tiempo completo + gerentes + 0,5 × medio tiempo) con </w:t>
      </w:r>
      <w:r>
        <w:rPr>
          <w:rFonts w:ascii="Cambria" w:cs="Cambria" w:eastAsia="Cambria" w:hAnsi="Cambria"/>
          <w:b/>
          <w:bCs/>
          <w:color w:val="2D2D2D"/>
          <w:sz w:val="20"/>
          <w:szCs w:val="20"/>
        </w:rPr>
        <w:t xml:space="preserve">diferencias en diferencias</w:t>
      </w:r>
      <w:r>
        <w:rPr>
          <w:rFonts w:ascii="Cambria" w:cs="Cambria" w:eastAsia="Cambria" w:hAnsi="Cambria"/>
          <w:color w:val="2D2D2D"/>
          <w:sz w:val="20"/>
          <w:szCs w:val="20"/>
        </w:rPr>
        <w:t xml:space="preserve">. La tabla 2×2 de medias FTE que reproduce el cuaderno (operativo = venv):</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Grupo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Antes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Después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Cambio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NJ (tratado)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20,44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21,03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+0,59</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PA (control)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23,33</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21,17</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−2,16</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Calcular el DiD</w:t>
            </w:r>
            <w:r>
              <w:rPr>
                <w:rFonts w:ascii="Cambria" w:cs="Cambria" w:eastAsia="Cambria" w:hAnsi="Cambria"/>
                <w:color w:val="2D2D2D"/>
                <w:sz w:val="19"/>
                <w:szCs w:val="19"/>
              </w:rPr>
              <w:t xml:space="preserve"> a partir de la tabla como </w:t>
            </w:r>
            <w:r>
              <w:rPr>
                <w:rFonts w:ascii="Consolas" w:cs="Consolas" w:eastAsia="Consolas" w:hAnsi="Consolas"/>
                <w:color w:val="7A1526"/>
                <w:sz w:val="17"/>
                <w:szCs w:val="17"/>
              </w:rPr>
              <w:t xml:space="preserve">DiD = (cambio NJ) − (cambio PA) = (+0,59) − (−2,16)</w:t>
            </w:r>
            <w:r>
              <w:rPr>
                <w:rFonts w:ascii="Cambria" w:cs="Cambria" w:eastAsia="Cambria" w:hAnsi="Cambria"/>
                <w:color w:val="2D2D2D"/>
                <w:sz w:val="19"/>
                <w:szCs w:val="19"/>
              </w:rPr>
              <w:t xml:space="preserve"> (resta de los dos </w:t>
            </w:r>
            <w:r>
              <w:rPr>
                <w:rFonts w:ascii="Cambria" w:cs="Cambria" w:eastAsia="Cambria" w:hAnsi="Cambria"/>
                <w:b/>
                <w:bCs/>
                <w:color w:val="2D2D2D"/>
                <w:sz w:val="19"/>
                <w:szCs w:val="19"/>
              </w:rPr>
              <w:t xml:space="preserve">cambios</w:t>
            </w:r>
            <w:r>
              <w:rPr>
                <w:rFonts w:ascii="Cambria" w:cs="Cambria" w:eastAsia="Cambria" w:hAnsi="Cambria"/>
                <w:color w:val="2D2D2D"/>
                <w:sz w:val="19"/>
                <w:szCs w:val="19"/>
              </w:rPr>
              <w:t xml:space="preserve">, no de los niveles) e interpretar su </w:t>
            </w:r>
            <w:r>
              <w:rPr>
                <w:rFonts w:ascii="Cambria" w:cs="Cambria" w:eastAsia="Cambria" w:hAnsi="Cambria"/>
                <w:b/>
                <w:bCs/>
                <w:color w:val="2D2D2D"/>
                <w:sz w:val="19"/>
                <w:szCs w:val="19"/>
              </w:rPr>
              <w:t xml:space="preserve">signo</w:t>
            </w:r>
            <w:r>
              <w:rPr>
                <w:rFonts w:ascii="Cambria" w:cs="Cambria" w:eastAsia="Cambria" w:hAnsi="Cambria"/>
                <w:color w:val="2D2D2D"/>
                <w:sz w:val="19"/>
                <w:szCs w:val="19"/>
              </w:rPr>
              <w:t xml:space="preserve"> en términos de la pregunta de negocio: ¿el alza del salario mínimo redujo el empleo? </w:t>
            </w:r>
            <w:r>
              <w:rPr>
                <w:rFonts w:ascii="Cambria" w:cs="Cambria" w:eastAsia="Cambria" w:hAnsi="Cambria"/>
                <w:i/>
                <w:iCs/>
                <w:color w:val="2D2D2D"/>
                <w:sz w:val="19"/>
                <w:szCs w:val="19"/>
              </w:rPr>
              <w:t xml:space="preserve">(El cuaderno confirma DiD ≈ +2,75 FTE, el coeficiente de la interacción </w:t>
            </w:r>
            <w:r>
              <w:rPr>
                <w:rFonts w:ascii="Consolas" w:cs="Consolas" w:eastAsia="Consolas" w:hAnsi="Consolas"/>
                <w:i/>
                <w:iCs/>
                <w:color w:val="7A1526"/>
                <w:sz w:val="17"/>
                <w:szCs w:val="17"/>
              </w:rPr>
              <w:t xml:space="preserve">nj:post</w:t>
            </w:r>
            <w:r>
              <w:rPr>
                <w:rFonts w:ascii="Cambria" w:cs="Cambria" w:eastAsia="Cambria" w:hAnsi="Cambria"/>
                <w:i/>
                <w:iCs/>
                <w:color w:val="2D2D2D"/>
                <w:sz w:val="19"/>
                <w:szCs w:val="19"/>
              </w:rPr>
              <w:t xml:space="preserve"> de la regresión </w:t>
            </w:r>
            <w:r>
              <w:rPr>
                <w:rFonts w:ascii="Consolas" w:cs="Consolas" w:eastAsia="Consolas" w:hAnsi="Consolas"/>
                <w:i/>
                <w:iCs/>
                <w:color w:val="7A1526"/>
                <w:sz w:val="17"/>
                <w:szCs w:val="17"/>
              </w:rPr>
              <w:t xml:space="preserve">FTE ~ nj + post + nj×post</w:t>
            </w:r>
            <w:r>
              <w:rPr>
                <w:rFonts w:ascii="Cambria" w:cs="Cambria" w:eastAsia="Cambria" w:hAnsi="Cambria"/>
                <w:i/>
                <w:iCs/>
                <w:color w:val="2D2D2D"/>
                <w:sz w:val="19"/>
                <w:szCs w:val="19"/>
              </w:rPr>
              <w:t xml:space="preserve"> ≈ +2,75 con SE ≈ 1,34; benchmark publicado del paper: +2,76, SE 1,36.)</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Enunciar el supuesto de tendencias paralelas</w:t>
            </w:r>
            <w:r>
              <w:rPr>
                <w:rFonts w:ascii="Cambria" w:cs="Cambria" w:eastAsia="Cambria" w:hAnsi="Cambria"/>
                <w:color w:val="2D2D2D"/>
                <w:sz w:val="19"/>
                <w:szCs w:val="19"/>
              </w:rPr>
              <w:t xml:space="preserve"> en palabras: ¿qué habría tenido que ocurrir con NJ y PA </w:t>
            </w:r>
            <w:r>
              <w:rPr>
                <w:rFonts w:ascii="Cambria" w:cs="Cambria" w:eastAsia="Cambria" w:hAnsi="Cambria"/>
                <w:b/>
                <w:bCs/>
                <w:color w:val="2D2D2D"/>
                <w:sz w:val="19"/>
                <w:szCs w:val="19"/>
              </w:rPr>
              <w:t xml:space="preserve">en ausencia</w:t>
            </w:r>
            <w:r>
              <w:rPr>
                <w:rFonts w:ascii="Cambria" w:cs="Cambria" w:eastAsia="Cambria" w:hAnsi="Cambria"/>
                <w:color w:val="2D2D2D"/>
                <w:sz w:val="19"/>
                <w:szCs w:val="19"/>
              </w:rPr>
              <w:t xml:space="preserve"> del alza para que el DiD sea causal? Aclarar que el supuesto exige </w:t>
            </w:r>
            <w:r>
              <w:rPr>
                <w:rFonts w:ascii="Cambria" w:cs="Cambria" w:eastAsia="Cambria" w:hAnsi="Cambria"/>
                <w:b/>
                <w:bCs/>
                <w:color w:val="2D2D2D"/>
                <w:sz w:val="19"/>
                <w:szCs w:val="19"/>
              </w:rPr>
              <w:t xml:space="preserve">misma tendencia</w:t>
            </w:r>
            <w:r>
              <w:rPr>
                <w:rFonts w:ascii="Cambria" w:cs="Cambria" w:eastAsia="Cambria" w:hAnsi="Cambria"/>
                <w:color w:val="2D2D2D"/>
                <w:sz w:val="19"/>
                <w:szCs w:val="19"/>
              </w:rPr>
              <w:t xml:space="preserve">, no </w:t>
            </w:r>
            <w:r>
              <w:rPr>
                <w:rFonts w:ascii="Cambria" w:cs="Cambria" w:eastAsia="Cambria" w:hAnsi="Cambria"/>
                <w:b/>
                <w:bCs/>
                <w:color w:val="2D2D2D"/>
                <w:sz w:val="19"/>
                <w:szCs w:val="19"/>
              </w:rPr>
              <w:t xml:space="preserve">mismo nivel</w:t>
            </w:r>
            <w:r>
              <w:rPr>
                <w:rFonts w:ascii="Cambria" w:cs="Cambria" w:eastAsia="Cambria" w:hAnsi="Cambria"/>
                <w:color w:val="2D2D2D"/>
                <w:sz w:val="19"/>
                <w:szCs w:val="19"/>
              </w:rPr>
              <w:t xml:space="preserve"> (por eso el DiD resta cambios y no niveles).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¿Se puede testar el supuesto con estos datos?</w:t>
            </w:r>
            <w:r>
              <w:rPr>
                <w:rFonts w:ascii="Cambria" w:cs="Cambria" w:eastAsia="Cambria" w:hAnsi="Cambria"/>
                <w:color w:val="2D2D2D"/>
                <w:sz w:val="19"/>
                <w:szCs w:val="19"/>
              </w:rPr>
              <w:t xml:space="preserve"> El estudio tiene </w:t>
            </w:r>
            <w:r>
              <w:rPr>
                <w:rFonts w:ascii="Cambria" w:cs="Cambria" w:eastAsia="Cambria" w:hAnsi="Cambria"/>
                <w:b/>
                <w:bCs/>
                <w:color w:val="2D2D2D"/>
                <w:sz w:val="19"/>
                <w:szCs w:val="19"/>
              </w:rPr>
              <w:t xml:space="preserve">solo dos olas</w:t>
            </w:r>
            <w:r>
              <w:rPr>
                <w:rFonts w:ascii="Cambria" w:cs="Cambria" w:eastAsia="Cambria" w:hAnsi="Cambria"/>
                <w:color w:val="2D2D2D"/>
                <w:sz w:val="19"/>
                <w:szCs w:val="19"/>
              </w:rPr>
              <w:t xml:space="preserve"> (un antes y un después). Explicar por qué con dos puntos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pueden verificar formalmente las pre-tendencias y qué haría falta para poder graficarlas. Indicar en qué evidencia </w:t>
            </w:r>
            <w:r>
              <w:rPr>
                <w:rFonts w:ascii="Cambria" w:cs="Cambria" w:eastAsia="Cambria" w:hAnsi="Cambria"/>
                <w:b/>
                <w:bCs/>
                <w:color w:val="2D2D2D"/>
                <w:sz w:val="19"/>
                <w:szCs w:val="19"/>
              </w:rPr>
              <w:t xml:space="preserve">alternativa</w:t>
            </w:r>
            <w:r>
              <w:rPr>
                <w:rFonts w:ascii="Cambria" w:cs="Cambria" w:eastAsia="Cambria" w:hAnsi="Cambria"/>
                <w:color w:val="2D2D2D"/>
                <w:sz w:val="19"/>
                <w:szCs w:val="19"/>
              </w:rPr>
              <w:t xml:space="preserve"> se apoyan los autores para sostener el supuesto (comparabilidad de NJ y PA) y por qué esa limitación </w:t>
            </w:r>
            <w:r>
              <w:rPr>
                <w:rFonts w:ascii="Cambria" w:cs="Cambria" w:eastAsia="Cambria" w:hAnsi="Cambria"/>
                <w:b/>
                <w:bCs/>
                <w:color w:val="2D2D2D"/>
                <w:sz w:val="19"/>
                <w:szCs w:val="19"/>
              </w:rPr>
              <w:t xml:space="preserve">debe declararse</w:t>
            </w:r>
            <w:r>
              <w:rPr>
                <w:rFonts w:ascii="Cambria" w:cs="Cambria" w:eastAsia="Cambria" w:hAnsi="Cambria"/>
                <w:color w:val="2D2D2D"/>
                <w:sz w:val="19"/>
                <w:szCs w:val="19"/>
              </w:rPr>
              <w:t xml:space="preserve"> con honestidad.</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colega mira solo los niveles «después» (21,03 vs 21,17) y concluye: «quedan casi iguales, así que la campaña no tuvo efecto». Señalar el </w:t>
            </w:r>
            <w:r>
              <w:rPr>
                <w:rFonts w:ascii="Cambria" w:cs="Cambria" w:eastAsia="Cambria" w:hAnsi="Cambria"/>
                <w:b/>
                <w:bCs/>
                <w:color w:val="2D2D2D"/>
                <w:sz w:val="19"/>
                <w:szCs w:val="19"/>
              </w:rPr>
              <w:t xml:space="preserve">error de lectura</w:t>
            </w:r>
            <w:r>
              <w:rPr>
                <w:rFonts w:ascii="Cambria" w:cs="Cambria" w:eastAsia="Cambria" w:hAnsi="Cambria"/>
                <w:color w:val="2D2D2D"/>
                <w:sz w:val="19"/>
                <w:szCs w:val="19"/>
              </w:rPr>
              <w:t xml:space="preserve"> y por qué contradice al método.</w:t>
            </w:r>
          </w:p>
        </w:tc>
      </w:tr>
    </w:tbl>
    <w:p>
      <w:pPr>
        <w:spacing w:after="220"/>
      </w:pPr>
    </w:p>
    <w:p>
      <w:pPr>
        <w:spacing w:after="260" w:line="265"/>
      </w:pPr>
      <w:r>
        <w:rPr>
          <w:rFonts w:ascii="Cambria" w:cs="Cambria" w:eastAsia="Cambria" w:hAnsi="Cambria"/>
          <w:i/>
          <w:iCs/>
          <w:color w:val="6E6E6E"/>
          <w:sz w:val="18"/>
          <w:szCs w:val="18"/>
        </w:rPr>
        <w:t xml:space="preserve">(Pista: el DiD compara </w:t>
      </w:r>
      <w:r>
        <w:rPr>
          <w:rFonts w:ascii="Cambria" w:cs="Cambria" w:eastAsia="Cambria" w:hAnsi="Cambria"/>
          <w:b/>
          <w:bCs/>
          <w:i/>
          <w:iCs/>
          <w:color w:val="6E6E6E"/>
          <w:sz w:val="18"/>
          <w:szCs w:val="18"/>
        </w:rPr>
        <w:t xml:space="preserve">cambios</w:t>
      </w:r>
      <w:r>
        <w:rPr>
          <w:rFonts w:ascii="Cambria" w:cs="Cambria" w:eastAsia="Cambria" w:hAnsi="Cambria"/>
          <w:i/>
          <w:iCs/>
          <w:color w:val="6E6E6E"/>
          <w:sz w:val="18"/>
          <w:szCs w:val="18"/>
        </w:rPr>
        <w:t xml:space="preserve">; la caída de PA (−2,16) es la clave. Tendencias paralelas es el supuesto que más se viola en la práctica, y con dos olas se defiende con argumentos, no con un test.)</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Ningún cliente de mayor edad hubiera recibido nunca la campaña de tratamiento, de modo que no exista superposición de datos en ese grupo (falta de positividad)? ¿Podría el emparejamiento por propensity score (PSM) estimar de todas formas el efecto causal para los clientes de esa edad? </w:t>
            </w:r>
            <w:r>
              <w:rPr>
                <w:rFonts w:ascii="Cambria" w:cs="Cambria" w:eastAsia="Cambria" w:hAnsi="Cambria"/>
                <w:i/>
                <w:iCs/>
                <w:color w:val="3A3A3A"/>
                <w:sz w:val="18"/>
                <w:szCs w:val="18"/>
              </w:rPr>
              <w:t xml:space="preserve">(La positividad/solapamiento está en la guía de supuestos de la sesión, punto 2.2.)</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COMPARAR EL EFECTO NAIVE VS. CON PSM Y EXPLICAR LA DIFERENCIA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Se comparan dos casos donde se conoce (o se puede conocer) la «verdad» causal para juzgar los estimadores.</w:t>
      </w:r>
    </w:p>
    <w:p>
      <w:pPr>
        <w:spacing w:after="220"/>
      </w:pPr>
    </w:p>
    <w:p>
      <w:pPr>
        <w:spacing w:line="270"/>
      </w:pPr>
      <w:r>
        <w:rPr>
          <w:rFonts w:ascii="Cambria" w:cs="Cambria" w:eastAsia="Cambria" w:hAnsi="Cambria"/>
          <w:b/>
          <w:bCs/>
          <w:color w:val="2D2D2D"/>
          <w:sz w:val="20"/>
          <w:szCs w:val="20"/>
        </w:rPr>
        <w:t xml:space="preserve">(a) LaLonde / NSW — validación contra el experimento.</w:t>
      </w:r>
      <w:r>
        <w:rPr>
          <w:rFonts w:ascii="Cambria" w:cs="Cambria" w:eastAsia="Cambria" w:hAnsi="Cambria"/>
          <w:color w:val="2D2D2D"/>
          <w:sz w:val="20"/>
          <w:szCs w:val="20"/>
        </w:rPr>
        <w:t xml:space="preserve"> El programa de empleo NSW tuvo un brazo </w:t>
      </w:r>
      <w:r>
        <w:rPr>
          <w:rFonts w:ascii="Cambria" w:cs="Cambria" w:eastAsia="Cambria" w:hAnsi="Cambria"/>
          <w:b/>
          <w:bCs/>
          <w:color w:val="2D2D2D"/>
          <w:sz w:val="20"/>
          <w:szCs w:val="20"/>
        </w:rPr>
        <w:t xml:space="preserve">experimental</w:t>
      </w:r>
      <w:r>
        <w:rPr>
          <w:rFonts w:ascii="Cambria" w:cs="Cambria" w:eastAsia="Cambria" w:hAnsi="Cambria"/>
          <w:color w:val="2D2D2D"/>
          <w:sz w:val="20"/>
          <w:szCs w:val="20"/>
        </w:rPr>
        <w:t xml:space="preserve"> (aleatorizado). Se contrasta el efecto experimental con lo que se obtiene al estimar de forma </w:t>
      </w:r>
      <w:r>
        <w:rPr>
          <w:rFonts w:ascii="Cambria" w:cs="Cambria" w:eastAsia="Cambria" w:hAnsi="Cambria"/>
          <w:b/>
          <w:bCs/>
          <w:color w:val="2D2D2D"/>
          <w:sz w:val="20"/>
          <w:szCs w:val="20"/>
        </w:rPr>
        <w:t xml:space="preserve">observacional</w:t>
      </w:r>
      <w:r>
        <w:rPr>
          <w:rFonts w:ascii="Cambria" w:cs="Cambria" w:eastAsia="Cambria" w:hAnsi="Cambria"/>
          <w:color w:val="2D2D2D"/>
          <w:sz w:val="20"/>
          <w:szCs w:val="20"/>
        </w:rPr>
        <w:t xml:space="preserve">, al comparar los tratados de NSW con controles no experimentales de la CPS. Resultados del cuaderno (operativo = venv):</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Estimador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Efecto sobre re78 (USD)</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Nota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Experimental</w:t>
            </w:r>
            <w:r>
              <w:rPr>
                <w:rFonts w:ascii="Calibri" w:cs="Calibri" w:eastAsia="Calibri" w:hAnsi="Calibri"/>
                <w:b/>
                <w:bCs/>
                <w:color w:val="7A1526"/>
                <w:sz w:val="18"/>
                <w:szCs w:val="18"/>
              </w:rPr>
              <w:t xml:space="preserve"> (patrón oro, aleatorizado)</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+1.794,34</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benchmark de referencia (Mixtape: +$1.794,34)</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Naive observacional</w:t>
            </w:r>
            <w:r>
              <w:rPr>
                <w:rFonts w:ascii="Calibri" w:cs="Calibri" w:eastAsia="Calibri" w:hAnsi="Calibri"/>
                <w:b/>
                <w:bCs/>
                <w:color w:val="7A1526"/>
                <w:sz w:val="18"/>
                <w:szCs w:val="18"/>
              </w:rPr>
              <w:t xml:space="preserve"> (tratados NSW − controles CPS)</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−8.497,52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diferencia simple de medias, sin ajuste</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PSM</w:t>
            </w:r>
            <w:r>
              <w:rPr>
                <w:rFonts w:ascii="Calibri" w:cs="Calibri" w:eastAsia="Calibri" w:hAnsi="Calibri"/>
                <w:b/>
                <w:bCs/>
                <w:color w:val="7A1526"/>
                <w:sz w:val="18"/>
                <w:szCs w:val="18"/>
              </w:rPr>
              <w:t xml:space="preserve"> (propensity logístico + 1-NN sobre soporte común)</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+1.745,09</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|SMD| medio 0,598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0,061 tras emparejar</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qué le pasa al </w:t>
            </w:r>
            <w:r>
              <w:rPr>
                <w:rFonts w:ascii="Cambria" w:cs="Cambria" w:eastAsia="Cambria" w:hAnsi="Cambria"/>
                <w:b/>
                <w:bCs/>
                <w:color w:val="2D2D2D"/>
                <w:sz w:val="19"/>
                <w:szCs w:val="19"/>
              </w:rPr>
              <w:t xml:space="preserve">signo</w:t>
            </w:r>
            <w:r>
              <w:rPr>
                <w:rFonts w:ascii="Cambria" w:cs="Cambria" w:eastAsia="Cambria" w:hAnsi="Cambria"/>
                <w:color w:val="2D2D2D"/>
                <w:sz w:val="19"/>
                <w:szCs w:val="19"/>
              </w:rPr>
              <w:t xml:space="preserve"> del estimador naive respecto al experimental y nombrar la causa: </w:t>
            </w:r>
            <w:r>
              <w:rPr>
                <w:rFonts w:ascii="Cambria" w:cs="Cambria" w:eastAsia="Cambria" w:hAnsi="Cambria"/>
                <w:b/>
                <w:bCs/>
                <w:color w:val="2D2D2D"/>
                <w:sz w:val="19"/>
                <w:szCs w:val="19"/>
              </w:rPr>
              <w:t xml:space="preserve">sesgo de selección / confusión</w:t>
            </w:r>
            <w:r>
              <w:rPr>
                <w:rFonts w:ascii="Cambria" w:cs="Cambria" w:eastAsia="Cambria" w:hAnsi="Cambria"/>
                <w:color w:val="2D2D2D"/>
                <w:sz w:val="19"/>
                <w:szCs w:val="19"/>
              </w:rPr>
              <w:t xml:space="preserve"> (los tratados de NSW eran mucho más desfavorecidos que la población general de la CPS).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el </w:t>
            </w:r>
            <w:r>
              <w:rPr>
                <w:rFonts w:ascii="Cambria" w:cs="Cambria" w:eastAsia="Cambria" w:hAnsi="Cambria"/>
                <w:b/>
                <w:bCs/>
                <w:color w:val="2D2D2D"/>
                <w:sz w:val="19"/>
                <w:szCs w:val="19"/>
              </w:rPr>
              <w:t xml:space="preserve">PSM</w:t>
            </w:r>
            <w:r>
              <w:rPr>
                <w:rFonts w:ascii="Cambria" w:cs="Cambria" w:eastAsia="Cambria" w:hAnsi="Cambria"/>
                <w:color w:val="2D2D2D"/>
                <w:sz w:val="19"/>
                <w:szCs w:val="19"/>
              </w:rPr>
              <w:t xml:space="preserve"> —emparejar por el propensity </w:t>
            </w:r>
            <w:r>
              <w:rPr>
                <w:rFonts w:ascii="Consolas" w:cs="Consolas" w:eastAsia="Consolas" w:hAnsi="Consolas"/>
                <w:color w:val="7A1526"/>
                <w:sz w:val="17"/>
                <w:szCs w:val="17"/>
              </w:rPr>
              <w:t xml:space="preserve">e(X) = P(T = 1 | X)</w:t>
            </w:r>
            <w:r>
              <w:rPr>
                <w:rFonts w:ascii="Cambria" w:cs="Cambria" w:eastAsia="Cambria" w:hAnsi="Cambria"/>
                <w:color w:val="2D2D2D"/>
                <w:sz w:val="19"/>
                <w:szCs w:val="19"/>
              </w:rPr>
              <w:t xml:space="preserve"> sobre el soporte común y estimar el </w:t>
            </w:r>
            <w:r>
              <w:rPr>
                <w:rFonts w:ascii="Consolas" w:cs="Consolas" w:eastAsia="Consolas" w:hAnsi="Consolas"/>
                <w:color w:val="7A1526"/>
                <w:sz w:val="17"/>
                <w:szCs w:val="17"/>
              </w:rPr>
              <w:t xml:space="preserve">ATT = E[Y(1) − Y(0) | T = 1]</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recupera</w:t>
            </w:r>
            <w:r>
              <w:rPr>
                <w:rFonts w:ascii="Cambria" w:cs="Cambria" w:eastAsia="Cambria" w:hAnsi="Cambria"/>
                <w:color w:val="2D2D2D"/>
                <w:sz w:val="19"/>
                <w:szCs w:val="19"/>
              </w:rPr>
              <w:t xml:space="preserve"> un efecto positivo y cercano al experimental. ¿Qué papel juega la caída del </w:t>
            </w:r>
            <w:r>
              <w:rPr>
                <w:rFonts w:ascii="Cambria" w:cs="Cambria" w:eastAsia="Cambria" w:hAnsi="Cambria"/>
                <w:b/>
                <w:bCs/>
                <w:color w:val="2D2D2D"/>
                <w:sz w:val="19"/>
                <w:szCs w:val="19"/>
              </w:rPr>
              <w:t xml:space="preserve">|SMD| medio de 0,598 a 0,061</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SMD = (media_t − media_c) / √((s_t² + s_c²) / 2)</w:t>
            </w:r>
            <w:r>
              <w:rPr>
                <w:rFonts w:ascii="Cambria" w:cs="Cambria" w:eastAsia="Cambria" w:hAnsi="Cambria"/>
                <w:color w:val="2D2D2D"/>
                <w:sz w:val="19"/>
                <w:szCs w:val="19"/>
              </w:rPr>
              <w:t xml:space="preserve">, regla </w:t>
            </w:r>
            <w:r>
              <w:rPr>
                <w:rFonts w:ascii="Consolas" w:cs="Consolas" w:eastAsia="Consolas" w:hAnsi="Consolas"/>
                <w:color w:val="7A1526"/>
                <w:sz w:val="17"/>
                <w:szCs w:val="17"/>
              </w:rPr>
              <w:t xml:space="preserve">|SMD| &lt; 0,1</w:t>
            </w:r>
            <w:r>
              <w:rPr>
                <w:rFonts w:ascii="Cambria" w:cs="Cambria" w:eastAsia="Cambria" w:hAnsi="Cambria"/>
                <w:color w:val="2D2D2D"/>
                <w:sz w:val="19"/>
                <w:szCs w:val="19"/>
              </w:rPr>
              <w:t xml:space="preserve">) y el recorte a </w:t>
            </w:r>
            <w:r>
              <w:rPr>
                <w:rFonts w:ascii="Cambria" w:cs="Cambria" w:eastAsia="Cambria" w:hAnsi="Cambria"/>
                <w:b/>
                <w:bCs/>
                <w:color w:val="2D2D2D"/>
                <w:sz w:val="19"/>
                <w:szCs w:val="19"/>
              </w:rPr>
              <w:t xml:space="preserve">soporte común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0 &lt; e(X) &lt; 1</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dice: «el naive usa 16.000 controles y el PSM muchos menos; me quedo con el naive porque tiene más datos». Rebatirlo: ¿corrige el sesgo tener más datos?</w:t>
            </w:r>
          </w:p>
        </w:tc>
      </w:tr>
    </w:tbl>
    <w:p>
      <w:pPr>
        <w:spacing w:after="220"/>
      </w:pPr>
    </w:p>
    <w:p>
      <w:pPr>
        <w:spacing w:line="270"/>
      </w:pPr>
      <w:r>
        <w:rPr>
          <w:rFonts w:ascii="Cambria" w:cs="Cambria" w:eastAsia="Cambria" w:hAnsi="Cambria"/>
          <w:b/>
          <w:bCs/>
          <w:color w:val="2D2D2D"/>
          <w:sz w:val="20"/>
          <w:szCs w:val="20"/>
        </w:rPr>
        <w:t xml:space="preserve">(b) Campaña de retención — naive vs. ajustado vs. verdad.</w:t>
      </w:r>
      <w:r>
        <w:rPr>
          <w:rFonts w:ascii="Cambria" w:cs="Cambria" w:eastAsia="Cambria" w:hAnsi="Cambria"/>
          <w:color w:val="2D2D2D"/>
          <w:sz w:val="20"/>
          <w:szCs w:val="20"/>
        </w:rPr>
        <w:t xml:space="preserve"> El caso de negocio tiene </w:t>
      </w:r>
      <w:r>
        <w:rPr>
          <w:rFonts w:ascii="Cambria" w:cs="Cambria" w:eastAsia="Cambria" w:hAnsi="Cambria"/>
          <w:b/>
          <w:bCs/>
          <w:color w:val="2D2D2D"/>
          <w:sz w:val="20"/>
          <w:szCs w:val="20"/>
        </w:rPr>
        <w:t xml:space="preserve">efecto verdadero conocido por diseño</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ATE = 8,0</w:t>
      </w:r>
      <w:r>
        <w:rPr>
          <w:rFonts w:ascii="Cambria" w:cs="Cambria" w:eastAsia="Cambria" w:hAnsi="Cambria"/>
          <w:color w:val="2D2D2D"/>
          <w:sz w:val="20"/>
          <w:szCs w:val="20"/>
        </w:rPr>
        <w:t xml:space="preserve"> USD, constante del DGP). Resultados del cuaderno: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Estimador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Efecto de campaign sobre value</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Nota</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Naive</w:t>
            </w:r>
            <w:r>
              <w:rPr>
                <w:rFonts w:ascii="Calibri" w:cs="Calibri" w:eastAsia="Calibri" w:hAnsi="Calibri"/>
                <w:b/>
                <w:bCs/>
                <w:color w:val="7A1526"/>
                <w:sz w:val="18"/>
                <w:szCs w:val="18"/>
              </w:rPr>
              <w:t xml:space="preserve"> (diferencia de medias)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+23,64</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sesgado </w:t>
            </w:r>
            <w:r>
              <w:rPr>
                <w:rFonts w:ascii="Calibri" w:cs="Calibri" w:eastAsia="Calibri" w:hAnsi="Calibri"/>
                <w:b/>
                <w:bCs/>
                <w:color w:val="2D2D2D"/>
                <w:sz w:val="18"/>
                <w:szCs w:val="18"/>
              </w:rPr>
              <w:t xml:space="preserve">al alza</w:t>
            </w:r>
            <w:r>
              <w:rPr>
                <w:rFonts w:ascii="Calibri" w:cs="Calibri" w:eastAsia="Calibri" w:hAnsi="Calibri"/>
                <w:b w:val="false"/>
                <w:bCs w:val="false"/>
                <w:color w:val="2D2D2D"/>
                <w:sz w:val="18"/>
                <w:szCs w:val="18"/>
              </w:rPr>
              <w:t xml:space="preserve"> por el confusor </w:t>
            </w:r>
            <w:r>
              <w:rPr>
                <w:rFonts w:ascii="Consolas" w:cs="Consolas" w:eastAsia="Consolas" w:hAnsi="Consolas"/>
                <w:b w:val="false"/>
                <w:bCs w:val="false"/>
                <w:color w:val="7A1526"/>
                <w:sz w:val="16"/>
                <w:szCs w:val="16"/>
              </w:rPr>
              <w:t xml:space="preserve">engagement</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Ajustado</w:t>
            </w:r>
            <w:r>
              <w:rPr>
                <w:rFonts w:ascii="Calibri" w:cs="Calibri" w:eastAsia="Calibri" w:hAnsi="Calibri"/>
                <w:b/>
                <w:bCs/>
                <w:color w:val="7A1526"/>
                <w:sz w:val="18"/>
                <w:szCs w:val="18"/>
              </w:rPr>
              <w:t xml:space="preserve"> (backdoor con </w:t>
            </w:r>
            <w:r>
              <w:rPr>
                <w:rFonts w:ascii="Consolas" w:cs="Consolas" w:eastAsia="Consolas" w:hAnsi="Consolas"/>
                <w:b/>
                <w:bCs/>
                <w:color w:val="7A1526"/>
                <w:sz w:val="16"/>
                <w:szCs w:val="16"/>
              </w:rPr>
              <w:t xml:space="preserve">engagement</w:t>
            </w:r>
            <w:r>
              <w:rPr>
                <w:rFonts w:ascii="Calibri" w:cs="Calibri" w:eastAsia="Calibri" w:hAnsi="Calibri"/>
                <w:b/>
                <w:bCs/>
                <w:color w:val="7A1526"/>
                <w:sz w:val="18"/>
                <w:szCs w:val="18"/>
              </w:rPr>
              <w:t xml:space="preserve">)</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+7,954</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cifra de contrato = DoWhy </w:t>
            </w:r>
            <w:r>
              <w:rPr>
                <w:rFonts w:ascii="Consolas" w:cs="Consolas" w:eastAsia="Consolas" w:hAnsi="Consolas"/>
                <w:b w:val="false"/>
                <w:bCs w:val="false"/>
                <w:color w:val="7A1526"/>
                <w:sz w:val="16"/>
                <w:szCs w:val="16"/>
              </w:rPr>
              <w:t xml:space="preserve">backdoor.linear_regression</w:t>
            </w:r>
            <w:r>
              <w:rPr>
                <w:rFonts w:ascii="Calibri" w:cs="Calibri" w:eastAsia="Calibri" w:hAnsi="Calibri"/>
                <w:b w:val="false"/>
                <w:bCs w:val="false"/>
                <w:color w:val="2D2D2D"/>
                <w:sz w:val="18"/>
                <w:szCs w:val="18"/>
              </w:rPr>
              <w:t xml:space="preserve"> (Excel </w:t>
            </w:r>
            <w:r>
              <w:rPr>
                <w:rFonts w:ascii="Consolas" w:cs="Consolas" w:eastAsia="Consolas" w:hAnsi="Consolas"/>
                <w:b w:val="false"/>
                <w:bCs w:val="false"/>
                <w:color w:val="7A1526"/>
                <w:sz w:val="16"/>
                <w:szCs w:val="16"/>
              </w:rPr>
              <w:t xml:space="preserve">causal_did!B7</w:t>
            </w:r>
            <w:r>
              <w:rPr>
                <w:rFonts w:ascii="Calibri" w:cs="Calibri" w:eastAsia="Calibri" w:hAnsi="Calibri"/>
                <w:b w:val="false"/>
                <w:bCs w:val="false"/>
                <w:color w:val="2D2D2D"/>
                <w:sz w:val="18"/>
                <w:szCs w:val="18"/>
              </w:rPr>
              <w:t xml:space="preserve">); la regresión OLS de ajuste da +7,85 — </w:t>
            </w:r>
            <w:r>
              <w:rPr>
                <w:rFonts w:ascii="Calibri" w:cs="Calibri" w:eastAsia="Calibri" w:hAnsi="Calibri"/>
                <w:b/>
                <w:bCs/>
                <w:color w:val="2D2D2D"/>
                <w:sz w:val="18"/>
                <w:szCs w:val="18"/>
              </w:rPr>
              <w:t xml:space="preserve">otro estimador</w:t>
            </w:r>
            <w:r>
              <w:rPr>
                <w:rFonts w:ascii="Calibri" w:cs="Calibri" w:eastAsia="Calibri" w:hAnsi="Calibri"/>
                <w:b w:val="false"/>
                <w:bCs w:val="false"/>
                <w:color w:val="2D2D2D"/>
                <w:sz w:val="18"/>
                <w:szCs w:val="18"/>
              </w:rPr>
              <w:t xml:space="preserve">, variante no volcada al Excel (mismo signo y orden, no es la cifra de contrato)</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Verdadero</w:t>
            </w:r>
            <w:r>
              <w:rPr>
                <w:rFonts w:ascii="Calibri" w:cs="Calibri" w:eastAsia="Calibri" w:hAnsi="Calibri"/>
                <w:b/>
                <w:bCs/>
                <w:color w:val="7A1526"/>
                <w:sz w:val="18"/>
                <w:szCs w:val="18"/>
              </w:rPr>
              <w:t xml:space="preserve"> (constante del DGP)</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8,0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ancla de diseño (</w:t>
            </w:r>
            <w:r>
              <w:rPr>
                <w:rFonts w:ascii="Consolas" w:cs="Consolas" w:eastAsia="Consolas" w:hAnsi="Consolas"/>
                <w:b w:val="false"/>
                <w:bCs w:val="false"/>
                <w:color w:val="7A1526"/>
                <w:sz w:val="16"/>
                <w:szCs w:val="16"/>
              </w:rPr>
              <w:t xml:space="preserve">ATE = ATT</w:t>
            </w:r>
            <w:r>
              <w:rPr>
                <w:rFonts w:ascii="Calibri" w:cs="Calibri" w:eastAsia="Calibri" w:hAnsi="Calibri"/>
                <w:b w:val="false"/>
                <w:bCs w:val="false"/>
                <w:color w:val="2D2D2D"/>
                <w:sz w:val="18"/>
                <w:szCs w:val="18"/>
              </w:rPr>
              <w:t xml:space="preserv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w:t>
            </w:r>
            <w:r>
              <w:rPr>
                <w:rFonts w:ascii="Cambria" w:cs="Cambria" w:eastAsia="Cambria" w:hAnsi="Cambria"/>
                <w:b/>
                <w:bCs/>
                <w:color w:val="2D2D2D"/>
                <w:sz w:val="19"/>
                <w:szCs w:val="19"/>
              </w:rPr>
              <w:t xml:space="preserve">por qué el naive sobreestima</w:t>
            </w:r>
            <w:r>
              <w:rPr>
                <w:rFonts w:ascii="Cambria" w:cs="Cambria" w:eastAsia="Cambria" w:hAnsi="Cambria"/>
                <w:color w:val="2D2D2D"/>
                <w:sz w:val="19"/>
                <w:szCs w:val="19"/>
              </w:rPr>
              <w:t xml:space="preserve"> aquí (+23,64 frente a 8,0) mientras que en LaLonde el naive </w:t>
            </w:r>
            <w:r>
              <w:rPr>
                <w:rFonts w:ascii="Cambria" w:cs="Cambria" w:eastAsia="Cambria" w:hAnsi="Cambria"/>
                <w:b/>
                <w:bCs/>
                <w:color w:val="2D2D2D"/>
                <w:sz w:val="19"/>
                <w:szCs w:val="19"/>
              </w:rPr>
              <w:t xml:space="preserve">subestima con cambio de signo</w:t>
            </w:r>
            <w:r>
              <w:rPr>
                <w:rFonts w:ascii="Cambria" w:cs="Cambria" w:eastAsia="Cambria" w:hAnsi="Cambria"/>
                <w:color w:val="2D2D2D"/>
                <w:sz w:val="19"/>
                <w:szCs w:val="19"/>
              </w:rPr>
              <w:t xml:space="preserve"> (−8.498). ¿Qué tienen en común los dos casos y por qué la dirección del sesgo depende de </w:t>
            </w:r>
            <w:r>
              <w:rPr>
                <w:rFonts w:ascii="Cambria" w:cs="Cambria" w:eastAsia="Cambria" w:hAnsi="Cambria"/>
                <w:b/>
                <w:bCs/>
                <w:color w:val="2D2D2D"/>
                <w:sz w:val="19"/>
                <w:szCs w:val="19"/>
              </w:rPr>
              <w:t xml:space="preserve">quién</w:t>
            </w:r>
            <w:r>
              <w:rPr>
                <w:rFonts w:ascii="Cambria" w:cs="Cambria" w:eastAsia="Cambria" w:hAnsi="Cambria"/>
                <w:color w:val="2D2D2D"/>
                <w:sz w:val="19"/>
                <w:szCs w:val="19"/>
              </w:rPr>
              <w:t xml:space="preserve"> recibe el tratamiento? Cerrar con la idea transversal: </w:t>
            </w:r>
            <w:r>
              <w:rPr>
                <w:rFonts w:ascii="Cambria" w:cs="Cambria" w:eastAsia="Cambria" w:hAnsi="Cambria"/>
                <w:b/>
                <w:bCs/>
                <w:color w:val="2D2D2D"/>
                <w:sz w:val="19"/>
                <w:szCs w:val="19"/>
              </w:rPr>
              <w:t xml:space="preserve">una asociación (como un odds ratio de S09) no es un efecto causal</w:t>
            </w:r>
            <w:r>
              <w:rPr>
                <w:rFonts w:ascii="Cambria" w:cs="Cambria" w:eastAsia="Cambria" w:hAnsi="Cambria"/>
                <w:color w:val="2D2D2D"/>
                <w:sz w:val="19"/>
                <w:szCs w:val="19"/>
              </w:rPr>
              <w:t xml:space="preserve"> hasta cerrar las puertas traseras.</w:t>
            </w:r>
          </w:p>
        </w:tc>
      </w:tr>
    </w:tbl>
    <w:p>
      <w:pPr>
        <w:spacing w:after="220"/>
      </w:pPr>
    </w:p>
    <w:p>
      <w:pPr>
        <w:spacing w:after="260" w:line="265"/>
      </w:pPr>
      <w:r>
        <w:rPr>
          <w:rFonts w:ascii="Cambria" w:cs="Cambria" w:eastAsia="Cambria" w:hAnsi="Cambria"/>
          <w:i/>
          <w:iCs/>
          <w:color w:val="6E6E6E"/>
          <w:sz w:val="18"/>
          <w:szCs w:val="18"/>
        </w:rPr>
        <w:t xml:space="preserve">(Pista: en negocio se contactó a los clientes ya buenos — sesgo al alza; en NSW se trató a los más desfavorecidos — sesgo a la baja. Mismo fenómeno, confusión, con signo opuesto según la selección.)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se comparó el efecto naive contra el ajustado por PSM sobre si el cliente abandona o no. ¿Qué pasaría si la pregunta ya no fuera si abandona, sino CUÁNDO lo hace, con algunos clientes que, al cierre del estudio, todavía no habían abandonado (censura)? ¿Sigue sirviendo comparar promedios entre dos grupos, o hace falta una técnica que module el tiempo hasta el evento? </w:t>
            </w:r>
            <w:r>
              <w:rPr>
                <w:rFonts w:ascii="Cambria" w:cs="Cambria" w:eastAsia="Cambria" w:hAnsi="Cambria"/>
                <w:i/>
                <w:iCs/>
                <w:color w:val="3A3A3A"/>
                <w:sz w:val="18"/>
                <w:szCs w:val="18"/>
              </w:rPr>
              <w:t xml:space="preserve">(No se resuelve aquí — el análisis de supervivencia es el tema de la S13.)</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 Toda cifra proviene del cuaderno / </w:t>
      </w:r>
      <w:r>
        <w:rPr>
          <w:rFonts w:ascii="Consolas" w:cs="Consolas" w:eastAsia="Consolas" w:hAnsi="Consolas"/>
          <w:i/>
          <w:iCs/>
          <w:color w:val="7A1526"/>
          <w:sz w:val="16"/>
          <w:szCs w:val="16"/>
        </w:rPr>
        <w:t xml:space="preserve">resultados/S12_resultados.xlsx</w:t>
      </w:r>
      <w:r>
        <w:rPr>
          <w:rFonts w:ascii="Cambria" w:cs="Cambria" w:eastAsia="Cambria" w:hAnsi="Cambria"/>
          <w:i/>
          <w:iCs/>
          <w:color w:val="6E6E6E"/>
          <w:sz w:val="18"/>
          <w:szCs w:val="18"/>
        </w:rPr>
        <w:t xml:space="preserve"> (operativo = venv); las cifras publicadas (DiD +2,76 de Card &amp; Krueger; ATT +$1.794 de LaLonde) van </w:t>
      </w:r>
      <w:r>
        <w:rPr>
          <w:rFonts w:ascii="Cambria" w:cs="Cambria" w:eastAsia="Cambria" w:hAnsi="Cambria"/>
          <w:b/>
          <w:bCs/>
          <w:i/>
          <w:iCs/>
          <w:color w:val="6E6E6E"/>
          <w:sz w:val="18"/>
          <w:szCs w:val="18"/>
        </w:rPr>
        <w:t xml:space="preserve">etiquetadas como benchmark</w:t>
      </w:r>
      <w:r>
        <w:rPr>
          <w:rFonts w:ascii="Cambria" w:cs="Cambria" w:eastAsia="Cambria" w:hAnsi="Cambria"/>
          <w:i/>
          <w:iCs/>
          <w:color w:val="6E6E6E"/>
          <w:sz w:val="18"/>
          <w:szCs w:val="18"/>
        </w:rPr>
        <w:t xml:space="preserve">. Lecturas de apoyo: Huntington-Klein, </w:t>
      </w:r>
      <w:r>
        <w:rPr>
          <w:rFonts w:ascii="Cambria" w:cs="Cambria" w:eastAsia="Cambria" w:hAnsi="Cambria"/>
          <w:i/>
          <w:iCs/>
          <w:color w:val="6E6E6E"/>
          <w:sz w:val="18"/>
          <w:szCs w:val="18"/>
        </w:rPr>
        <w:t xml:space="preserve">The Effect</w:t>
      </w:r>
      <w:r>
        <w:rPr>
          <w:rFonts w:ascii="Cambria" w:cs="Cambria" w:eastAsia="Cambria" w:hAnsi="Cambria"/>
          <w:i/>
          <w:iCs/>
          <w:color w:val="6E6E6E"/>
          <w:sz w:val="18"/>
          <w:szCs w:val="18"/>
        </w:rPr>
        <w:t xml:space="preserve"> (cap. 6–9, 14, 18); Cunningham, </w:t>
      </w:r>
      <w:r>
        <w:rPr>
          <w:rFonts w:ascii="Cambria" w:cs="Cambria" w:eastAsia="Cambria" w:hAnsi="Cambria"/>
          <w:i/>
          <w:iCs/>
          <w:color w:val="6E6E6E"/>
          <w:sz w:val="18"/>
          <w:szCs w:val="18"/>
        </w:rPr>
        <w:t xml:space="preserve">The Mixtape</w:t>
      </w:r>
      <w:r>
        <w:rPr>
          <w:rFonts w:ascii="Cambria" w:cs="Cambria" w:eastAsia="Cambria" w:hAnsi="Cambria"/>
          <w:i/>
          <w:iCs/>
          <w:color w:val="6E6E6E"/>
          <w:sz w:val="18"/>
          <w:szCs w:val="18"/>
        </w:rPr>
        <w:t xml:space="preserve"> (cap. 3–5, 9); Pearl (1995); Card &amp; Krueger (1994); Rosenbaum &amp; Rubin (1983) — en la bibliografía de la sesión.</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S12: inferencia causal — contrafactual, DAGs y puertas traseras, DiD y tendencias paralelas, PSM y balance, refutación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S12</dc:title>
  <dc:creator>UPC</dc:creator>
  <dc:description>Inferencia causal: contrafactual, DAGs y puertas traseras, DiD y tendencias paralelas, PSM y balance, refutación</dc:description>
  <cp:lastModifiedBy>Un-named</cp:lastModifiedBy>
  <cp:revision>1</cp:revision>
  <dcterms:created xsi:type="dcterms:W3CDTF">2026-09-11T14:14:27.817Z</dcterms:created>
  <dcterms:modified xsi:type="dcterms:W3CDTF">2026-09-11T14:14:27.817Z</dcterms:modified>
</cp:coreProperties>
</file>

<file path=docProps/custom.xml><?xml version="1.0" encoding="utf-8"?>
<Properties xmlns="http://schemas.openxmlformats.org/officeDocument/2006/custom-properties" xmlns:vt="http://schemas.openxmlformats.org/officeDocument/2006/docPropsVTypes"/>
</file>