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7A1526"/>
          <w:spacing w:val="40"/>
          <w:sz w:val="15"/>
          <w:szCs w:val="15"/>
        </w:rPr>
        <w:t xml:space="preserve">UPC · FACULTAD DE NEGOCIOS · PROGRAMA ADMINISTRACIÓN Y CIENCIA DE DATOS PARA NEGOCIOS</w:t>
      </w:r>
    </w:p>
    <w:p>
      <w:pPr>
        <w:spacing w:after="40"/>
      </w:pPr>
      <w:r>
        <w:rPr>
          <w:rFonts w:ascii="Cambria" w:cs="Cambria" w:eastAsia="Cambria" w:hAnsi="Cambria"/>
          <w:b/>
          <w:bCs/>
          <w:color w:val="2D2D2D"/>
          <w:sz w:val="36"/>
          <w:szCs w:val="36"/>
        </w:rPr>
        <w:t xml:space="preserve">Guía de laboratorio — Sesión 12</w:t>
      </w:r>
    </w:p>
    <w:p>
      <w:pPr>
        <w:pBdr>
          <w:bottom w:val="single" w:color="E4002B" w:sz="18" w:space="10"/>
        </w:pBdr>
        <w:spacing w:after="160"/>
      </w:pPr>
      <w:r>
        <w:rPr>
          <w:rFonts w:ascii="Cambria" w:cs="Cambria" w:eastAsia="Cambria" w:hAnsi="Cambria"/>
          <w:color w:val="7A1526"/>
          <w:sz w:val="28"/>
          <w:szCs w:val="28"/>
        </w:rPr>
        <w:t xml:space="preserve">Inferencia causal: DAGs, DiD, PSM y refutación</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2200"/>
        <w:gridCol w:w="7880"/>
      </w:tblGrid>
      <w:tr>
        <w:tc>
          <w:tcPr>
            <w:tcW w:type="dxa" w:w="22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5"/>
                <w:szCs w:val="15"/>
              </w:rPr>
              <w:t xml:space="preserve">CURSO</w:t>
            </w:r>
          </w:p>
        </w:tc>
        <w:tc>
          <w:tcPr>
            <w:tcW w:type="dxa" w:w="78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mbria" w:cs="Cambria" w:eastAsia="Cambria" w:hAnsi="Cambria"/>
                <w:color w:val="2D2D2D"/>
                <w:sz w:val="19"/>
                <w:szCs w:val="19"/>
              </w:rPr>
              <w:t xml:space="preserve">Herramientas para la Ciencia de Datos · Sesión 12 · Inferencia causal: contrafactual y resultados potenciales, DAGs y criterio de puerta trasera, A/B como patrón oro (poder/MDE), Diferencias en Diferencias (DiD), Propensity Score Matching (PSM) y variables instrumentales (introducción). Cierra el bloque de técnicas especializadas, que separa </w:t>
            </w:r>
            <w:r>
              <w:rPr>
                <w:rFonts w:ascii="Cambria" w:cs="Cambria" w:eastAsia="Cambria" w:hAnsi="Cambria"/>
                <w:b/>
                <w:bCs/>
                <w:color w:val="2D2D2D"/>
                <w:sz w:val="19"/>
                <w:szCs w:val="19"/>
              </w:rPr>
              <w:t xml:space="preserve">correlación de causalidad</w:t>
            </w:r>
            <w:r>
              <w:rPr>
                <w:rFonts w:ascii="Cambria" w:cs="Cambria" w:eastAsia="Cambria" w:hAnsi="Cambria"/>
                <w:color w:val="2D2D2D"/>
                <w:sz w:val="19"/>
                <w:szCs w:val="19"/>
              </w:rPr>
              <w:t xml:space="preserve">.</w:t>
            </w:r>
          </w:p>
        </w:tc>
      </w:tr>
      <w:tr>
        <w:tc>
          <w:tcPr>
            <w:tcW w:type="dxa" w:w="220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5"/>
                <w:szCs w:val="15"/>
              </w:rPr>
              <w:t xml:space="preserve">MODALIDAD</w:t>
            </w:r>
          </w:p>
        </w:tc>
        <w:tc>
          <w:tcPr>
            <w:tcW w:type="dxa" w:w="78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mbria" w:cs="Cambria" w:eastAsia="Cambria" w:hAnsi="Cambria"/>
                <w:color w:val="2D2D2D"/>
                <w:sz w:val="19"/>
                <w:szCs w:val="19"/>
              </w:rPr>
              <w:t xml:space="preserve">Práctica </w:t>
            </w:r>
            <w:r>
              <w:rPr>
                <w:rFonts w:ascii="Cambria" w:cs="Cambria" w:eastAsia="Cambria" w:hAnsi="Cambria"/>
                <w:b/>
                <w:bCs/>
                <w:color w:val="2D2D2D"/>
                <w:sz w:val="19"/>
                <w:szCs w:val="19"/>
              </w:rPr>
              <w:t xml:space="preserve">en parejas ejecutada íntegramente en aula</w:t>
            </w:r>
            <w:r>
              <w:rPr>
                <w:rFonts w:ascii="Cambria" w:cs="Cambria" w:eastAsia="Cambria" w:hAnsi="Cambria"/>
                <w:color w:val="2D2D2D"/>
                <w:sz w:val="19"/>
                <w:szCs w:val="19"/>
              </w:rPr>
              <w:t xml:space="preserve">, conducida por el docente. Ningún paso del laboratorio es trabajo domiciliario: en casa se redacta el </w:t>
            </w:r>
            <w:r>
              <w:rPr>
                <w:rFonts w:ascii="Cambria" w:cs="Cambria" w:eastAsia="Cambria" w:hAnsi="Cambria"/>
                <w:b/>
                <w:bCs/>
                <w:color w:val="2D2D2D"/>
                <w:sz w:val="19"/>
                <w:szCs w:val="19"/>
              </w:rPr>
              <w:t xml:space="preserve">entregable</w:t>
            </w:r>
            <w:r>
              <w:rPr>
                <w:rFonts w:ascii="Cambria" w:cs="Cambria" w:eastAsia="Cambria" w:hAnsi="Cambria"/>
                <w:color w:val="2D2D2D"/>
                <w:sz w:val="19"/>
                <w:szCs w:val="19"/>
              </w:rPr>
              <w:t xml:space="preserve">, no se aprende el método. </w:t>
            </w:r>
            <w:r>
              <w:rPr>
                <w:rFonts w:ascii="Cambria" w:cs="Cambria" w:eastAsia="Cambria" w:hAnsi="Cambria"/>
                <w:b/>
                <w:bCs/>
                <w:color w:val="2D2D2D"/>
                <w:sz w:val="19"/>
                <w:szCs w:val="19"/>
              </w:rPr>
              <w:t xml:space="preserve">Entregable individual</w:t>
            </w:r>
            <w:r>
              <w:rPr>
                <w:rFonts w:ascii="Cambria" w:cs="Cambria" w:eastAsia="Cambria" w:hAnsi="Cambria"/>
                <w:color w:val="2D2D2D"/>
                <w:sz w:val="19"/>
                <w:szCs w:val="19"/>
              </w:rPr>
              <w:t xml:space="preserve">: cada estudiante estima el efecto causal de la campaña de retención sobre datos observacionales, plantea su DAG, elige el conjunto de control, verifica supuestos, ejecuta las refutaciones y redacta su recomendación con incertidumbre.</w:t>
            </w:r>
          </w:p>
        </w:tc>
      </w:tr>
      <w:tr>
        <w:tc>
          <w:tcPr>
            <w:tcW w:type="dxa" w:w="22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5"/>
                <w:szCs w:val="15"/>
              </w:rPr>
              <w:t xml:space="preserve">DURACIÓN</w:t>
            </w:r>
          </w:p>
        </w:tc>
        <w:tc>
          <w:tcPr>
            <w:tcW w:type="dxa" w:w="78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mbria" w:cs="Cambria" w:eastAsia="Cambria" w:hAnsi="Cambria"/>
                <w:b/>
                <w:bCs/>
                <w:color w:val="2D2D2D"/>
                <w:sz w:val="19"/>
                <w:szCs w:val="19"/>
              </w:rPr>
              <w:t xml:space="preserve">~156 min</w:t>
            </w:r>
            <w:r>
              <w:rPr>
                <w:rFonts w:ascii="Cambria" w:cs="Cambria" w:eastAsia="Cambria" w:hAnsi="Cambria"/>
                <w:color w:val="2D2D2D"/>
                <w:sz w:val="19"/>
                <w:szCs w:val="19"/>
              </w:rPr>
              <w:t xml:space="preserve"> repartidos en las dos clases de la semana (pasos 0–4 ~112 min, réplica de los papers; paso 5 ~34 min, negocio con DoWhy, entregable; paso 6 ~10 min, introducción a variables instrumentales). Reparto: los </w:t>
            </w:r>
            <w:r>
              <w:rPr>
                <w:rFonts w:ascii="Cambria" w:cs="Cambria" w:eastAsia="Cambria" w:hAnsi="Cambria"/>
                <w:b/>
                <w:bCs/>
                <w:color w:val="2D2D2D"/>
                <w:sz w:val="19"/>
                <w:szCs w:val="19"/>
              </w:rPr>
              <w:t xml:space="preserve">pasos 0 a 5</w:t>
            </w:r>
            <w:r>
              <w:rPr>
                <w:rFonts w:ascii="Cambria" w:cs="Cambria" w:eastAsia="Cambria" w:hAnsi="Cambria"/>
                <w:color w:val="2D2D2D"/>
                <w:sz w:val="19"/>
                <w:szCs w:val="19"/>
              </w:rPr>
              <w:t xml:space="preserve"> se ejecutan el </w:t>
            </w:r>
            <w:r>
              <w:rPr>
                <w:rFonts w:ascii="Cambria" w:cs="Cambria" w:eastAsia="Cambria" w:hAnsi="Cambria"/>
                <w:b/>
                <w:bCs/>
                <w:color w:val="2D2D2D"/>
                <w:sz w:val="19"/>
                <w:szCs w:val="19"/>
              </w:rPr>
              <w:t xml:space="preserve">jueves</w:t>
            </w:r>
            <w:r>
              <w:rPr>
                <w:rFonts w:ascii="Cambria" w:cs="Cambria" w:eastAsia="Cambria" w:hAnsi="Cambria"/>
                <w:color w:val="2D2D2D"/>
                <w:sz w:val="19"/>
                <w:szCs w:val="19"/>
              </w:rPr>
              <w:t xml:space="preserve"> en el capítulo 12.5 (bloque A2), y el </w:t>
            </w:r>
            <w:r>
              <w:rPr>
                <w:rFonts w:ascii="Cambria" w:cs="Cambria" w:eastAsia="Cambria" w:hAnsi="Cambria"/>
                <w:b/>
                <w:bCs/>
                <w:color w:val="2D2D2D"/>
                <w:sz w:val="19"/>
                <w:szCs w:val="19"/>
              </w:rPr>
              <w:t xml:space="preserve">paso 6</w:t>
            </w:r>
            <w:r>
              <w:rPr>
                <w:rFonts w:ascii="Cambria" w:cs="Cambria" w:eastAsia="Cambria" w:hAnsi="Cambria"/>
                <w:color w:val="2D2D2D"/>
                <w:sz w:val="19"/>
                <w:szCs w:val="19"/>
              </w:rPr>
              <w:t xml:space="preserve"> el </w:t>
            </w:r>
            <w:r>
              <w:rPr>
                <w:rFonts w:ascii="Cambria" w:cs="Cambria" w:eastAsia="Cambria" w:hAnsi="Cambria"/>
                <w:b/>
                <w:bCs/>
                <w:color w:val="2D2D2D"/>
                <w:sz w:val="19"/>
                <w:szCs w:val="19"/>
              </w:rPr>
              <w:t xml:space="preserve">viernes</w:t>
            </w:r>
            <w:r>
              <w:rPr>
                <w:rFonts w:ascii="Cambria" w:cs="Cambria" w:eastAsia="Cambria" w:hAnsi="Cambria"/>
                <w:color w:val="2D2D2D"/>
                <w:sz w:val="19"/>
                <w:szCs w:val="19"/>
              </w:rPr>
              <w:t xml:space="preserve"> en el capítulo 12.8 (bloque B).</w:t>
            </w:r>
          </w:p>
        </w:tc>
      </w:tr>
      <w:tr>
        <w:tc>
          <w:tcPr>
            <w:tcW w:type="dxa" w:w="220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5"/>
                <w:szCs w:val="15"/>
              </w:rPr>
              <w:t xml:space="preserve">CUADERNO</w:t>
            </w:r>
          </w:p>
        </w:tc>
        <w:tc>
          <w:tcPr>
            <w:tcW w:type="dxa" w:w="78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onsolas" w:cs="Consolas" w:eastAsia="Consolas" w:hAnsi="Consolas"/>
                <w:color w:val="7A1526"/>
                <w:sz w:val="17"/>
                <w:szCs w:val="17"/>
              </w:rPr>
              <w:t xml:space="preserve">notebook/S12_inferencia_causal.ipynb</w:t>
            </w:r>
            <w:r>
              <w:rPr>
                <w:rFonts w:ascii="Cambria" w:cs="Cambria" w:eastAsia="Cambria" w:hAnsi="Cambria"/>
                <w:color w:val="2D2D2D"/>
                <w:sz w:val="19"/>
                <w:szCs w:val="19"/>
              </w:rPr>
              <w:t xml:space="preserve"> (botón «Abrir en Colab» en su portada) · </w:t>
            </w:r>
            <w:r>
              <w:rPr>
                <w:rFonts w:ascii="Cambria" w:cs="Cambria" w:eastAsia="Cambria" w:hAnsi="Cambria"/>
                <w:b/>
                <w:bCs/>
                <w:color w:val="2D2D2D"/>
                <w:sz w:val="19"/>
                <w:szCs w:val="19"/>
              </w:rPr>
              <w:t xml:space="preserve">sección 4 del cuaderno (Replicación)</w:t>
            </w:r>
            <w:r>
              <w:rPr>
                <w:rFonts w:ascii="Cambria" w:cs="Cambria" w:eastAsia="Cambria" w:hAnsi="Cambria"/>
                <w:color w:val="2D2D2D"/>
                <w:sz w:val="19"/>
                <w:szCs w:val="19"/>
              </w:rPr>
              <w:t xml:space="preserve"> = pasos 0–4 (contrafactual, DAG, DiD de Card &amp; Krueger, PSM de LaLonde y el contraste con benchmarks etiquetados) · </w:t>
            </w:r>
            <w:r>
              <w:rPr>
                <w:rFonts w:ascii="Cambria" w:cs="Cambria" w:eastAsia="Cambria" w:hAnsi="Cambria"/>
                <w:b/>
                <w:bCs/>
                <w:color w:val="2D2D2D"/>
                <w:sz w:val="19"/>
                <w:szCs w:val="19"/>
              </w:rPr>
              <w:t xml:space="preserve">sección 5 (Laboratorio de negocio)</w:t>
            </w:r>
            <w:r>
              <w:rPr>
                <w:rFonts w:ascii="Cambria" w:cs="Cambria" w:eastAsia="Cambria" w:hAnsi="Cambria"/>
                <w:color w:val="2D2D2D"/>
                <w:sz w:val="19"/>
                <w:szCs w:val="19"/>
              </w:rPr>
              <w:t xml:space="preserve"> = paso 5 (DoWhy end-to-end sobre la campaña de retención) y paso 6 (introducción a variables instrumentales).</w:t>
            </w:r>
          </w:p>
        </w:tc>
      </w:tr>
    </w:tbl>
    <w:p>
      <w:pPr>
        <w:spacing w:after="15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rPr>
          <w:cantSplit/>
        </w:trPr>
        <w:tc>
          <w:tcPr>
            <w:tcW w:type="dxa" w:w="10080"/>
            <w:tcBorders>
              <w:top w:val="none" w:color="FFFFFF" w:sz="0"/>
              <w:left w:val="none" w:color="FFFFFF" w:sz="0"/>
              <w:bottom w:val="none" w:color="FFFFFF" w:sz="0"/>
              <w:right w:val="none" w:color="FFFFFF" w:sz="0"/>
            </w:tcBorders>
            <w:shd w:fill="7A1526" w:color="auto" w:val="clear"/>
            <w:tcMar>
              <w:top w:type="dxa" w:w="180"/>
              <w:left w:type="dxa" w:w="150"/>
              <w:bottom w:type="dxa" w:w="180"/>
              <w:right w:type="dxa" w:w="150"/>
            </w:tcMar>
          </w:tcPr>
          <w:p>
            <w:pPr>
              <w:spacing w:after="80"/>
            </w:pPr>
            <w:r>
              <w:rPr>
                <w:rFonts w:ascii="Calibri" w:cs="Calibri" w:eastAsia="Calibri" w:hAnsi="Calibri"/>
                <w:b/>
                <w:bCs/>
                <w:color w:val="FFFFFF"/>
                <w:spacing w:val="30"/>
                <w:sz w:val="15"/>
                <w:szCs w:val="15"/>
              </w:rPr>
              <w:t xml:space="preserve">OBJETIVO DEL LABORATORIO</w:t>
            </w:r>
          </w:p>
          <w:p>
            <w:pPr>
              <w:spacing w:line="280"/>
            </w:pPr>
            <w:r>
              <w:rPr>
                <w:rFonts w:ascii="Cambria" w:cs="Cambria" w:eastAsia="Cambria" w:hAnsi="Cambria"/>
                <w:color w:val="FFFFFF"/>
                <w:sz w:val="21"/>
                <w:szCs w:val="21"/>
              </w:rPr>
              <w:t xml:space="preserve">Distinguir </w:t>
            </w:r>
            <w:r>
              <w:rPr>
                <w:rFonts w:ascii="Cambria" w:cs="Cambria" w:eastAsia="Cambria" w:hAnsi="Cambria"/>
                <w:b/>
                <w:bCs/>
                <w:color w:val="FFFFFF"/>
                <w:sz w:val="21"/>
                <w:szCs w:val="21"/>
              </w:rPr>
              <w:t xml:space="preserve">correlación de causalidad</w:t>
            </w:r>
            <w:r>
              <w:rPr>
                <w:rFonts w:ascii="Cambria" w:cs="Cambria" w:eastAsia="Cambria" w:hAnsi="Cambria"/>
                <w:color w:val="FFFFFF"/>
                <w:sz w:val="21"/>
                <w:szCs w:val="21"/>
              </w:rPr>
              <w:t xml:space="preserve"> con la práctica: reproducir sobre los datasets originales los </w:t>
            </w:r>
            <w:r>
              <w:rPr>
                <w:rFonts w:ascii="Cambria" w:cs="Cambria" w:eastAsia="Cambria" w:hAnsi="Cambria"/>
                <w:b/>
                <w:bCs/>
                <w:color w:val="FFFFFF"/>
                <w:sz w:val="21"/>
                <w:szCs w:val="21"/>
              </w:rPr>
              <w:t xml:space="preserve">cinco números ancla</w:t>
            </w:r>
            <w:r>
              <w:rPr>
                <w:rFonts w:ascii="Cambria" w:cs="Cambria" w:eastAsia="Cambria" w:hAnsi="Cambria"/>
                <w:color w:val="FFFFFF"/>
                <w:sz w:val="21"/>
                <w:szCs w:val="21"/>
              </w:rPr>
              <w:t xml:space="preserve"> de la sesión — el </w:t>
            </w:r>
            <w:r>
              <w:rPr>
                <w:rFonts w:ascii="Cambria" w:cs="Cambria" w:eastAsia="Cambria" w:hAnsi="Cambria"/>
                <w:b/>
                <w:bCs/>
                <w:color w:val="FFFFFF"/>
                <w:sz w:val="21"/>
                <w:szCs w:val="21"/>
              </w:rPr>
              <w:t xml:space="preserve">DiD del empleo </w:t>
            </w:r>
            <w:r>
              <w:rPr>
                <w:rFonts w:ascii="Consolas" w:cs="Consolas" w:eastAsia="Consolas" w:hAnsi="Consolas"/>
                <w:b/>
                <w:bCs/>
                <w:color w:val="FFFFFF"/>
                <w:sz w:val="19"/>
                <w:szCs w:val="19"/>
              </w:rPr>
              <w:t xml:space="preserve">FTE</w:t>
            </w:r>
            <w:r>
              <w:rPr>
                <w:rFonts w:ascii="Cambria" w:cs="Cambria" w:eastAsia="Cambria" w:hAnsi="Cambria"/>
                <w:b/>
                <w:bCs/>
                <w:color w:val="FFFFFF"/>
                <w:sz w:val="21"/>
                <w:szCs w:val="21"/>
              </w:rPr>
              <w:t xml:space="preserve"> de Card &amp; Krueger = +2,75</w:t>
            </w:r>
            <w:r>
              <w:rPr>
                <w:rFonts w:ascii="Cambria" w:cs="Cambria" w:eastAsia="Cambria" w:hAnsi="Cambria"/>
                <w:color w:val="FFFFFF"/>
                <w:sz w:val="21"/>
                <w:szCs w:val="21"/>
              </w:rPr>
              <w:t xml:space="preserve"> (positivo, no negativo), el </w:t>
            </w:r>
            <w:r>
              <w:rPr>
                <w:rFonts w:ascii="Cambria" w:cs="Cambria" w:eastAsia="Cambria" w:hAnsi="Cambria"/>
                <w:b/>
                <w:bCs/>
                <w:color w:val="FFFFFF"/>
                <w:sz w:val="21"/>
                <w:szCs w:val="21"/>
              </w:rPr>
              <w:t xml:space="preserve">ATT experimental de LaLonde = +1 794 USD</w:t>
            </w:r>
            <w:r>
              <w:rPr>
                <w:rFonts w:ascii="Cambria" w:cs="Cambria" w:eastAsia="Cambria" w:hAnsi="Cambria"/>
                <w:color w:val="FFFFFF"/>
                <w:sz w:val="21"/>
                <w:szCs w:val="21"/>
              </w:rPr>
              <w:t xml:space="preserve">, el </w:t>
            </w:r>
            <w:r>
              <w:rPr>
                <w:rFonts w:ascii="Cambria" w:cs="Cambria" w:eastAsia="Cambria" w:hAnsi="Cambria"/>
                <w:b/>
                <w:bCs/>
                <w:color w:val="FFFFFF"/>
                <w:sz w:val="21"/>
                <w:szCs w:val="21"/>
              </w:rPr>
              <w:t xml:space="preserve">naive observacional = −8 498 USD</w:t>
            </w:r>
            <w:r>
              <w:rPr>
                <w:rFonts w:ascii="Cambria" w:cs="Cambria" w:eastAsia="Cambria" w:hAnsi="Cambria"/>
                <w:color w:val="FFFFFF"/>
                <w:sz w:val="21"/>
                <w:szCs w:val="21"/>
              </w:rPr>
              <w:t xml:space="preserve"> (signo invertido por sesgo de selección), el </w:t>
            </w:r>
            <w:r>
              <w:rPr>
                <w:rFonts w:ascii="Cambria" w:cs="Cambria" w:eastAsia="Cambria" w:hAnsi="Cambria"/>
                <w:b/>
                <w:bCs/>
                <w:color w:val="FFFFFF"/>
                <w:sz w:val="21"/>
                <w:szCs w:val="21"/>
              </w:rPr>
              <w:t xml:space="preserve">ATT recuperado por PSM = +1 745 USD</w:t>
            </w:r>
            <w:r>
              <w:rPr>
                <w:rFonts w:ascii="Cambria" w:cs="Cambria" w:eastAsia="Cambria" w:hAnsi="Cambria"/>
                <w:color w:val="FFFFFF"/>
                <w:sz w:val="21"/>
                <w:szCs w:val="21"/>
              </w:rPr>
              <w:t xml:space="preserve"> (con balance SMD 0,60 </w:t>
            </w:r>
            <w:r>
              <w:rPr>
                <w:rFonts w:ascii="Calibri" w:cs="Calibri" w:eastAsia="Calibri" w:hAnsi="Calibri"/>
                <w:color w:val="FFFFFF"/>
                <w:sz w:val="21"/>
                <w:szCs w:val="21"/>
              </w:rPr>
              <w:t xml:space="preserve">→</w:t>
            </w:r>
            <w:r>
              <w:rPr>
                <w:rFonts w:ascii="Cambria" w:cs="Cambria" w:eastAsia="Cambria" w:hAnsi="Cambria"/>
                <w:color w:val="FFFFFF"/>
                <w:sz w:val="21"/>
                <w:szCs w:val="21"/>
              </w:rPr>
              <w:t xml:space="preserve"> 0,06) y, en el caso de negocio, el trío </w:t>
            </w:r>
            <w:r>
              <w:rPr>
                <w:rFonts w:ascii="Cambria" w:cs="Cambria" w:eastAsia="Cambria" w:hAnsi="Cambria"/>
                <w:b/>
                <w:bCs/>
                <w:color w:val="FFFFFF"/>
                <w:sz w:val="21"/>
                <w:szCs w:val="21"/>
              </w:rPr>
              <w:t xml:space="preserve">naive +23,6 / ajustado +7,95 / verdadero 8,0</w:t>
            </w:r>
            <w:r>
              <w:rPr>
                <w:rFonts w:ascii="Cambria" w:cs="Cambria" w:eastAsia="Cambria" w:hAnsi="Cambria"/>
                <w:color w:val="FFFFFF"/>
                <w:sz w:val="21"/>
                <w:szCs w:val="21"/>
              </w:rPr>
              <w:t xml:space="preserve"> — y comprobar que caen dentro de la tolerancia declarado para la sesión de la sesión. En el camino se formula el </w:t>
            </w:r>
            <w:r>
              <w:rPr>
                <w:rFonts w:ascii="Cambria" w:cs="Cambria" w:eastAsia="Cambria" w:hAnsi="Cambria"/>
                <w:b/>
                <w:bCs/>
                <w:color w:val="FFFFFF"/>
                <w:sz w:val="21"/>
                <w:szCs w:val="21"/>
              </w:rPr>
              <w:t xml:space="preserve">contrafactual</w:t>
            </w:r>
            <w:r>
              <w:rPr>
                <w:rFonts w:ascii="Cambria" w:cs="Cambria" w:eastAsia="Cambria" w:hAnsi="Cambria"/>
                <w:color w:val="FFFFFF"/>
                <w:sz w:val="21"/>
                <w:szCs w:val="21"/>
              </w:rPr>
              <w:t xml:space="preserve"> de cada problema, se construye el </w:t>
            </w:r>
            <w:r>
              <w:rPr>
                <w:rFonts w:ascii="Cambria" w:cs="Cambria" w:eastAsia="Cambria" w:hAnsi="Cambria"/>
                <w:b/>
                <w:bCs/>
                <w:color w:val="FFFFFF"/>
                <w:sz w:val="21"/>
                <w:szCs w:val="21"/>
              </w:rPr>
              <w:t xml:space="preserve">DAG</w:t>
            </w:r>
            <w:r>
              <w:rPr>
                <w:rFonts w:ascii="Cambria" w:cs="Cambria" w:eastAsia="Cambria" w:hAnsi="Cambria"/>
                <w:color w:val="FFFFFF"/>
                <w:sz w:val="21"/>
                <w:szCs w:val="21"/>
              </w:rPr>
              <w:t xml:space="preserve"> para decidir qué controlar (solo los </w:t>
            </w:r>
            <w:r>
              <w:rPr>
                <w:rFonts w:ascii="Cambria" w:cs="Cambria" w:eastAsia="Cambria" w:hAnsi="Cambria"/>
                <w:b/>
                <w:bCs/>
                <w:color w:val="FFFFFF"/>
                <w:sz w:val="21"/>
                <w:szCs w:val="21"/>
              </w:rPr>
              <w:t xml:space="preserve">confusores</w:t>
            </w:r>
            <w:r>
              <w:rPr>
                <w:rFonts w:ascii="Cambria" w:cs="Cambria" w:eastAsia="Cambria" w:hAnsi="Cambria"/>
                <w:color w:val="FFFFFF"/>
                <w:sz w:val="21"/>
                <w:szCs w:val="21"/>
              </w:rPr>
              <w:t xml:space="preserve"> que cierran las puertas traseras, </w:t>
            </w:r>
            <w:r>
              <w:rPr>
                <w:rFonts w:ascii="Cambria" w:cs="Cambria" w:eastAsia="Cambria" w:hAnsi="Cambria"/>
                <w:b/>
                <w:bCs/>
                <w:color w:val="FFFFFF"/>
                <w:sz w:val="21"/>
                <w:szCs w:val="21"/>
              </w:rPr>
              <w:t xml:space="preserve">nunca</w:t>
            </w:r>
            <w:r>
              <w:rPr>
                <w:rFonts w:ascii="Cambria" w:cs="Cambria" w:eastAsia="Cambria" w:hAnsi="Cambria"/>
                <w:color w:val="FFFFFF"/>
                <w:sz w:val="21"/>
                <w:szCs w:val="21"/>
              </w:rPr>
              <w:t xml:space="preserve"> mediadores ni colliders), se verifica el supuesto de </w:t>
            </w:r>
            <w:r>
              <w:rPr>
                <w:rFonts w:ascii="Cambria" w:cs="Cambria" w:eastAsia="Cambria" w:hAnsi="Cambria"/>
                <w:b/>
                <w:bCs/>
                <w:color w:val="FFFFFF"/>
                <w:sz w:val="21"/>
                <w:szCs w:val="21"/>
              </w:rPr>
              <w:t xml:space="preserve">tendencias paralelas</w:t>
            </w:r>
            <w:r>
              <w:rPr>
                <w:rFonts w:ascii="Cambria" w:cs="Cambria" w:eastAsia="Cambria" w:hAnsi="Cambria"/>
                <w:color w:val="FFFFFF"/>
                <w:sz w:val="21"/>
                <w:szCs w:val="21"/>
              </w:rPr>
              <w:t xml:space="preserve"> antes del DiD, se verifican </w:t>
            </w:r>
            <w:r>
              <w:rPr>
                <w:rFonts w:ascii="Cambria" w:cs="Cambria" w:eastAsia="Cambria" w:hAnsi="Cambria"/>
                <w:b/>
                <w:bCs/>
                <w:color w:val="FFFFFF"/>
                <w:sz w:val="21"/>
                <w:szCs w:val="21"/>
              </w:rPr>
              <w:t xml:space="preserve">soporte común y balance</w:t>
            </w:r>
            <w:r>
              <w:rPr>
                <w:rFonts w:ascii="Cambria" w:cs="Cambria" w:eastAsia="Cambria" w:hAnsi="Cambria"/>
                <w:color w:val="FFFFFF"/>
                <w:sz w:val="21"/>
                <w:szCs w:val="21"/>
              </w:rPr>
              <w:t xml:space="preserve"> antes del PSM, y se ejecutan </w:t>
            </w:r>
            <w:r>
              <w:rPr>
                <w:rFonts w:ascii="Cambria" w:cs="Cambria" w:eastAsia="Cambria" w:hAnsi="Cambria"/>
                <w:b/>
                <w:bCs/>
                <w:color w:val="FFFFFF"/>
                <w:sz w:val="21"/>
                <w:szCs w:val="21"/>
              </w:rPr>
              <w:t xml:space="preserve">refutaciones</w:t>
            </w:r>
            <w:r>
              <w:rPr>
                <w:rFonts w:ascii="Cambria" w:cs="Cambria" w:eastAsia="Cambria" w:hAnsi="Cambria"/>
                <w:color w:val="FFFFFF"/>
                <w:sz w:val="21"/>
                <w:szCs w:val="21"/>
              </w:rPr>
              <w:t xml:space="preserve"> con DoWhy. El mensaje que atraviesa el laboratorio: en datos observacionales, más datos </w:t>
            </w:r>
            <w:r>
              <w:rPr>
                <w:rFonts w:ascii="Cambria" w:cs="Cambria" w:eastAsia="Cambria" w:hAnsi="Cambria"/>
                <w:b/>
                <w:bCs/>
                <w:color w:val="FFFFFF"/>
                <w:sz w:val="21"/>
                <w:szCs w:val="21"/>
              </w:rPr>
              <w:t xml:space="preserve">no</w:t>
            </w:r>
            <w:r>
              <w:rPr>
                <w:rFonts w:ascii="Cambria" w:cs="Cambria" w:eastAsia="Cambria" w:hAnsi="Cambria"/>
                <w:color w:val="FFFFFF"/>
                <w:sz w:val="21"/>
                <w:szCs w:val="21"/>
              </w:rPr>
              <w:t xml:space="preserve"> corrigen el sesgo — solo estrechan el intervalo alrededor del número equivocado —; lo que lo corrige es un </w:t>
            </w:r>
            <w:r>
              <w:rPr>
                <w:rFonts w:ascii="Cambria" w:cs="Cambria" w:eastAsia="Cambria" w:hAnsi="Cambria"/>
                <w:b/>
                <w:bCs/>
                <w:color w:val="FFFFFF"/>
                <w:sz w:val="21"/>
                <w:szCs w:val="21"/>
              </w:rPr>
              <w:t xml:space="preserve">contrafactual creíble</w:t>
            </w:r>
            <w:r>
              <w:rPr>
                <w:rFonts w:ascii="Cambria" w:cs="Cambria" w:eastAsia="Cambria" w:hAnsi="Cambria"/>
                <w:color w:val="FFFFFF"/>
                <w:sz w:val="21"/>
                <w:szCs w:val="21"/>
              </w:rPr>
              <w:t xml:space="preserve">, y las refutaciones </w:t>
            </w:r>
            <w:r>
              <w:rPr>
                <w:rFonts w:ascii="Cambria" w:cs="Cambria" w:eastAsia="Cambria" w:hAnsi="Cambria"/>
                <w:b/>
                <w:bCs/>
                <w:color w:val="FFFFFF"/>
                <w:sz w:val="21"/>
                <w:szCs w:val="21"/>
              </w:rPr>
              <w:t xml:space="preserve">suben la confianza pero no prueban</w:t>
            </w:r>
            <w:r>
              <w:rPr>
                <w:rFonts w:ascii="Cambria" w:cs="Cambria" w:eastAsia="Cambria" w:hAnsi="Cambria"/>
                <w:color w:val="FFFFFF"/>
                <w:sz w:val="21"/>
                <w:szCs w:val="21"/>
              </w:rPr>
              <w:t xml:space="preserve"> la causalidad. Al cerrar, cada estudiante cuenta con el borrador del </w:t>
            </w:r>
            <w:r>
              <w:rPr>
                <w:rFonts w:ascii="Cambria" w:cs="Cambria" w:eastAsia="Cambria" w:hAnsi="Cambria"/>
                <w:b/>
                <w:bCs/>
                <w:color w:val="FFFFFF"/>
                <w:sz w:val="21"/>
                <w:szCs w:val="21"/>
              </w:rPr>
              <w:t xml:space="preserve">entregable evaluable de la S12</w:t>
            </w:r>
            <w:r>
              <w:rPr>
                <w:rFonts w:ascii="Cambria" w:cs="Cambria" w:eastAsia="Cambria" w:hAnsi="Cambria"/>
                <w:color w:val="FFFFFF"/>
                <w:sz w:val="21"/>
                <w:szCs w:val="21"/>
              </w:rPr>
              <w:t xml:space="preserve">: el efecto causal de la campaña de retención con su incertidumbre y su recomendación.</w:t>
            </w:r>
          </w:p>
        </w:tc>
      </w:tr>
    </w:tbl>
    <w:p>
      <w:pPr>
        <w:spacing w:after="200"/>
      </w:pPr>
    </w:p>
    <w:p>
      <w:pPr>
        <w:keepNext/>
        <w:spacing w:after="110" w:before="240"/>
      </w:pPr>
      <w:r>
        <w:rPr>
          <w:rFonts w:ascii="Calibri" w:cs="Calibri" w:eastAsia="Calibri" w:hAnsi="Calibri"/>
          <w:b/>
          <w:bCs/>
          <w:color w:val="7A1526"/>
          <w:sz w:val="21"/>
          <w:szCs w:val="21"/>
        </w:rPr>
        <w:t xml:space="preserve">Contenido</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500"/>
        <w:gridCol w:w="6180"/>
        <w:gridCol w:w="2400"/>
      </w:tblGrid>
      <w:tr>
        <w:tc>
          <w:tcPr>
            <w:tcW w:type="dxa" w:w="15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7"/>
                <w:szCs w:val="17"/>
              </w:rPr>
              <w:t xml:space="preserve">Sección 0</w:t>
            </w:r>
          </w:p>
        </w:tc>
        <w:tc>
          <w:tcPr>
            <w:tcW w:type="dxa" w:w="61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mbria" w:cs="Cambria" w:eastAsia="Cambria" w:hAnsi="Cambria"/>
                <w:color w:val="2D2D2D"/>
                <w:sz w:val="19"/>
                <w:szCs w:val="19"/>
              </w:rPr>
              <w:t xml:space="preserve">Antes de empezar</w:t>
            </w:r>
          </w:p>
        </w:tc>
        <w:tc>
          <w:tcPr>
            <w:tcW w:type="dxa" w:w="24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pPr>
              <w:jc w:val="right"/>
            </w:pPr>
            <w:r>
              <w:rPr>
                <w:rFonts w:ascii="Calibri" w:cs="Calibri" w:eastAsia="Calibri" w:hAnsi="Calibri"/>
                <w:color w:val="6E6E6E"/>
                <w:sz w:val="17"/>
                <w:szCs w:val="17"/>
              </w:rPr>
              <w:t xml:space="preserve">—</w:t>
            </w:r>
          </w:p>
        </w:tc>
      </w:tr>
      <w:tr>
        <w:tc>
          <w:tcPr>
            <w:tcW w:type="dxa" w:w="150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7"/>
                <w:szCs w:val="17"/>
              </w:rPr>
              <w:t xml:space="preserve">Sección 1</w:t>
            </w:r>
          </w:p>
        </w:tc>
        <w:tc>
          <w:tcPr>
            <w:tcW w:type="dxa" w:w="61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mbria" w:cs="Cambria" w:eastAsia="Cambria" w:hAnsi="Cambria"/>
                <w:color w:val="2D2D2D"/>
                <w:sz w:val="19"/>
                <w:szCs w:val="19"/>
              </w:rPr>
              <w:t xml:space="preserve">Protocolo de replicación: Card &amp; Krueger (DiD) y LaLonde/NSW (PSM) (pasos 0–4)</w:t>
            </w:r>
          </w:p>
        </w:tc>
        <w:tc>
          <w:tcPr>
            <w:tcW w:type="dxa" w:w="240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pPr>
              <w:jc w:val="right"/>
            </w:pPr>
            <w:r>
              <w:rPr>
                <w:rFonts w:ascii="Calibri" w:cs="Calibri" w:eastAsia="Calibri" w:hAnsi="Calibri"/>
                <w:color w:val="6E6E6E"/>
                <w:sz w:val="17"/>
                <w:szCs w:val="17"/>
              </w:rPr>
              <w:t xml:space="preserve">~112 min · jueves, cap. 12.4–12.5</w:t>
            </w:r>
          </w:p>
        </w:tc>
      </w:tr>
      <w:tr>
        <w:tc>
          <w:tcPr>
            <w:tcW w:type="dxa" w:w="15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7"/>
                <w:szCs w:val="17"/>
              </w:rPr>
              <w:t xml:space="preserve">Sección 2</w:t>
            </w:r>
          </w:p>
        </w:tc>
        <w:tc>
          <w:tcPr>
            <w:tcW w:type="dxa" w:w="61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mbria" w:cs="Cambria" w:eastAsia="Cambria" w:hAnsi="Cambria"/>
                <w:color w:val="2D2D2D"/>
                <w:sz w:val="19"/>
                <w:szCs w:val="19"/>
              </w:rPr>
              <w:t xml:space="preserve">DoWhy end-to-end sobre el negocio: naive, ajustado y refutaciones (paso 5, entregable)</w:t>
            </w:r>
          </w:p>
        </w:tc>
        <w:tc>
          <w:tcPr>
            <w:tcW w:type="dxa" w:w="24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pPr>
              <w:jc w:val="right"/>
            </w:pPr>
            <w:r>
              <w:rPr>
                <w:rFonts w:ascii="Calibri" w:cs="Calibri" w:eastAsia="Calibri" w:hAnsi="Calibri"/>
                <w:color w:val="6E6E6E"/>
                <w:sz w:val="17"/>
                <w:szCs w:val="17"/>
              </w:rPr>
              <w:t xml:space="preserve">~34 min · jueves, cap. 12.5</w:t>
            </w:r>
          </w:p>
        </w:tc>
      </w:tr>
      <w:tr>
        <w:tc>
          <w:tcPr>
            <w:tcW w:type="dxa" w:w="150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7"/>
                <w:szCs w:val="17"/>
              </w:rPr>
              <w:t xml:space="preserve">Sección 3</w:t>
            </w:r>
          </w:p>
        </w:tc>
        <w:tc>
          <w:tcPr>
            <w:tcW w:type="dxa" w:w="61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mbria" w:cs="Cambria" w:eastAsia="Cambria" w:hAnsi="Cambria"/>
                <w:color w:val="2D2D2D"/>
                <w:sz w:val="19"/>
                <w:szCs w:val="19"/>
              </w:rPr>
              <w:t xml:space="preserve">Variables instrumentales (introducción) y cierre (paso 6)</w:t>
            </w:r>
          </w:p>
        </w:tc>
        <w:tc>
          <w:tcPr>
            <w:tcW w:type="dxa" w:w="240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pPr>
              <w:jc w:val="right"/>
            </w:pPr>
            <w:r>
              <w:rPr>
                <w:rFonts w:ascii="Calibri" w:cs="Calibri" w:eastAsia="Calibri" w:hAnsi="Calibri"/>
                <w:color w:val="6E6E6E"/>
                <w:sz w:val="17"/>
                <w:szCs w:val="17"/>
              </w:rPr>
              <w:t xml:space="preserve">~10 min · viernes, cap. 12.8</w:t>
            </w:r>
          </w:p>
        </w:tc>
      </w:tr>
      <w:tr>
        <w:tc>
          <w:tcPr>
            <w:tcW w:type="dxa" w:w="15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7"/>
                <w:szCs w:val="17"/>
              </w:rPr>
              <w:t xml:space="preserve">Sección 4</w:t>
            </w:r>
          </w:p>
        </w:tc>
        <w:tc>
          <w:tcPr>
            <w:tcW w:type="dxa" w:w="61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mbria" w:cs="Cambria" w:eastAsia="Cambria" w:hAnsi="Cambria"/>
                <w:color w:val="2D2D2D"/>
                <w:sz w:val="19"/>
                <w:szCs w:val="19"/>
              </w:rPr>
              <w:t xml:space="preserve">Conexión con el entregable y el proyecto integrador</w:t>
            </w:r>
          </w:p>
        </w:tc>
        <w:tc>
          <w:tcPr>
            <w:tcW w:type="dxa" w:w="24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pPr>
              <w:jc w:val="right"/>
            </w:pPr>
            <w:r>
              <w:rPr>
                <w:rFonts w:ascii="Calibri" w:cs="Calibri" w:eastAsia="Calibri" w:hAnsi="Calibri"/>
                <w:color w:val="6E6E6E"/>
                <w:sz w:val="17"/>
                <w:szCs w:val="17"/>
              </w:rPr>
              <w:t xml:space="preserve">entregable</w:t>
            </w:r>
          </w:p>
        </w:tc>
      </w:tr>
      <w:tr>
        <w:tc>
          <w:tcPr>
            <w:tcW w:type="dxa" w:w="150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7"/>
                <w:szCs w:val="17"/>
              </w:rPr>
              <w:t xml:space="preserve">Sección 5</w:t>
            </w:r>
          </w:p>
        </w:tc>
        <w:tc>
          <w:tcPr>
            <w:tcW w:type="dxa" w:w="61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mbria" w:cs="Cambria" w:eastAsia="Cambria" w:hAnsi="Cambria"/>
                <w:color w:val="2D2D2D"/>
                <w:sz w:val="19"/>
                <w:szCs w:val="19"/>
              </w:rPr>
              <w:t xml:space="preserve">Checklist final de autoevaluación (5 targets)</w:t>
            </w:r>
          </w:p>
        </w:tc>
        <w:tc>
          <w:tcPr>
            <w:tcW w:type="dxa" w:w="240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pPr>
              <w:jc w:val="right"/>
            </w:pPr>
            <w:r>
              <w:rPr>
                <w:rFonts w:ascii="Calibri" w:cs="Calibri" w:eastAsia="Calibri" w:hAnsi="Calibri"/>
                <w:color w:val="6E6E6E"/>
                <w:sz w:val="17"/>
                <w:szCs w:val="17"/>
              </w:rPr>
              <w:t xml:space="preserve">12 criterios</w:t>
            </w:r>
          </w:p>
        </w:tc>
      </w:tr>
    </w:tbl>
    <w:p>
      <w:pPr>
        <w:spacing w:after="220"/>
      </w:pPr>
    </w:p>
    <w:p>
      <w:pPr>
        <w:keepNext/>
        <w:spacing w:after="110" w:before="240"/>
      </w:pPr>
      <w:r>
        <w:rPr>
          <w:rFonts w:ascii="Calibri" w:cs="Calibri" w:eastAsia="Calibri" w:hAnsi="Calibri"/>
          <w:b/>
          <w:bCs/>
          <w:color w:val="7A1526"/>
          <w:sz w:val="21"/>
          <w:szCs w:val="21"/>
        </w:rPr>
        <w:t xml:space="preserve">0. Antes de empezar</w:t>
      </w:r>
    </w:p>
    <w:p>
      <w:pPr>
        <w:spacing w:after="110" w:line="265"/>
      </w:pPr>
      <w:r>
        <w:rPr>
          <w:rFonts w:ascii="Calibri" w:cs="Calibri" w:eastAsia="Calibri" w:hAnsi="Calibri"/>
          <w:b/>
          <w:bCs/>
          <w:color w:val="7A1526"/>
          <w:sz w:val="18"/>
          <w:szCs w:val="18"/>
        </w:rPr>
        <w:t xml:space="preserve">0.1   </w:t>
      </w:r>
      <w:r>
        <w:rPr>
          <w:rFonts w:ascii="Cambria" w:cs="Cambria" w:eastAsia="Cambria" w:hAnsi="Cambria"/>
          <w:color w:val="2D2D2D"/>
          <w:sz w:val="19"/>
          <w:szCs w:val="19"/>
        </w:rPr>
        <w:t xml:space="preserve">Abrir </w:t>
      </w:r>
      <w:r>
        <w:rPr>
          <w:rFonts w:ascii="Consolas" w:cs="Consolas" w:eastAsia="Consolas" w:hAnsi="Consolas"/>
          <w:color w:val="7A1526"/>
          <w:sz w:val="17"/>
          <w:szCs w:val="17"/>
        </w:rPr>
        <w:t xml:space="preserve">notebook/S12_inferencia_causal.ipynb</w:t>
      </w:r>
      <w:r>
        <w:rPr>
          <w:rFonts w:ascii="Cambria" w:cs="Cambria" w:eastAsia="Cambria" w:hAnsi="Cambria"/>
          <w:color w:val="2D2D2D"/>
          <w:sz w:val="19"/>
          <w:szCs w:val="19"/>
        </w:rPr>
        <w:t xml:space="preserve"> en Google Colab (o en el venv local); su sección 4 (Replicación) cubre los pasos 0–4 y su sección 5 (Laboratorio de negocio) los pasos 5–6.</w:t>
      </w:r>
    </w:p>
    <w:p>
      <w:pPr>
        <w:spacing w:after="110" w:line="265"/>
      </w:pPr>
      <w:r>
        <w:rPr>
          <w:rFonts w:ascii="Calibri" w:cs="Calibri" w:eastAsia="Calibri" w:hAnsi="Calibri"/>
          <w:b/>
          <w:bCs/>
          <w:color w:val="7A1526"/>
          <w:sz w:val="18"/>
          <w:szCs w:val="18"/>
        </w:rPr>
        <w:t xml:space="preserve">0.2   </w:t>
      </w:r>
      <w:r>
        <w:rPr>
          <w:rFonts w:ascii="Cambria" w:cs="Cambria" w:eastAsia="Cambria" w:hAnsi="Cambria"/>
          <w:color w:val="2D2D2D"/>
          <w:sz w:val="19"/>
          <w:szCs w:val="19"/>
        </w:rPr>
        <w:t xml:space="preserve">Tener a la vista las plantillas </w:t>
      </w:r>
      <w:r>
        <w:rPr>
          <w:rFonts w:ascii="Consolas" w:cs="Consolas" w:eastAsia="Consolas" w:hAnsi="Consolas"/>
          <w:color w:val="7A1526"/>
          <w:sz w:val="17"/>
          <w:szCs w:val="17"/>
        </w:rPr>
        <w:t xml:space="preserve">plantillas/plantilla_analisis_causal.docx</w:t>
      </w:r>
      <w:r>
        <w:rPr>
          <w:rFonts w:ascii="Cambria" w:cs="Cambria" w:eastAsia="Cambria" w:hAnsi="Cambria"/>
          <w:color w:val="2D2D2D"/>
          <w:sz w:val="19"/>
          <w:szCs w:val="19"/>
        </w:rPr>
        <w:t xml:space="preserve"> (estructura el análisis end-to-end: contrafactual, DAG y conjunto de ajuste, supuestos de identificación, estimación y pruebas de robustez) y </w:t>
      </w:r>
      <w:r>
        <w:rPr>
          <w:rFonts w:ascii="Consolas" w:cs="Consolas" w:eastAsia="Consolas" w:hAnsi="Consolas"/>
          <w:color w:val="7A1526"/>
          <w:sz w:val="17"/>
          <w:szCs w:val="17"/>
        </w:rPr>
        <w:t xml:space="preserve">plantillas/guia_dags.docx</w:t>
      </w:r>
      <w:r>
        <w:rPr>
          <w:rFonts w:ascii="Cambria" w:cs="Cambria" w:eastAsia="Cambria" w:hAnsi="Cambria"/>
          <w:color w:val="2D2D2D"/>
          <w:sz w:val="19"/>
          <w:szCs w:val="19"/>
        </w:rPr>
        <w:t xml:space="preserve"> (reglas de puerta trasera y colliders: qué controlar y qué no).</w:t>
      </w:r>
    </w:p>
    <w:p>
      <w:pPr>
        <w:spacing w:after="110" w:line="265"/>
      </w:pPr>
      <w:r>
        <w:rPr>
          <w:rFonts w:ascii="Calibri" w:cs="Calibri" w:eastAsia="Calibri" w:hAnsi="Calibri"/>
          <w:b/>
          <w:bCs/>
          <w:color w:val="7A1526"/>
          <w:sz w:val="18"/>
          <w:szCs w:val="18"/>
        </w:rPr>
        <w:t xml:space="preserve">0.3   </w:t>
      </w:r>
      <w:r>
        <w:rPr>
          <w:rFonts w:ascii="Cambria" w:cs="Cambria" w:eastAsia="Cambria" w:hAnsi="Cambria"/>
          <w:color w:val="2D2D2D"/>
          <w:sz w:val="19"/>
          <w:szCs w:val="19"/>
        </w:rPr>
        <w:t xml:space="preserve">Datos: </w:t>
      </w:r>
      <w:r>
        <w:rPr>
          <w:rFonts w:ascii="Consolas" w:cs="Consolas" w:eastAsia="Consolas" w:hAnsi="Consolas"/>
          <w:color w:val="7A1526"/>
          <w:sz w:val="17"/>
          <w:szCs w:val="17"/>
        </w:rPr>
        <w:t xml:space="preserve">data/descargar_datos.py</w:t>
      </w:r>
      <w:r>
        <w:rPr>
          <w:rFonts w:ascii="Cambria" w:cs="Cambria" w:eastAsia="Cambria" w:hAnsi="Cambria"/>
          <w:color w:val="2D2D2D"/>
          <w:sz w:val="19"/>
          <w:szCs w:val="19"/>
        </w:rPr>
        <w:t xml:space="preserve"> materializa (idempotente, con checksum SHA256) Card &amp; Krueger (</w:t>
      </w:r>
      <w:r>
        <w:rPr>
          <w:rFonts w:ascii="Consolas" w:cs="Consolas" w:eastAsia="Consolas" w:hAnsi="Consolas"/>
          <w:color w:val="7A1526"/>
          <w:sz w:val="17"/>
          <w:szCs w:val="17"/>
        </w:rPr>
        <w:t xml:space="preserve">njmin.zip</w:t>
      </w:r>
      <w:r>
        <w:rPr>
          <w:rFonts w:ascii="Cambria" w:cs="Cambria" w:eastAsia="Cambria" w:hAnsi="Cambria"/>
          <w:color w:val="2D2D2D"/>
          <w:sz w:val="19"/>
          <w:szCs w:val="19"/>
        </w:rPr>
        <w:t xml:space="preserve"> </w:t>
      </w:r>
      <w:r>
        <w:rPr>
          <w:rFonts w:ascii="Calibri" w:cs="Calibri" w:eastAsia="Calibri" w:hAnsi="Calibri"/>
          <w:color w:val="2D2D2D"/>
          <w:sz w:val="19"/>
          <w:szCs w:val="19"/>
        </w:rPr>
        <w:t xml:space="preserve">→</w:t>
      </w:r>
      <w:r>
        <w:rPr>
          <w:rFonts w:ascii="Cambria" w:cs="Cambria" w:eastAsia="Cambria" w:hAnsi="Cambria"/>
          <w:color w:val="2D2D2D"/>
          <w:sz w:val="19"/>
          <w:szCs w:val="19"/>
        </w:rPr>
        <w:t xml:space="preserve"> </w:t>
      </w:r>
      <w:r>
        <w:rPr>
          <w:rFonts w:ascii="Consolas" w:cs="Consolas" w:eastAsia="Consolas" w:hAnsi="Consolas"/>
          <w:color w:val="7A1526"/>
          <w:sz w:val="17"/>
          <w:szCs w:val="17"/>
        </w:rPr>
        <w:t xml:space="preserve">public.dat</w:t>
      </w:r>
      <w:r>
        <w:rPr>
          <w:rFonts w:ascii="Cambria" w:cs="Cambria" w:eastAsia="Cambria" w:hAnsi="Cambria"/>
          <w:color w:val="2D2D2D"/>
          <w:sz w:val="19"/>
          <w:szCs w:val="19"/>
        </w:rPr>
        <w:t xml:space="preserve">, 410 restaurantes), LaLonde/NSW (causaldata: </w:t>
      </w:r>
      <w:r>
        <w:rPr>
          <w:rFonts w:ascii="Consolas" w:cs="Consolas" w:eastAsia="Consolas" w:hAnsi="Consolas"/>
          <w:color w:val="7A1526"/>
          <w:sz w:val="17"/>
          <w:szCs w:val="17"/>
        </w:rPr>
        <w:t xml:space="preserve">nsw_mixtape</w:t>
      </w:r>
      <w:r>
        <w:rPr>
          <w:rFonts w:ascii="Cambria" w:cs="Cambria" w:eastAsia="Cambria" w:hAnsi="Cambria"/>
          <w:color w:val="2D2D2D"/>
          <w:sz w:val="19"/>
          <w:szCs w:val="19"/>
        </w:rPr>
        <w:t xml:space="preserve"> 445, </w:t>
      </w:r>
      <w:r>
        <w:rPr>
          <w:rFonts w:ascii="Consolas" w:cs="Consolas" w:eastAsia="Consolas" w:hAnsi="Consolas"/>
          <w:color w:val="7A1526"/>
          <w:sz w:val="17"/>
          <w:szCs w:val="17"/>
        </w:rPr>
        <w:t xml:space="preserve">cps_mixtape</w:t>
      </w:r>
      <w:r>
        <w:rPr>
          <w:rFonts w:ascii="Cambria" w:cs="Cambria" w:eastAsia="Cambria" w:hAnsi="Cambria"/>
          <w:color w:val="2D2D2D"/>
          <w:sz w:val="19"/>
          <w:szCs w:val="19"/>
        </w:rPr>
        <w:t xml:space="preserve"> 15 992) y el caso de negocio (DGP con semilla fija).</w:t>
      </w:r>
    </w:p>
    <w:p>
      <w:pPr>
        <w:spacing w:after="110" w:line="265"/>
      </w:pPr>
      <w:r>
        <w:rPr>
          <w:rFonts w:ascii="Calibri" w:cs="Calibri" w:eastAsia="Calibri" w:hAnsi="Calibri"/>
          <w:b/>
          <w:bCs/>
          <w:color w:val="7A1526"/>
          <w:sz w:val="18"/>
          <w:szCs w:val="18"/>
        </w:rPr>
        <w:t xml:space="preserve">0.4   </w:t>
      </w:r>
      <w:r>
        <w:rPr>
          <w:rFonts w:ascii="Cambria" w:cs="Cambria" w:eastAsia="Cambria" w:hAnsi="Cambria"/>
          <w:color w:val="2D2D2D"/>
          <w:sz w:val="19"/>
          <w:szCs w:val="19"/>
        </w:rPr>
        <w:t xml:space="preserve">Convención del curso: toda cifra citada existe en el cuaderno, en </w:t>
      </w:r>
      <w:r>
        <w:rPr>
          <w:rFonts w:ascii="Consolas" w:cs="Consolas" w:eastAsia="Consolas" w:hAnsi="Consolas"/>
          <w:color w:val="7A1526"/>
          <w:sz w:val="17"/>
          <w:szCs w:val="17"/>
        </w:rPr>
        <w:t xml:space="preserve">resultados/S12_resultados.xlsx</w:t>
      </w:r>
      <w:r>
        <w:rPr>
          <w:rFonts w:ascii="Cambria" w:cs="Cambria" w:eastAsia="Cambria" w:hAnsi="Cambria"/>
          <w:color w:val="2D2D2D"/>
          <w:sz w:val="19"/>
          <w:szCs w:val="19"/>
        </w:rPr>
        <w:t xml:space="preserve"> o está certificada por el validador (el material de referencia de la sesión); las gráficas de resultados se generan leyendo ese Excel, excepto el EDA de datos crudos, que se traza directamente de los datos.</w:t>
      </w:r>
    </w:p>
    <w:p>
      <w:r>
        <w:br w:type="page"/>
      </w:r>
    </w:p>
    <w:p>
      <w:pPr>
        <w:keepNext/>
        <w:spacing w:after="60" w:before="120"/>
      </w:pPr>
      <w:r>
        <w:rPr>
          <w:rFonts w:ascii="Calibri" w:cs="Calibri" w:eastAsia="Calibri" w:hAnsi="Calibri"/>
          <w:b/>
          <w:bCs/>
          <w:color w:val="7A1526"/>
          <w:sz w:val="24"/>
          <w:szCs w:val="24"/>
        </w:rPr>
        <w:t xml:space="preserve">1.  </w:t>
      </w:r>
      <w:r>
        <w:rPr>
          <w:rFonts w:ascii="Calibri" w:cs="Calibri" w:eastAsia="Calibri" w:hAnsi="Calibri"/>
          <w:b/>
          <w:bCs/>
          <w:color w:val="7A1526"/>
          <w:spacing w:val="20"/>
          <w:sz w:val="24"/>
          <w:szCs w:val="24"/>
        </w:rPr>
        <w:t xml:space="preserve">PROTOCOLO DE REPLICACIÓN: CARD &amp; KRUEGER (DID) Y LALONDE/NSW (PSM)</w:t>
      </w:r>
    </w:p>
    <w:p>
      <w:pPr>
        <w:keepNext/>
        <w:pBdr>
          <w:bottom w:val="single" w:color="E4002B" w:sz="14" w:space="8"/>
        </w:pBdr>
        <w:spacing w:after="140"/>
      </w:pPr>
      <w:r>
        <w:rPr>
          <w:rFonts w:ascii="Cambria" w:cs="Cambria" w:eastAsia="Cambria" w:hAnsi="Cambria"/>
          <w:i/>
          <w:iCs/>
          <w:color w:val="6E6E6E"/>
          <w:sz w:val="19"/>
          <w:szCs w:val="19"/>
        </w:rPr>
        <w:t xml:space="preserve">Sección 4 del cuaderno (pasos 0–4) — jueves, cap. 12.4–12.5, bloques A1–A2</w:t>
      </w:r>
      <w:r>
        <w:rPr>
          <w:rFonts w:ascii="Cambria" w:cs="Cambria" w:eastAsia="Cambria" w:hAnsi="Cambria"/>
          <w:b/>
          <w:bCs/>
          <w:color w:val="7A1526"/>
          <w:sz w:val="19"/>
          <w:szCs w:val="19"/>
        </w:rPr>
        <w:t xml:space="preserve">   |   ~112 min</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0"/>
        <w:gridCol w:w="6080"/>
        <w:gridCol w:w="3000"/>
      </w:tblGrid>
      <w:tr>
        <w:trPr>
          <w:tblHeader/>
        </w:trPr>
        <w:tc>
          <w:tcPr>
            <w:tcW w:type="dxa" w:w="1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TIEMPO</w:t>
            </w:r>
          </w:p>
        </w:tc>
        <w:tc>
          <w:tcPr>
            <w:tcW w:type="dxa" w:w="608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QUÉ HACER</w:t>
            </w:r>
          </w:p>
        </w:tc>
        <w:tc>
          <w:tcPr>
            <w:tcW w:type="dxa" w:w="3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PRODUCTO (lo que queda escrito)</w:t>
            </w:r>
          </w:p>
        </w:tc>
      </w:tr>
      <w:tr>
        <w:tc>
          <w:tcPr>
            <w:tcW w:type="dxa" w:w="10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r>
              <w:rPr>
                <w:rFonts w:ascii="Calibri" w:cs="Calibri" w:eastAsia="Calibri" w:hAnsi="Calibri"/>
                <w:color w:val="6E6E6E"/>
                <w:sz w:val="17"/>
                <w:szCs w:val="17"/>
              </w:rPr>
              <w:t xml:space="preserve">16 min</w:t>
            </w:r>
          </w:p>
        </w:tc>
        <w:tc>
          <w:tcPr>
            <w:tcW w:type="dxa" w:w="60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pPr>
              <w:spacing w:after="70"/>
            </w:pPr>
            <w:r>
              <w:rPr>
                <w:rFonts w:ascii="Calibri" w:cs="Calibri" w:eastAsia="Calibri" w:hAnsi="Calibri"/>
                <w:b/>
                <w:bCs/>
                <w:color w:val="7A1526"/>
                <w:sz w:val="22"/>
                <w:szCs w:val="22"/>
              </w:rPr>
              <w:t xml:space="preserve">P0   </w:t>
            </w:r>
            <w:r>
              <w:rPr>
                <w:rFonts w:ascii="Calibri" w:cs="Calibri" w:eastAsia="Calibri" w:hAnsi="Calibri"/>
                <w:b/>
                <w:bCs/>
                <w:color w:val="7A1526"/>
                <w:sz w:val="19"/>
                <w:szCs w:val="19"/>
              </w:rPr>
              <w:t xml:space="preserve">El contrafactual y el problema fundamental</w:t>
            </w:r>
          </w:p>
          <w:p>
            <w:pPr>
              <w:spacing w:line="265"/>
            </w:pPr>
            <w:r>
              <w:rPr>
                <w:rFonts w:ascii="Cambria" w:cs="Cambria" w:eastAsia="Cambria" w:hAnsi="Cambria"/>
                <w:color w:val="2D2D2D"/>
                <w:sz w:val="19"/>
                <w:szCs w:val="19"/>
              </w:rPr>
              <w:t xml:space="preserve">Definir el </w:t>
            </w:r>
            <w:r>
              <w:rPr>
                <w:rFonts w:ascii="Cambria" w:cs="Cambria" w:eastAsia="Cambria" w:hAnsi="Cambria"/>
                <w:b/>
                <w:bCs/>
                <w:color w:val="2D2D2D"/>
                <w:sz w:val="19"/>
                <w:szCs w:val="19"/>
              </w:rPr>
              <w:t xml:space="preserve">contrafactual</w:t>
            </w:r>
            <w:r>
              <w:rPr>
                <w:rFonts w:ascii="Cambria" w:cs="Cambria" w:eastAsia="Cambria" w:hAnsi="Cambria"/>
                <w:color w:val="2D2D2D"/>
                <w:sz w:val="19"/>
                <w:szCs w:val="19"/>
              </w:rPr>
              <w:t xml:space="preserve">: el resultado que habría ocurrido para </w:t>
            </w:r>
            <w:r>
              <w:rPr>
                <w:rFonts w:ascii="Cambria" w:cs="Cambria" w:eastAsia="Cambria" w:hAnsi="Cambria"/>
                <w:b/>
                <w:bCs/>
                <w:color w:val="2D2D2D"/>
                <w:sz w:val="19"/>
                <w:szCs w:val="19"/>
              </w:rPr>
              <w:t xml:space="preserve">la misma unidad</w:t>
            </w:r>
            <w:r>
              <w:rPr>
                <w:rFonts w:ascii="Cambria" w:cs="Cambria" w:eastAsia="Cambria" w:hAnsi="Cambria"/>
                <w:color w:val="2D2D2D"/>
                <w:sz w:val="19"/>
                <w:szCs w:val="19"/>
              </w:rPr>
              <w:t xml:space="preserve"> bajo el tratamiento que no recibió. A cada cliente se le asocian dos </w:t>
            </w:r>
            <w:r>
              <w:rPr>
                <w:rFonts w:ascii="Cambria" w:cs="Cambria" w:eastAsia="Cambria" w:hAnsi="Cambria"/>
                <w:b/>
                <w:bCs/>
                <w:color w:val="2D2D2D"/>
                <w:sz w:val="19"/>
                <w:szCs w:val="19"/>
              </w:rPr>
              <w:t xml:space="preserve">resultados potenciales</w:t>
            </w:r>
            <w:r>
              <w:rPr>
                <w:rFonts w:ascii="Cambria" w:cs="Cambria" w:eastAsia="Cambria" w:hAnsi="Cambria"/>
                <w:color w:val="2D2D2D"/>
                <w:sz w:val="19"/>
                <w:szCs w:val="19"/>
              </w:rPr>
              <w:t xml:space="preserve">, Y(1) si recibe la campaña e Y(0) si no; el efecto individual es Y(1) − Y(0). El </w:t>
            </w:r>
            <w:r>
              <w:rPr>
                <w:rFonts w:ascii="Cambria" w:cs="Cambria" w:eastAsia="Cambria" w:hAnsi="Cambria"/>
                <w:b/>
                <w:bCs/>
                <w:color w:val="2D2D2D"/>
                <w:sz w:val="19"/>
                <w:szCs w:val="19"/>
              </w:rPr>
              <w:t xml:space="preserve">problema fundamental de la inferencia causal</w:t>
            </w:r>
            <w:r>
              <w:rPr>
                <w:rFonts w:ascii="Cambria" w:cs="Cambria" w:eastAsia="Cambria" w:hAnsi="Cambria"/>
                <w:color w:val="2D2D2D"/>
                <w:sz w:val="19"/>
                <w:szCs w:val="19"/>
              </w:rPr>
              <w:t xml:space="preserve"> es que de cada unidad solo se observa </w:t>
            </w:r>
            <w:r>
              <w:rPr>
                <w:rFonts w:ascii="Cambria" w:cs="Cambria" w:eastAsia="Cambria" w:hAnsi="Cambria"/>
                <w:b/>
                <w:bCs/>
                <w:color w:val="2D2D2D"/>
                <w:sz w:val="19"/>
                <w:szCs w:val="19"/>
              </w:rPr>
              <w:t xml:space="preserve">uno</w:t>
            </w:r>
            <w:r>
              <w:rPr>
                <w:rFonts w:ascii="Cambria" w:cs="Cambria" w:eastAsia="Cambria" w:hAnsi="Cambria"/>
                <w:color w:val="2D2D2D"/>
                <w:sz w:val="19"/>
                <w:szCs w:val="19"/>
              </w:rPr>
              <w:t xml:space="preserve"> de los dos — el otro es contrafactual, jamás observable —, así que el efecto individual es inobservable y solo se estiman </w:t>
            </w:r>
            <w:r>
              <w:rPr>
                <w:rFonts w:ascii="Cambria" w:cs="Cambria" w:eastAsia="Cambria" w:hAnsi="Cambria"/>
                <w:b/>
                <w:bCs/>
                <w:color w:val="2D2D2D"/>
                <w:sz w:val="19"/>
                <w:szCs w:val="19"/>
              </w:rPr>
              <w:t xml:space="preserve">promedios</w:t>
            </w:r>
            <w:r>
              <w:rPr>
                <w:rFonts w:ascii="Cambria" w:cs="Cambria" w:eastAsia="Cambria" w:hAnsi="Cambria"/>
                <w:color w:val="2D2D2D"/>
                <w:sz w:val="19"/>
                <w:szCs w:val="19"/>
              </w:rPr>
              <w:t xml:space="preserve"> bajo supuestos: el </w:t>
            </w:r>
            <w:r>
              <w:rPr>
                <w:rFonts w:ascii="Cambria" w:cs="Cambria" w:eastAsia="Cambria" w:hAnsi="Cambria"/>
                <w:b/>
                <w:bCs/>
                <w:color w:val="2D2D2D"/>
                <w:sz w:val="19"/>
                <w:szCs w:val="19"/>
              </w:rPr>
              <w:t xml:space="preserve">ATE</w:t>
            </w:r>
            <w:r>
              <w:rPr>
                <w:rFonts w:ascii="Cambria" w:cs="Cambria" w:eastAsia="Cambria" w:hAnsi="Cambria"/>
                <w:color w:val="2D2D2D"/>
                <w:sz w:val="19"/>
                <w:szCs w:val="19"/>
              </w:rPr>
              <w:t xml:space="preserve"> = E[Y(1) − Y(0)] sobre toda la población y el </w:t>
            </w:r>
            <w:r>
              <w:rPr>
                <w:rFonts w:ascii="Cambria" w:cs="Cambria" w:eastAsia="Cambria" w:hAnsi="Cambria"/>
                <w:b/>
                <w:bCs/>
                <w:color w:val="2D2D2D"/>
                <w:sz w:val="19"/>
                <w:szCs w:val="19"/>
              </w:rPr>
              <w:t xml:space="preserve">ATT</w:t>
            </w:r>
            <w:r>
              <w:rPr>
                <w:rFonts w:ascii="Cambria" w:cs="Cambria" w:eastAsia="Cambria" w:hAnsi="Cambria"/>
                <w:color w:val="2D2D2D"/>
                <w:sz w:val="19"/>
                <w:szCs w:val="19"/>
              </w:rPr>
              <w:t xml:space="preserve"> = E[Y(1) − Y(0) | T=1] sobre quienes efectivamente recibieron el tratamiento. Card &amp; Krueger y el PSM de LaLonde estiman el </w:t>
            </w:r>
            <w:r>
              <w:rPr>
                <w:rFonts w:ascii="Cambria" w:cs="Cambria" w:eastAsia="Cambria" w:hAnsi="Cambria"/>
                <w:b/>
                <w:bCs/>
                <w:color w:val="2D2D2D"/>
                <w:sz w:val="19"/>
                <w:szCs w:val="19"/>
              </w:rPr>
              <w:t xml:space="preserve">ATT</w:t>
            </w:r>
            <w:r>
              <w:rPr>
                <w:rFonts w:ascii="Cambria" w:cs="Cambria" w:eastAsia="Cambria" w:hAnsi="Cambria"/>
                <w:color w:val="2D2D2D"/>
                <w:sz w:val="19"/>
                <w:szCs w:val="19"/>
              </w:rPr>
              <w:t xml:space="preserve">. Actividad en parejas: responder por escrito con las propias palabras (a) qué son Y(0) e Y(1) para un cliente contactado, qué distingue el </w:t>
            </w:r>
            <w:r>
              <w:rPr>
                <w:rFonts w:ascii="Cambria" w:cs="Cambria" w:eastAsia="Cambria" w:hAnsi="Cambria"/>
                <w:b/>
                <w:bCs/>
                <w:color w:val="2D2D2D"/>
                <w:sz w:val="19"/>
                <w:szCs w:val="19"/>
              </w:rPr>
              <w:t xml:space="preserve">ATT</w:t>
            </w:r>
            <w:r>
              <w:rPr>
                <w:rFonts w:ascii="Cambria" w:cs="Cambria" w:eastAsia="Cambria" w:hAnsi="Cambria"/>
                <w:color w:val="2D2D2D"/>
                <w:sz w:val="19"/>
                <w:szCs w:val="19"/>
              </w:rPr>
              <w:t xml:space="preserve"> del </w:t>
            </w:r>
            <w:r>
              <w:rPr>
                <w:rFonts w:ascii="Cambria" w:cs="Cambria" w:eastAsia="Cambria" w:hAnsi="Cambria"/>
                <w:b/>
                <w:bCs/>
                <w:color w:val="2D2D2D"/>
                <w:sz w:val="19"/>
                <w:szCs w:val="19"/>
              </w:rPr>
              <w:t xml:space="preserve">ATE</w:t>
            </w:r>
            <w:r>
              <w:rPr>
                <w:rFonts w:ascii="Cambria" w:cs="Cambria" w:eastAsia="Cambria" w:hAnsi="Cambria"/>
                <w:color w:val="2D2D2D"/>
                <w:sz w:val="19"/>
                <w:szCs w:val="19"/>
              </w:rPr>
              <w:t xml:space="preserve">, y por qué «los contactados se quedaron más» no prueba que la campaña funcione; (b) </w:t>
            </w:r>
            <w:r>
              <w:rPr>
                <w:rFonts w:ascii="Cambria" w:cs="Cambria" w:eastAsia="Cambria" w:hAnsi="Cambria"/>
                <w:b/>
                <w:bCs/>
                <w:color w:val="2D2D2D"/>
                <w:sz w:val="19"/>
                <w:szCs w:val="19"/>
              </w:rPr>
              <w:t xml:space="preserve">reconstruir una decisión de método</w:t>
            </w:r>
            <w:r>
              <w:rPr>
                <w:rFonts w:ascii="Cambria" w:cs="Cambria" w:eastAsia="Cambria" w:hAnsi="Cambria"/>
                <w:color w:val="2D2D2D"/>
                <w:sz w:val="19"/>
                <w:szCs w:val="19"/>
              </w:rPr>
              <w:t xml:space="preserve"> de uno de los dos papers — qué habría fallado si Card &amp; Krueger usan Pensilvania como control </w:t>
            </w:r>
            <w:r>
              <w:rPr>
                <w:rFonts w:ascii="Cambria" w:cs="Cambria" w:eastAsia="Cambria" w:hAnsi="Cambria"/>
                <w:b/>
                <w:bCs/>
                <w:color w:val="2D2D2D"/>
                <w:sz w:val="19"/>
                <w:szCs w:val="19"/>
              </w:rPr>
              <w:t xml:space="preserve">sin</w:t>
            </w:r>
            <w:r>
              <w:rPr>
                <w:rFonts w:ascii="Cambria" w:cs="Cambria" w:eastAsia="Cambria" w:hAnsi="Cambria"/>
                <w:color w:val="2D2D2D"/>
                <w:sz w:val="19"/>
                <w:szCs w:val="19"/>
              </w:rPr>
              <w:t xml:space="preserve"> contrastar antes que ambos estados se parecían, o si Dehejia &amp; Wahba emparejan </w:t>
            </w:r>
            <w:r>
              <w:rPr>
                <w:rFonts w:ascii="Cambria" w:cs="Cambria" w:eastAsia="Cambria" w:hAnsi="Cambria"/>
                <w:b/>
                <w:bCs/>
                <w:color w:val="2D2D2D"/>
                <w:sz w:val="19"/>
                <w:szCs w:val="19"/>
              </w:rPr>
              <w:t xml:space="preserve">sin</w:t>
            </w:r>
            <w:r>
              <w:rPr>
                <w:rFonts w:ascii="Cambria" w:cs="Cambria" w:eastAsia="Cambria" w:hAnsi="Cambria"/>
                <w:color w:val="2D2D2D"/>
                <w:sz w:val="19"/>
                <w:szCs w:val="19"/>
              </w:rPr>
              <w:t xml:space="preserve"> verificar el balance ni recortar al soporte común; (c) trasladarlo al caso de negocio — cuál de las dos rutas, DiD o PSM, cabe aplicar a la campaña de retención con los datos disponibles, y qué supuesto habría que defender ante un directorio.</w:t>
            </w:r>
          </w:p>
        </w:tc>
        <w:tc>
          <w:tcPr>
            <w:tcW w:type="dxa" w:w="3000"/>
            <w:tcBorders>
              <w:top w:val="single" w:color="DFE2E6" w:sz="4"/>
              <w:left w:val="single" w:color="E4002B" w:sz="12"/>
              <w:bottom w:val="single" w:color="DFE2E6" w:sz="4"/>
              <w:right w:val="none" w:color="FFFFFF" w:sz="0"/>
            </w:tcBorders>
            <w:shd w:fill="F2F3F5" w:color="auto" w:val="clear"/>
            <w:tcMar>
              <w:top w:type="dxa" w:w="110"/>
              <w:left w:type="dxa" w:w="150"/>
              <w:bottom w:type="dxa" w:w="110"/>
              <w:right w:type="dxa" w:w="150"/>
            </w:tcMar>
            <w:vAlign w:val="top"/>
          </w:tcPr>
          <w:p>
            <w:pPr>
              <w:spacing w:line="265"/>
            </w:pPr>
            <w:r>
              <w:rPr>
                <w:rFonts w:ascii="Calibri" w:cs="Calibri" w:eastAsia="Calibri" w:hAnsi="Calibri"/>
                <w:b/>
                <w:bCs/>
                <w:color w:val="7A1526"/>
                <w:sz w:val="19"/>
                <w:szCs w:val="19"/>
              </w:rPr>
              <w:t xml:space="preserve">▸ </w:t>
            </w:r>
            <w:r>
              <w:rPr>
                <w:rFonts w:ascii="Cambria" w:cs="Cambria" w:eastAsia="Cambria" w:hAnsi="Cambria"/>
                <w:color w:val="2D2D2D"/>
                <w:sz w:val="19"/>
                <w:szCs w:val="19"/>
              </w:rPr>
              <w:t xml:space="preserve">el contrafactual del caso de negocio escrito con las propias palabras (Y(0), Y(1), qué ATE/ATT se persigue), una frase que explique por qué la aleatorización es el patrón oro y </w:t>
            </w:r>
            <w:r>
              <w:rPr>
                <w:rFonts w:ascii="Cambria" w:cs="Cambria" w:eastAsia="Cambria" w:hAnsi="Cambria"/>
                <w:b/>
                <w:bCs/>
                <w:color w:val="2D2D2D"/>
                <w:sz w:val="19"/>
                <w:szCs w:val="19"/>
              </w:rPr>
              <w:t xml:space="preserve">una decisión de método reconstruida</w:t>
            </w:r>
            <w:r>
              <w:rPr>
                <w:rFonts w:ascii="Cambria" w:cs="Cambria" w:eastAsia="Cambria" w:hAnsi="Cambria"/>
                <w:color w:val="2D2D2D"/>
                <w:sz w:val="19"/>
                <w:szCs w:val="19"/>
              </w:rPr>
              <w:t xml:space="preserve"> de uno de los dos papers — qué comprobó su equipo antes de estimar y qué habría fallado sin esa comprobación.</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single" w:color="E4002B" w:sz="14"/>
              <w:left w:val="none" w:color="FFFFFF" w:sz="0"/>
              <w:bottom w:val="single" w:color="D9D9D9" w:sz="4"/>
              <w:right w:val="none" w:color="FFFFFF" w:sz="0"/>
            </w:tcBorders>
            <w:shd w:fill="F2F3F5" w:color="auto" w:val="clear"/>
            <w:tcMar>
              <w:top w:type="dxa" w:w="110"/>
              <w:left w:type="dxa" w:w="150"/>
              <w:bottom w:type="dxa" w:w="110"/>
              <w:right w:type="dxa" w:w="150"/>
            </w:tcMar>
          </w:tcPr>
          <w:p>
            <w:pPr>
              <w:keepNext/>
              <w:spacing w:after="80"/>
            </w:pPr>
            <w:r>
              <w:rPr>
                <w:rFonts w:ascii="Calibri" w:cs="Calibri" w:eastAsia="Calibri" w:hAnsi="Calibri"/>
                <w:b/>
                <w:bCs/>
                <w:color w:val="7A1526"/>
                <w:sz w:val="15"/>
                <w:szCs w:val="15"/>
              </w:rPr>
              <w:t xml:space="preserve">NOTA TÉCNICA 1.1   </w:t>
            </w:r>
            <w:r>
              <w:rPr>
                <w:rFonts w:ascii="Calibri" w:cs="Calibri" w:eastAsia="Calibri" w:hAnsi="Calibri"/>
                <w:b/>
                <w:bCs/>
                <w:color w:val="7A1526"/>
                <w:sz w:val="19"/>
                <w:szCs w:val="19"/>
              </w:rPr>
              <w:t xml:space="preserve">Por qué esto le importa a un analista de negocios, y el patrón oro de la aleatorización</w:t>
            </w:r>
          </w:p>
          <w:p>
            <w:pPr>
              <w:spacing w:after="70" w:line="265"/>
            </w:pPr>
            <w:r>
              <w:rPr>
                <w:rFonts w:ascii="Cambria" w:cs="Cambria" w:eastAsia="Cambria" w:hAnsi="Cambria"/>
                <w:color w:val="3A3A3A"/>
                <w:sz w:val="18"/>
                <w:szCs w:val="18"/>
              </w:rPr>
              <w:t xml:space="preserve">«Las ventas subieron después de la campaña» no prueba causa: la estacionalidad, los competidores o la economía pueden ser el motor real. Un </w:t>
            </w:r>
            <w:r>
              <w:rPr>
                <w:rFonts w:ascii="Cambria" w:cs="Cambria" w:eastAsia="Cambria" w:hAnsi="Cambria"/>
                <w:b/>
                <w:bCs/>
                <w:color w:val="3A3A3A"/>
                <w:sz w:val="18"/>
                <w:szCs w:val="18"/>
              </w:rPr>
              <w:t xml:space="preserve">A/B test</w:t>
            </w:r>
            <w:r>
              <w:rPr>
                <w:rFonts w:ascii="Cambria" w:cs="Cambria" w:eastAsia="Cambria" w:hAnsi="Cambria"/>
                <w:color w:val="3A3A3A"/>
                <w:sz w:val="18"/>
                <w:szCs w:val="18"/>
              </w:rPr>
              <w:t xml:space="preserve"> responde «¿qué versión?»; una </w:t>
            </w:r>
            <w:r>
              <w:rPr>
                <w:rFonts w:ascii="Cambria" w:cs="Cambria" w:eastAsia="Cambria" w:hAnsi="Cambria"/>
                <w:b/>
                <w:bCs/>
                <w:color w:val="3A3A3A"/>
                <w:sz w:val="18"/>
                <w:szCs w:val="18"/>
              </w:rPr>
              <w:t xml:space="preserve">prueba de incrementalidad</w:t>
            </w:r>
            <w:r>
              <w:rPr>
                <w:rFonts w:ascii="Cambria" w:cs="Cambria" w:eastAsia="Cambria" w:hAnsi="Cambria"/>
                <w:color w:val="3A3A3A"/>
                <w:sz w:val="18"/>
                <w:szCs w:val="18"/>
              </w:rPr>
              <w:t xml:space="preserve"> responde «¿debe existir este gasto?». Lo que vuelve causal a un resultado es el </w:t>
            </w:r>
            <w:r>
              <w:rPr>
                <w:rFonts w:ascii="Cambria" w:cs="Cambria" w:eastAsia="Cambria" w:hAnsi="Cambria"/>
                <w:b/>
                <w:bCs/>
                <w:color w:val="3A3A3A"/>
                <w:sz w:val="18"/>
                <w:szCs w:val="18"/>
              </w:rPr>
              <w:t xml:space="preserve">contrafactual</w:t>
            </w:r>
            <w:r>
              <w:rPr>
                <w:rFonts w:ascii="Cambria" w:cs="Cambria" w:eastAsia="Cambria" w:hAnsi="Cambria"/>
                <w:color w:val="3A3A3A"/>
                <w:sz w:val="18"/>
                <w:szCs w:val="18"/>
              </w:rPr>
              <w:t xml:space="preserve"> (un buen holdout), no la etiqueta de «grupo de control».</w:t>
            </w:r>
          </w:p>
          <w:p>
            <w:pPr>
              <w:spacing w:after="70" w:line="265"/>
            </w:pPr>
            <w:r>
              <w:rPr>
                <w:rFonts w:ascii="Cambria" w:cs="Cambria" w:eastAsia="Cambria" w:hAnsi="Cambria"/>
                <w:color w:val="3A3A3A"/>
                <w:sz w:val="18"/>
                <w:szCs w:val="18"/>
              </w:rPr>
              <w:t xml:space="preserve">En un experimento (A/B/RCT) el tratamiento se asigna </w:t>
            </w:r>
            <w:r>
              <w:rPr>
                <w:rFonts w:ascii="Cambria" w:cs="Cambria" w:eastAsia="Cambria" w:hAnsi="Cambria"/>
                <w:b/>
                <w:bCs/>
                <w:color w:val="3A3A3A"/>
                <w:sz w:val="18"/>
                <w:szCs w:val="18"/>
              </w:rPr>
              <w:t xml:space="preserve">al azar</w:t>
            </w:r>
            <w:r>
              <w:rPr>
                <w:rFonts w:ascii="Cambria" w:cs="Cambria" w:eastAsia="Cambria" w:hAnsi="Cambria"/>
                <w:color w:val="3A3A3A"/>
                <w:sz w:val="18"/>
                <w:szCs w:val="18"/>
              </w:rPr>
              <w:t xml:space="preserve">, lo que iguala en esperanza a tratados y controles en </w:t>
            </w:r>
            <w:r>
              <w:rPr>
                <w:rFonts w:ascii="Cambria" w:cs="Cambria" w:eastAsia="Cambria" w:hAnsi="Cambria"/>
                <w:b/>
                <w:bCs/>
                <w:color w:val="3A3A3A"/>
                <w:sz w:val="18"/>
                <w:szCs w:val="18"/>
              </w:rPr>
              <w:t xml:space="preserve">todas</w:t>
            </w:r>
            <w:r>
              <w:rPr>
                <w:rFonts w:ascii="Cambria" w:cs="Cambria" w:eastAsia="Cambria" w:hAnsi="Cambria"/>
                <w:color w:val="3A3A3A"/>
                <w:sz w:val="18"/>
                <w:szCs w:val="18"/>
              </w:rPr>
              <w:t xml:space="preserve"> las variables (observadas y no) y garantiza la </w:t>
            </w:r>
            <w:r>
              <w:rPr>
                <w:rFonts w:ascii="Cambria" w:cs="Cambria" w:eastAsia="Cambria" w:hAnsi="Cambria"/>
                <w:b/>
                <w:bCs/>
                <w:color w:val="3A3A3A"/>
                <w:sz w:val="18"/>
                <w:szCs w:val="18"/>
              </w:rPr>
              <w:t xml:space="preserve">ignorabilidad por diseño</w:t>
            </w:r>
            <w:r>
              <w:rPr>
                <w:rFonts w:ascii="Cambria" w:cs="Cambria" w:eastAsia="Cambria" w:hAnsi="Cambria"/>
                <w:color w:val="3A3A3A"/>
                <w:sz w:val="18"/>
                <w:szCs w:val="18"/>
              </w:rPr>
              <w:t xml:space="preserve">: la diferencia de medias es insesgada. La sesión </w:t>
            </w:r>
            <w:r>
              <w:rPr>
                <w:rFonts w:ascii="Cambria" w:cs="Cambria" w:eastAsia="Cambria" w:hAnsi="Cambria"/>
                <w:b/>
                <w:bCs/>
                <w:color w:val="3A3A3A"/>
                <w:sz w:val="18"/>
                <w:szCs w:val="18"/>
              </w:rPr>
              <w:t xml:space="preserve">extiende</w:t>
            </w:r>
            <w:r>
              <w:rPr>
                <w:rFonts w:ascii="Cambria" w:cs="Cambria" w:eastAsia="Cambria" w:hAnsi="Cambria"/>
                <w:color w:val="3A3A3A"/>
                <w:sz w:val="18"/>
                <w:szCs w:val="18"/>
              </w:rPr>
              <w:t xml:space="preserve"> el A/B de S02 al marco causal — </w:t>
            </w:r>
            <w:r>
              <w:rPr>
                <w:rFonts w:ascii="Cambria" w:cs="Cambria" w:eastAsia="Cambria" w:hAnsi="Cambria"/>
                <w:b/>
                <w:bCs/>
                <w:color w:val="3A3A3A"/>
                <w:sz w:val="18"/>
                <w:szCs w:val="18"/>
              </w:rPr>
              <w:t xml:space="preserve">poder</w:t>
            </w:r>
            <w:r>
              <w:rPr>
                <w:rFonts w:ascii="Cambria" w:cs="Cambria" w:eastAsia="Cambria" w:hAnsi="Cambria"/>
                <w:color w:val="3A3A3A"/>
                <w:sz w:val="18"/>
                <w:szCs w:val="18"/>
              </w:rPr>
              <w:t xml:space="preserve"> (1 − β) y </w:t>
            </w:r>
            <w:r>
              <w:rPr>
                <w:rFonts w:ascii="Cambria" w:cs="Cambria" w:eastAsia="Cambria" w:hAnsi="Cambria"/>
                <w:b/>
                <w:bCs/>
                <w:color w:val="3A3A3A"/>
                <w:sz w:val="18"/>
                <w:szCs w:val="18"/>
              </w:rPr>
              <w:t xml:space="preserve">MDE</w:t>
            </w:r>
            <w:r>
              <w:rPr>
                <w:rFonts w:ascii="Cambria" w:cs="Cambria" w:eastAsia="Cambria" w:hAnsi="Cambria"/>
                <w:color w:val="3A3A3A"/>
                <w:sz w:val="18"/>
                <w:szCs w:val="18"/>
              </w:rPr>
              <w:t xml:space="preserve"> (efecto mínimo detectable, que crece con la varianza y decrece con el tamaño de muestra por brazo) — y lo usa como referencia de lo que los métodos observacionales intentan </w:t>
            </w:r>
            <w:r>
              <w:rPr>
                <w:rFonts w:ascii="Cambria" w:cs="Cambria" w:eastAsia="Cambria" w:hAnsi="Cambria"/>
                <w:b/>
                <w:bCs/>
                <w:color w:val="3A3A3A"/>
                <w:sz w:val="18"/>
                <w:szCs w:val="18"/>
              </w:rPr>
              <w:t xml:space="preserve">imitar</w:t>
            </w:r>
            <w:r>
              <w:rPr>
                <w:rFonts w:ascii="Cambria" w:cs="Cambria" w:eastAsia="Cambria" w:hAnsi="Cambria"/>
                <w:color w:val="3A3A3A"/>
                <w:sz w:val="18"/>
                <w:szCs w:val="18"/>
              </w:rPr>
              <w:t xml:space="preserve"> cuando la aleatorización es imposible. Un test «no significativo» con MDE mayor que el efecto de interés </w:t>
            </w:r>
            <w:r>
              <w:rPr>
                <w:rFonts w:ascii="Cambria" w:cs="Cambria" w:eastAsia="Cambria" w:hAnsi="Cambria"/>
                <w:b/>
                <w:bCs/>
                <w:color w:val="3A3A3A"/>
                <w:sz w:val="18"/>
                <w:szCs w:val="18"/>
              </w:rPr>
              <w:t xml:space="preserve">no</w:t>
            </w:r>
            <w:r>
              <w:rPr>
                <w:rFonts w:ascii="Cambria" w:cs="Cambria" w:eastAsia="Cambria" w:hAnsi="Cambria"/>
                <w:color w:val="3A3A3A"/>
                <w:sz w:val="18"/>
                <w:szCs w:val="18"/>
              </w:rPr>
              <w:t xml:space="preserve"> significa «no hay efecto»: significa que faltó poder.</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single" w:color="E4002B" w:sz="14"/>
              <w:left w:val="none" w:color="FFFFFF" w:sz="0"/>
              <w:bottom w:val="single" w:color="D9D9D9" w:sz="4"/>
              <w:right w:val="none" w:color="FFFFFF" w:sz="0"/>
            </w:tcBorders>
            <w:shd w:fill="F2F3F5" w:color="auto" w:val="clear"/>
            <w:tcMar>
              <w:top w:type="dxa" w:w="110"/>
              <w:left w:type="dxa" w:w="150"/>
              <w:bottom w:type="dxa" w:w="110"/>
              <w:right w:type="dxa" w:w="150"/>
            </w:tcMar>
          </w:tcPr>
          <w:p>
            <w:pPr>
              <w:keepNext/>
              <w:spacing w:after="80"/>
            </w:pPr>
            <w:r>
              <w:rPr>
                <w:rFonts w:ascii="Calibri" w:cs="Calibri" w:eastAsia="Calibri" w:hAnsi="Calibri"/>
                <w:b/>
                <w:bCs/>
                <w:color w:val="7A1526"/>
                <w:sz w:val="15"/>
                <w:szCs w:val="15"/>
              </w:rPr>
              <w:t xml:space="preserve">NOTA TÉCNICA 1.2   </w:t>
            </w:r>
            <w:r>
              <w:rPr>
                <w:rFonts w:ascii="Calibri" w:cs="Calibri" w:eastAsia="Calibri" w:hAnsi="Calibri"/>
                <w:b/>
                <w:bCs/>
                <w:color w:val="7A1526"/>
                <w:sz w:val="19"/>
                <w:szCs w:val="19"/>
              </w:rPr>
              <w:t xml:space="preserve">Mapa rápido de los supuestos de la sesión</w:t>
            </w:r>
          </w:p>
          <w:p>
            <w:pPr>
              <w:spacing w:after="70" w:line="265"/>
            </w:pPr>
            <w:r>
              <w:rPr>
                <w:rFonts w:ascii="Cambria" w:cs="Cambria" w:eastAsia="Cambria" w:hAnsi="Cambria"/>
                <w:color w:val="3A3A3A"/>
                <w:sz w:val="18"/>
                <w:szCs w:val="18"/>
              </w:rPr>
              <w:t xml:space="preserve">Cada método de este laboratorio descansa en supuestos que se </w:t>
            </w:r>
            <w:r>
              <w:rPr>
                <w:rFonts w:ascii="Cambria" w:cs="Cambria" w:eastAsia="Cambria" w:hAnsi="Cambria"/>
                <w:b/>
                <w:bCs/>
                <w:color w:val="3A3A3A"/>
                <w:sz w:val="18"/>
                <w:szCs w:val="18"/>
              </w:rPr>
              <w:t xml:space="preserve">reconocen</w:t>
            </w:r>
            <w:r>
              <w:rPr>
                <w:rFonts w:ascii="Cambria" w:cs="Cambria" w:eastAsia="Cambria" w:hAnsi="Cambria"/>
                <w:color w:val="3A3A3A"/>
                <w:sz w:val="18"/>
                <w:szCs w:val="18"/>
              </w:rPr>
              <w:t xml:space="preserve"> por una señal y se </w:t>
            </w:r>
            <w:r>
              <w:rPr>
                <w:rFonts w:ascii="Cambria" w:cs="Cambria" w:eastAsia="Cambria" w:hAnsi="Cambria"/>
                <w:b/>
                <w:bCs/>
                <w:color w:val="3A3A3A"/>
                <w:sz w:val="18"/>
                <w:szCs w:val="18"/>
              </w:rPr>
              <w:t xml:space="preserve">resuelven</w:t>
            </w:r>
            <w:r>
              <w:rPr>
                <w:rFonts w:ascii="Cambria" w:cs="Cambria" w:eastAsia="Cambria" w:hAnsi="Cambria"/>
                <w:color w:val="3A3A3A"/>
                <w:sz w:val="18"/>
                <w:szCs w:val="18"/>
              </w:rPr>
              <w:t xml:space="preserve"> con un procedimiento; el desarrollo completo (qué es, cómo se identifica, cómo se decide, alcance) es la guía de supuestos de la sesión. Mapa rápido: </w:t>
            </w:r>
            <w:r>
              <w:rPr>
                <w:rFonts w:ascii="Cambria" w:cs="Cambria" w:eastAsia="Cambria" w:hAnsi="Cambria"/>
                <w:b/>
                <w:bCs/>
                <w:color w:val="3A3A3A"/>
                <w:sz w:val="18"/>
                <w:szCs w:val="18"/>
              </w:rPr>
              <w:t xml:space="preserve">no confusión / ignorabilidad</w:t>
            </w:r>
            <w:r>
              <w:rPr>
                <w:rFonts w:ascii="Cambria" w:cs="Cambria" w:eastAsia="Cambria" w:hAnsi="Cambria"/>
                <w:color w:val="3A3A3A"/>
                <w:sz w:val="18"/>
                <w:szCs w:val="18"/>
              </w:rPr>
              <w:t xml:space="preserve"> y </w:t>
            </w:r>
            <w:r>
              <w:rPr>
                <w:rFonts w:ascii="Cambria" w:cs="Cambria" w:eastAsia="Cambria" w:hAnsi="Cambria"/>
                <w:b/>
                <w:bCs/>
                <w:color w:val="3A3A3A"/>
                <w:sz w:val="18"/>
                <w:szCs w:val="18"/>
              </w:rPr>
              <w:t xml:space="preserve">positividad / solapamiento</w:t>
            </w:r>
            <w:r>
              <w:rPr>
                <w:rFonts w:ascii="Cambria" w:cs="Cambria" w:eastAsia="Cambria" w:hAnsi="Cambria"/>
                <w:color w:val="3A3A3A"/>
                <w:sz w:val="18"/>
                <w:szCs w:val="18"/>
              </w:rPr>
              <w:t xml:space="preserve"> y </w:t>
            </w:r>
            <w:r>
              <w:rPr>
                <w:rFonts w:ascii="Cambria" w:cs="Cambria" w:eastAsia="Cambria" w:hAnsi="Cambria"/>
                <w:b/>
                <w:bCs/>
                <w:color w:val="3A3A3A"/>
                <w:sz w:val="18"/>
                <w:szCs w:val="18"/>
              </w:rPr>
              <w:t xml:space="preserve">SUTVA</w:t>
            </w:r>
            <w:r>
              <w:rPr>
                <w:rFonts w:ascii="Cambria" w:cs="Cambria" w:eastAsia="Cambria" w:hAnsi="Cambria"/>
                <w:color w:val="3A3A3A"/>
                <w:sz w:val="18"/>
                <w:szCs w:val="18"/>
              </w:rPr>
              <w:t xml:space="preserve"> (Partes 2.1–2.3, transversales a PSM, IPW y regresión de ajuste); </w:t>
            </w:r>
            <w:r>
              <w:rPr>
                <w:rFonts w:ascii="Cambria" w:cs="Cambria" w:eastAsia="Cambria" w:hAnsi="Cambria"/>
                <w:b/>
                <w:bCs/>
                <w:color w:val="3A3A3A"/>
                <w:sz w:val="18"/>
                <w:szCs w:val="18"/>
              </w:rPr>
              <w:t xml:space="preserve">tendencias paralelas</w:t>
            </w:r>
            <w:r>
              <w:rPr>
                <w:rFonts w:ascii="Cambria" w:cs="Cambria" w:eastAsia="Cambria" w:hAnsi="Cambria"/>
                <w:color w:val="3A3A3A"/>
                <w:sz w:val="18"/>
                <w:szCs w:val="18"/>
              </w:rPr>
              <w:t xml:space="preserve"> del DiD (Parte 3.1, drill 2); </w:t>
            </w:r>
            <w:r>
              <w:rPr>
                <w:rFonts w:ascii="Cambria" w:cs="Cambria" w:eastAsia="Cambria" w:hAnsi="Cambria"/>
                <w:b/>
                <w:bCs/>
                <w:color w:val="3A3A3A"/>
                <w:sz w:val="18"/>
                <w:szCs w:val="18"/>
              </w:rPr>
              <w:t xml:space="preserve">balance del PSM</w:t>
            </w:r>
            <w:r>
              <w:rPr>
                <w:rFonts w:ascii="Cambria" w:cs="Cambria" w:eastAsia="Cambria" w:hAnsi="Cambria"/>
                <w:color w:val="3A3A3A"/>
                <w:sz w:val="18"/>
                <w:szCs w:val="18"/>
              </w:rPr>
              <w:t xml:space="preserve"> con umbral |SMD| &lt; 0,1 (Parte 4.2, drill 3); </w:t>
            </w:r>
            <w:r>
              <w:rPr>
                <w:rFonts w:ascii="Cambria" w:cs="Cambria" w:eastAsia="Cambria" w:hAnsi="Cambria"/>
                <w:b/>
                <w:bCs/>
                <w:color w:val="3A3A3A"/>
                <w:sz w:val="18"/>
                <w:szCs w:val="18"/>
              </w:rPr>
              <w:t xml:space="preserve">qué controlar según el DAG</w:t>
            </w:r>
            <w:r>
              <w:rPr>
                <w:rFonts w:ascii="Cambria" w:cs="Cambria" w:eastAsia="Cambria" w:hAnsi="Cambria"/>
                <w:color w:val="3A3A3A"/>
                <w:sz w:val="18"/>
                <w:szCs w:val="18"/>
              </w:rPr>
              <w:t xml:space="preserve"> — confusor </w:t>
            </w:r>
            <w:r>
              <w:rPr>
                <w:rFonts w:ascii="Consolas" w:cs="Consolas" w:eastAsia="Consolas" w:hAnsi="Consolas"/>
                <w:color w:val="7A1526"/>
                <w:sz w:val="16"/>
                <w:szCs w:val="16"/>
              </w:rPr>
              <w:t xml:space="preserve">engagement</w:t>
            </w:r>
            <w:r>
              <w:rPr>
                <w:rFonts w:ascii="Cambria" w:cs="Cambria" w:eastAsia="Cambria" w:hAnsi="Cambria"/>
                <w:color w:val="3A3A3A"/>
                <w:sz w:val="18"/>
                <w:szCs w:val="18"/>
              </w:rPr>
              <w:t xml:space="preserve">, collider </w:t>
            </w:r>
            <w:r>
              <w:rPr>
                <w:rFonts w:ascii="Consolas" w:cs="Consolas" w:eastAsia="Consolas" w:hAnsi="Consolas"/>
                <w:color w:val="7A1526"/>
                <w:sz w:val="16"/>
                <w:szCs w:val="16"/>
              </w:rPr>
              <w:t xml:space="preserve">uso_post</w:t>
            </w:r>
            <w:r>
              <w:rPr>
                <w:rFonts w:ascii="Cambria" w:cs="Cambria" w:eastAsia="Cambria" w:hAnsi="Cambria"/>
                <w:color w:val="3A3A3A"/>
                <w:sz w:val="18"/>
                <w:szCs w:val="18"/>
              </w:rPr>
              <w:t xml:space="preserve">, mediador </w:t>
            </w:r>
            <w:r>
              <w:rPr>
                <w:rFonts w:ascii="Consolas" w:cs="Consolas" w:eastAsia="Consolas" w:hAnsi="Consolas"/>
                <w:color w:val="7A1526"/>
                <w:sz w:val="16"/>
                <w:szCs w:val="16"/>
              </w:rPr>
              <w:t xml:space="preserve">visitas</w:t>
            </w:r>
            <w:r>
              <w:rPr>
                <w:rFonts w:ascii="Cambria" w:cs="Cambria" w:eastAsia="Cambria" w:hAnsi="Cambria"/>
                <w:color w:val="3A3A3A"/>
                <w:sz w:val="18"/>
                <w:szCs w:val="18"/>
              </w:rPr>
              <w:t xml:space="preserve">, criterio de puerta trasera — (Parte 5, drill 1); y </w:t>
            </w:r>
            <w:r>
              <w:rPr>
                <w:rFonts w:ascii="Cambria" w:cs="Cambria" w:eastAsia="Cambria" w:hAnsi="Cambria"/>
                <w:b/>
                <w:bCs/>
                <w:color w:val="3A3A3A"/>
                <w:sz w:val="18"/>
                <w:szCs w:val="18"/>
              </w:rPr>
              <w:t xml:space="preserve">refutaciones</w:t>
            </w:r>
            <w:r>
              <w:rPr>
                <w:rFonts w:ascii="Cambria" w:cs="Cambria" w:eastAsia="Cambria" w:hAnsi="Cambria"/>
                <w:color w:val="3A3A3A"/>
                <w:sz w:val="18"/>
                <w:szCs w:val="18"/>
              </w:rPr>
              <w:t xml:space="preserve"> placebo / random common cause (Parte 6). Las plantillas hermanas </w:t>
            </w:r>
            <w:r>
              <w:rPr>
                <w:rFonts w:ascii="Consolas" w:cs="Consolas" w:eastAsia="Consolas" w:hAnsi="Consolas"/>
                <w:color w:val="7A1526"/>
                <w:sz w:val="16"/>
                <w:szCs w:val="16"/>
              </w:rPr>
              <w:t xml:space="preserve">plantillas/plantilla_analisis_causal.docx</w:t>
            </w:r>
            <w:r>
              <w:rPr>
                <w:rFonts w:ascii="Cambria" w:cs="Cambria" w:eastAsia="Cambria" w:hAnsi="Cambria"/>
                <w:color w:val="3A3A3A"/>
                <w:sz w:val="18"/>
                <w:szCs w:val="18"/>
              </w:rPr>
              <w:t xml:space="preserve"> y </w:t>
            </w:r>
            <w:r>
              <w:rPr>
                <w:rFonts w:ascii="Consolas" w:cs="Consolas" w:eastAsia="Consolas" w:hAnsi="Consolas"/>
                <w:color w:val="7A1526"/>
                <w:sz w:val="16"/>
                <w:szCs w:val="16"/>
              </w:rPr>
              <w:t xml:space="preserve">plantillas/guia_dags.docx</w:t>
            </w:r>
            <w:r>
              <w:rPr>
                <w:rFonts w:ascii="Cambria" w:cs="Cambria" w:eastAsia="Cambria" w:hAnsi="Cambria"/>
                <w:color w:val="3A3A3A"/>
                <w:sz w:val="18"/>
                <w:szCs w:val="18"/>
              </w:rPr>
              <w:t xml:space="preserve"> traen la tabla «Supuestos y decisiones» de esos puntos.</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single" w:color="E4002B" w:sz="14"/>
              <w:left w:val="none" w:color="FFFFFF" w:sz="0"/>
              <w:bottom w:val="single" w:color="D9D9D9" w:sz="4"/>
              <w:right w:val="none" w:color="FFFFFF" w:sz="0"/>
            </w:tcBorders>
            <w:shd w:fill="F2F3F5" w:color="auto" w:val="clear"/>
            <w:tcMar>
              <w:top w:type="dxa" w:w="110"/>
              <w:left w:type="dxa" w:w="150"/>
              <w:bottom w:type="dxa" w:w="110"/>
              <w:right w:type="dxa" w:w="150"/>
            </w:tcMar>
          </w:tcPr>
          <w:p>
            <w:pPr>
              <w:keepNext/>
              <w:spacing w:after="80"/>
            </w:pPr>
            <w:r>
              <w:rPr>
                <w:rFonts w:ascii="Calibri" w:cs="Calibri" w:eastAsia="Calibri" w:hAnsi="Calibri"/>
                <w:b/>
                <w:bCs/>
                <w:color w:val="7A1526"/>
                <w:sz w:val="15"/>
                <w:szCs w:val="15"/>
              </w:rPr>
              <w:t xml:space="preserve">NOTA TÉCNICA 1.3   </w:t>
            </w:r>
            <w:r>
              <w:rPr>
                <w:rFonts w:ascii="Calibri" w:cs="Calibri" w:eastAsia="Calibri" w:hAnsi="Calibri"/>
                <w:b/>
                <w:bCs/>
                <w:color w:val="7A1526"/>
                <w:sz w:val="19"/>
                <w:szCs w:val="19"/>
              </w:rPr>
              <w:t xml:space="preserve">Los cinco números ancla de la sesión y la regla de oro (valor operativo vs. publicado)</w:t>
            </w:r>
          </w:p>
          <w:p>
            <w:pPr>
              <w:spacing w:after="70" w:line="265"/>
            </w:pPr>
            <w:r>
              <w:rPr>
                <w:rFonts w:ascii="Cambria" w:cs="Cambria" w:eastAsia="Cambria" w:hAnsi="Cambria"/>
                <w:color w:val="3A3A3A"/>
                <w:sz w:val="18"/>
                <w:szCs w:val="18"/>
              </w:rPr>
              <w:t xml:space="preserve">Lo que se va a reproducir (targets declarado para la sesión de la sesión): cinco números ancla. </w:t>
            </w:r>
            <w:r>
              <w:rPr>
                <w:rFonts w:ascii="Cambria" w:cs="Cambria" w:eastAsia="Cambria" w:hAnsi="Cambria"/>
                <w:b/>
                <w:bCs/>
                <w:color w:val="3A3A3A"/>
                <w:sz w:val="18"/>
                <w:szCs w:val="18"/>
              </w:rPr>
              <w:t xml:space="preserve">#1</w:t>
            </w:r>
            <w:r>
              <w:rPr>
                <w:rFonts w:ascii="Cambria" w:cs="Cambria" w:eastAsia="Cambria" w:hAnsi="Cambria"/>
                <w:color w:val="3A3A3A"/>
                <w:sz w:val="18"/>
                <w:szCs w:val="18"/>
              </w:rPr>
              <w:t xml:space="preserve"> DiD Card &amp; Krueger </w:t>
            </w:r>
            <w:r>
              <w:rPr>
                <w:rFonts w:ascii="Cambria" w:cs="Cambria" w:eastAsia="Cambria" w:hAnsi="Cambria"/>
                <w:b/>
                <w:bCs/>
                <w:color w:val="3A3A3A"/>
                <w:sz w:val="18"/>
                <w:szCs w:val="18"/>
              </w:rPr>
              <w:t xml:space="preserve">+2,75</w:t>
            </w:r>
            <w:r>
              <w:rPr>
                <w:rFonts w:ascii="Cambria" w:cs="Cambria" w:eastAsia="Cambria" w:hAnsi="Cambria"/>
                <w:color w:val="3A3A3A"/>
                <w:sz w:val="18"/>
                <w:szCs w:val="18"/>
              </w:rPr>
              <w:t xml:space="preserve"> (positivo); </w:t>
            </w:r>
            <w:r>
              <w:rPr>
                <w:rFonts w:ascii="Cambria" w:cs="Cambria" w:eastAsia="Cambria" w:hAnsi="Cambria"/>
                <w:b/>
                <w:bCs/>
                <w:color w:val="3A3A3A"/>
                <w:sz w:val="18"/>
                <w:szCs w:val="18"/>
              </w:rPr>
              <w:t xml:space="preserve">#2</w:t>
            </w:r>
            <w:r>
              <w:rPr>
                <w:rFonts w:ascii="Cambria" w:cs="Cambria" w:eastAsia="Cambria" w:hAnsi="Cambria"/>
                <w:color w:val="3A3A3A"/>
                <w:sz w:val="18"/>
                <w:szCs w:val="18"/>
              </w:rPr>
              <w:t xml:space="preserve"> ATT experimental LaLonde </w:t>
            </w:r>
            <w:r>
              <w:rPr>
                <w:rFonts w:ascii="Cambria" w:cs="Cambria" w:eastAsia="Cambria" w:hAnsi="Cambria"/>
                <w:b/>
                <w:bCs/>
                <w:color w:val="3A3A3A"/>
                <w:sz w:val="18"/>
                <w:szCs w:val="18"/>
              </w:rPr>
              <w:t xml:space="preserve">+1 794 USD</w:t>
            </w:r>
            <w:r>
              <w:rPr>
                <w:rFonts w:ascii="Cambria" w:cs="Cambria" w:eastAsia="Cambria" w:hAnsi="Cambria"/>
                <w:color w:val="3A3A3A"/>
                <w:sz w:val="18"/>
                <w:szCs w:val="18"/>
              </w:rPr>
              <w:t xml:space="preserve">; </w:t>
            </w:r>
            <w:r>
              <w:rPr>
                <w:rFonts w:ascii="Cambria" w:cs="Cambria" w:eastAsia="Cambria" w:hAnsi="Cambria"/>
                <w:b/>
                <w:bCs/>
                <w:color w:val="3A3A3A"/>
                <w:sz w:val="18"/>
                <w:szCs w:val="18"/>
              </w:rPr>
              <w:t xml:space="preserve">#3</w:t>
            </w:r>
            <w:r>
              <w:rPr>
                <w:rFonts w:ascii="Cambria" w:cs="Cambria" w:eastAsia="Cambria" w:hAnsi="Cambria"/>
                <w:color w:val="3A3A3A"/>
                <w:sz w:val="18"/>
                <w:szCs w:val="18"/>
              </w:rPr>
              <w:t xml:space="preserve"> naive observacional </w:t>
            </w:r>
            <w:r>
              <w:rPr>
                <w:rFonts w:ascii="Cambria" w:cs="Cambria" w:eastAsia="Cambria" w:hAnsi="Cambria"/>
                <w:b/>
                <w:bCs/>
                <w:color w:val="3A3A3A"/>
                <w:sz w:val="18"/>
                <w:szCs w:val="18"/>
              </w:rPr>
              <w:t xml:space="preserve">−8 498 USD</w:t>
            </w:r>
            <w:r>
              <w:rPr>
                <w:rFonts w:ascii="Cambria" w:cs="Cambria" w:eastAsia="Cambria" w:hAnsi="Cambria"/>
                <w:color w:val="3A3A3A"/>
                <w:sz w:val="18"/>
                <w:szCs w:val="18"/>
              </w:rPr>
              <w:t xml:space="preserve"> (signo invertido); </w:t>
            </w:r>
            <w:r>
              <w:rPr>
                <w:rFonts w:ascii="Cambria" w:cs="Cambria" w:eastAsia="Cambria" w:hAnsi="Cambria"/>
                <w:b/>
                <w:bCs/>
                <w:color w:val="3A3A3A"/>
                <w:sz w:val="18"/>
                <w:szCs w:val="18"/>
              </w:rPr>
              <w:t xml:space="preserve">#4</w:t>
            </w:r>
            <w:r>
              <w:rPr>
                <w:rFonts w:ascii="Cambria" w:cs="Cambria" w:eastAsia="Cambria" w:hAnsi="Cambria"/>
                <w:color w:val="3A3A3A"/>
                <w:sz w:val="18"/>
                <w:szCs w:val="18"/>
              </w:rPr>
              <w:t xml:space="preserve"> PSM </w:t>
            </w:r>
            <w:r>
              <w:rPr>
                <w:rFonts w:ascii="Cambria" w:cs="Cambria" w:eastAsia="Cambria" w:hAnsi="Cambria"/>
                <w:b/>
                <w:bCs/>
                <w:color w:val="3A3A3A"/>
                <w:sz w:val="18"/>
                <w:szCs w:val="18"/>
              </w:rPr>
              <w:t xml:space="preserve">+1 745 USD</w:t>
            </w:r>
            <w:r>
              <w:rPr>
                <w:rFonts w:ascii="Cambria" w:cs="Cambria" w:eastAsia="Cambria" w:hAnsi="Cambria"/>
                <w:color w:val="3A3A3A"/>
                <w:sz w:val="18"/>
                <w:szCs w:val="18"/>
              </w:rPr>
              <w:t xml:space="preserve"> (recupera el experimental); </w:t>
            </w:r>
            <w:r>
              <w:rPr>
                <w:rFonts w:ascii="Cambria" w:cs="Cambria" w:eastAsia="Cambria" w:hAnsi="Cambria"/>
                <w:b/>
                <w:bCs/>
                <w:color w:val="3A3A3A"/>
                <w:sz w:val="18"/>
                <w:szCs w:val="18"/>
              </w:rPr>
              <w:t xml:space="preserve">#5</w:t>
            </w:r>
            <w:r>
              <w:rPr>
                <w:rFonts w:ascii="Cambria" w:cs="Cambria" w:eastAsia="Cambria" w:hAnsi="Cambria"/>
                <w:color w:val="3A3A3A"/>
                <w:sz w:val="18"/>
                <w:szCs w:val="18"/>
              </w:rPr>
              <w:t xml:space="preserve"> negocio </w:t>
            </w:r>
            <w:r>
              <w:rPr>
                <w:rFonts w:ascii="Cambria" w:cs="Cambria" w:eastAsia="Cambria" w:hAnsi="Cambria"/>
                <w:b/>
                <w:bCs/>
                <w:color w:val="3A3A3A"/>
                <w:sz w:val="18"/>
                <w:szCs w:val="18"/>
              </w:rPr>
              <w:t xml:space="preserve">naive +23,6 / ajustado +7,95 / verdadero 8,0</w:t>
            </w:r>
            <w:r>
              <w:rPr>
                <w:rFonts w:ascii="Cambria" w:cs="Cambria" w:eastAsia="Cambria" w:hAnsi="Cambria"/>
                <w:color w:val="3A3A3A"/>
                <w:sz w:val="18"/>
                <w:szCs w:val="18"/>
              </w:rPr>
              <w:t xml:space="preserve">.</w:t>
            </w:r>
          </w:p>
          <w:p>
            <w:pPr>
              <w:spacing w:after="70" w:line="265"/>
            </w:pPr>
            <w:r>
              <w:rPr>
                <w:rFonts w:ascii="Cambria" w:cs="Cambria" w:eastAsia="Cambria" w:hAnsi="Cambria"/>
                <w:color w:val="3A3A3A"/>
                <w:sz w:val="18"/>
                <w:szCs w:val="18"/>
              </w:rPr>
              <w:t xml:space="preserve">Regla de oro de la sesión (valor operativo vs. publicado): el número de la sesión es el que produce el </w:t>
            </w:r>
            <w:r>
              <w:rPr>
                <w:rFonts w:ascii="Cambria" w:cs="Cambria" w:eastAsia="Cambria" w:hAnsi="Cambria"/>
                <w:b/>
                <w:bCs/>
                <w:color w:val="3A3A3A"/>
                <w:sz w:val="18"/>
                <w:szCs w:val="18"/>
              </w:rPr>
              <w:t xml:space="preserve">venv/Excel</w:t>
            </w:r>
            <w:r>
              <w:rPr>
                <w:rFonts w:ascii="Cambria" w:cs="Cambria" w:eastAsia="Cambria" w:hAnsi="Cambria"/>
                <w:color w:val="3A3A3A"/>
                <w:sz w:val="18"/>
                <w:szCs w:val="18"/>
              </w:rPr>
              <w:t xml:space="preserve"> (valor OPERATIVO); cualquier cifra de la literatura (DiD/ATT de los papers, IPW de la documentación de DoWhy) se muestra </w:t>
            </w:r>
            <w:r>
              <w:rPr>
                <w:rFonts w:ascii="Cambria" w:cs="Cambria" w:eastAsia="Cambria" w:hAnsi="Cambria"/>
                <w:b/>
                <w:bCs/>
                <w:color w:val="3A3A3A"/>
                <w:sz w:val="18"/>
                <w:szCs w:val="18"/>
              </w:rPr>
              <w:t xml:space="preserve">en columna aparte rotulada «benchmark publicado (otro pipeline)»</w:t>
            </w:r>
            <w:r>
              <w:rPr>
                <w:rFonts w:ascii="Cambria" w:cs="Cambria" w:eastAsia="Cambria" w:hAnsi="Cambria"/>
                <w:color w:val="3A3A3A"/>
                <w:sz w:val="18"/>
                <w:szCs w:val="18"/>
              </w:rPr>
              <w:t xml:space="preserve">, nunca mezclada como resultado propio. El </w:t>
            </w:r>
            <w:r>
              <w:rPr>
                <w:rFonts w:ascii="Cambria" w:cs="Cambria" w:eastAsia="Cambria" w:hAnsi="Cambria"/>
                <w:b/>
                <w:bCs/>
                <w:color w:val="3A3A3A"/>
                <w:sz w:val="18"/>
                <w:szCs w:val="18"/>
              </w:rPr>
              <w:t xml:space="preserve">efecto verdadero del caso de negocio</w:t>
            </w:r>
            <w:r>
              <w:rPr>
                <w:rFonts w:ascii="Cambria" w:cs="Cambria" w:eastAsia="Cambria" w:hAnsi="Cambria"/>
                <w:color w:val="3A3A3A"/>
                <w:sz w:val="18"/>
                <w:szCs w:val="18"/>
              </w:rPr>
              <w:t xml:space="preserve"> (8,0) es la excepción: es una </w:t>
            </w:r>
            <w:r>
              <w:rPr>
                <w:rFonts w:ascii="Cambria" w:cs="Cambria" w:eastAsia="Cambria" w:hAnsi="Cambria"/>
                <w:b/>
                <w:bCs/>
                <w:color w:val="3A3A3A"/>
                <w:sz w:val="18"/>
                <w:szCs w:val="18"/>
              </w:rPr>
              <w:t xml:space="preserve">constante de diseño del DGP</w:t>
            </w:r>
            <w:r>
              <w:rPr>
                <w:rFonts w:ascii="Cambria" w:cs="Cambria" w:eastAsia="Cambria" w:hAnsi="Cambria"/>
                <w:color w:val="3A3A3A"/>
                <w:sz w:val="18"/>
                <w:szCs w:val="18"/>
              </w:rPr>
              <w:t xml:space="preserve">, un ancla dura. La confirmación numérica con tolerancias vive en el validador el material de referencia de la sesión, que el notebook/QA ejecuta con el venv; en el laboratorio los valores se contrastan </w:t>
            </w:r>
            <w:r>
              <w:rPr>
                <w:rFonts w:ascii="Cambria" w:cs="Cambria" w:eastAsia="Cambria" w:hAnsi="Cambria"/>
                <w:b/>
                <w:bCs/>
                <w:color w:val="3A3A3A"/>
                <w:sz w:val="18"/>
                <w:szCs w:val="18"/>
              </w:rPr>
              <w:t xml:space="preserve">por lectura</w:t>
            </w:r>
            <w:r>
              <w:rPr>
                <w:rFonts w:ascii="Cambria" w:cs="Cambria" w:eastAsia="Cambria" w:hAnsi="Cambria"/>
                <w:color w:val="3A3A3A"/>
                <w:sz w:val="18"/>
                <w:szCs w:val="18"/>
              </w:rPr>
              <w:t xml:space="preserve">, sin assert en las celdas.</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single" w:color="E4002B" w:sz="14"/>
              <w:left w:val="none" w:color="FFFFFF" w:sz="0"/>
              <w:bottom w:val="single" w:color="D9D9D9" w:sz="4"/>
              <w:right w:val="none" w:color="FFFFFF" w:sz="0"/>
            </w:tcBorders>
            <w:shd w:fill="F2F3F5" w:color="auto" w:val="clear"/>
            <w:tcMar>
              <w:top w:type="dxa" w:w="110"/>
              <w:left w:type="dxa" w:w="150"/>
              <w:bottom w:type="dxa" w:w="110"/>
              <w:right w:type="dxa" w:w="150"/>
            </w:tcMar>
          </w:tcPr>
          <w:p>
            <w:pPr>
              <w:keepNext/>
              <w:spacing w:after="80"/>
            </w:pPr>
            <w:r>
              <w:rPr>
                <w:rFonts w:ascii="Calibri" w:cs="Calibri" w:eastAsia="Calibri" w:hAnsi="Calibri"/>
                <w:b/>
                <w:bCs/>
                <w:color w:val="7A1526"/>
                <w:sz w:val="15"/>
                <w:szCs w:val="15"/>
              </w:rPr>
              <w:t xml:space="preserve">NOTA TÉCNICA 1.4   </w:t>
            </w:r>
            <w:r>
              <w:rPr>
                <w:rFonts w:ascii="Calibri" w:cs="Calibri" w:eastAsia="Calibri" w:hAnsi="Calibri"/>
                <w:b/>
                <w:bCs/>
                <w:color w:val="7A1526"/>
                <w:sz w:val="19"/>
                <w:szCs w:val="19"/>
              </w:rPr>
              <w:t xml:space="preserve">Qué preguntaban los dos papers, y por qué usaron lo que usaron</w:t>
            </w:r>
          </w:p>
          <w:p>
            <w:pPr>
              <w:spacing w:after="70" w:line="265"/>
            </w:pPr>
            <w:r>
              <w:rPr>
                <w:rFonts w:ascii="Cambria" w:cs="Cambria" w:eastAsia="Cambria" w:hAnsi="Cambria"/>
                <w:color w:val="3A3A3A"/>
                <w:sz w:val="18"/>
                <w:szCs w:val="18"/>
              </w:rPr>
              <w:t xml:space="preserve">Antes de descargar un solo dato conviene entender </w:t>
            </w:r>
            <w:r>
              <w:rPr>
                <w:rFonts w:ascii="Cambria" w:cs="Cambria" w:eastAsia="Cambria" w:hAnsi="Cambria"/>
                <w:b/>
                <w:bCs/>
                <w:color w:val="3A3A3A"/>
                <w:sz w:val="18"/>
                <w:szCs w:val="18"/>
              </w:rPr>
              <w:t xml:space="preserve">qué buscaba</w:t>
            </w:r>
            <w:r>
              <w:rPr>
                <w:rFonts w:ascii="Cambria" w:cs="Cambria" w:eastAsia="Cambria" w:hAnsi="Cambria"/>
                <w:color w:val="3A3A3A"/>
                <w:sz w:val="18"/>
                <w:szCs w:val="18"/>
              </w:rPr>
              <w:t xml:space="preserve"> cada equipo, porque de ahí salen todas sus decisiones de método. Esta sesión replica </w:t>
            </w:r>
            <w:r>
              <w:rPr>
                <w:rFonts w:ascii="Cambria" w:cs="Cambria" w:eastAsia="Cambria" w:hAnsi="Cambria"/>
                <w:b/>
                <w:bCs/>
                <w:color w:val="3A3A3A"/>
                <w:sz w:val="18"/>
                <w:szCs w:val="18"/>
              </w:rPr>
              <w:t xml:space="preserve">dos</w:t>
            </w:r>
            <w:r>
              <w:rPr>
                <w:rFonts w:ascii="Cambria" w:cs="Cambria" w:eastAsia="Cambria" w:hAnsi="Cambria"/>
                <w:color w:val="3A3A3A"/>
                <w:sz w:val="18"/>
                <w:szCs w:val="18"/>
              </w:rPr>
              <w:t xml:space="preserve"> estudios, y no son dos fichas paralelas: son dos respuestas distintas al </w:t>
            </w:r>
            <w:r>
              <w:rPr>
                <w:rFonts w:ascii="Cambria" w:cs="Cambria" w:eastAsia="Cambria" w:hAnsi="Cambria"/>
                <w:b/>
                <w:bCs/>
                <w:color w:val="3A3A3A"/>
                <w:sz w:val="18"/>
                <w:szCs w:val="18"/>
              </w:rPr>
              <w:t xml:space="preserve">mismo obstáculo</w:t>
            </w:r>
            <w:r>
              <w:rPr>
                <w:rFonts w:ascii="Cambria" w:cs="Cambria" w:eastAsia="Cambria" w:hAnsi="Cambria"/>
                <w:color w:val="3A3A3A"/>
                <w:sz w:val="18"/>
                <w:szCs w:val="18"/>
              </w:rPr>
              <w:t xml:space="preserve">.</w:t>
            </w:r>
          </w:p>
          <w:p>
            <w:pPr>
              <w:spacing w:after="70" w:line="265"/>
            </w:pPr>
            <w:r>
              <w:rPr>
                <w:rFonts w:ascii="Cambria" w:cs="Cambria" w:eastAsia="Cambria" w:hAnsi="Cambria"/>
                <w:b/>
                <w:bCs/>
                <w:color w:val="3A3A3A"/>
                <w:sz w:val="18"/>
                <w:szCs w:val="18"/>
              </w:rPr>
              <w:t xml:space="preserve">Ninguno de los dos equipos se propuso inventar ni divulgar un método.</w:t>
            </w:r>
            <w:r>
              <w:rPr>
                <w:rFonts w:ascii="Cambria" w:cs="Cambria" w:eastAsia="Cambria" w:hAnsi="Cambria"/>
                <w:color w:val="3A3A3A"/>
                <w:sz w:val="18"/>
                <w:szCs w:val="18"/>
              </w:rPr>
              <w:t xml:space="preserve"> Card &amp; Krueger perseguían una respuesta de política pública, y el artículo abre con ella: «How do employers in a low-wage labor market respond to an increase in the minimum wage? The prediction from conventional economic theory is unambiguous» (p. 1). La decisión que dependía del número era literal y estaba en curso: la legislatura de Nueva Jersey votó en marzo de 1992 partir el alza en dos años, y el voto quedó apenas por debajo del margen necesario para superar el veto del gobernador (p. 4). Dehejia &amp; Wahba perseguían otra pregunta: con cuánta fidelidad un estudio </w:t>
            </w:r>
            <w:r>
              <w:rPr>
                <w:rFonts w:ascii="Cambria" w:cs="Cambria" w:eastAsia="Cambria" w:hAnsi="Cambria"/>
                <w:b/>
                <w:bCs/>
                <w:color w:val="3A3A3A"/>
                <w:sz w:val="18"/>
                <w:szCs w:val="18"/>
              </w:rPr>
              <w:t xml:space="preserve">sin</w:t>
            </w:r>
            <w:r>
              <w:rPr>
                <w:rFonts w:ascii="Cambria" w:cs="Cambria" w:eastAsia="Cambria" w:hAnsi="Cambria"/>
                <w:color w:val="3A3A3A"/>
                <w:sz w:val="18"/>
                <w:szCs w:val="18"/>
              </w:rPr>
              <w:t xml:space="preserve"> experimento estima el impacto de un programa. Lo que estaba en juego era el veredicto de LaLonde (1986), para quien los estimadores no experimentales al uso resultaban «either inaccurate (relative to the experimental benchmark), or sensitive to the specification used in the regression» (p. 1). Si eso era definitivo, ninguna evaluación de un programa social sin aleatorización merecía crédito.</w:t>
            </w:r>
          </w:p>
          <w:p>
            <w:pPr>
              <w:spacing w:after="70" w:line="265"/>
            </w:pPr>
            <w:r>
              <w:rPr>
                <w:rFonts w:ascii="Cambria" w:cs="Cambria" w:eastAsia="Cambria" w:hAnsi="Cambria"/>
                <w:b/>
                <w:bCs/>
                <w:color w:val="3A3A3A"/>
                <w:sz w:val="18"/>
                <w:szCs w:val="18"/>
              </w:rPr>
              <w:t xml:space="preserve">El obstáculo es el mismo en los dos casos: comparar tratados con no tratados no responde una pregunta causal.</w:t>
            </w:r>
            <w:r>
              <w:rPr>
                <w:rFonts w:ascii="Cambria" w:cs="Cambria" w:eastAsia="Cambria" w:hAnsi="Cambria"/>
                <w:color w:val="3A3A3A"/>
                <w:sz w:val="18"/>
                <w:szCs w:val="18"/>
              </w:rPr>
              <w:t xml:space="preserve"> De cada unidad solo se observa una de sus dos historias posibles — «Only one of Yi0 or Yi1 can be observed for any unit» (Dehejia &amp; Wahba, p. 6) —, así que, al sustituir la historia no observada por </w:t>
            </w:r>
            <w:r>
              <w:rPr>
                <w:rFonts w:ascii="Cambria" w:cs="Cambria" w:eastAsia="Cambria" w:hAnsi="Cambria"/>
                <w:i/>
                <w:iCs/>
                <w:color w:val="3A3A3A"/>
                <w:sz w:val="18"/>
                <w:szCs w:val="18"/>
              </w:rPr>
              <w:t xml:space="preserve">otro</w:t>
            </w:r>
            <w:r>
              <w:rPr>
                <w:rFonts w:ascii="Cambria" w:cs="Cambria" w:eastAsia="Cambria" w:hAnsi="Cambria"/>
                <w:color w:val="3A3A3A"/>
                <w:sz w:val="18"/>
                <w:szCs w:val="18"/>
              </w:rPr>
              <w:t xml:space="preserve"> grupo, se introduce todo aquello que distingue a los dos grupos por razones ajenas al tratamiento: el </w:t>
            </w:r>
            <w:r>
              <w:rPr>
                <w:rFonts w:ascii="Cambria" w:cs="Cambria" w:eastAsia="Cambria" w:hAnsi="Cambria"/>
                <w:b/>
                <w:bCs/>
                <w:color w:val="3A3A3A"/>
                <w:sz w:val="18"/>
                <w:szCs w:val="18"/>
              </w:rPr>
              <w:t xml:space="preserve">confusor</w:t>
            </w:r>
            <w:r>
              <w:rPr>
                <w:rFonts w:ascii="Cambria" w:cs="Cambria" w:eastAsia="Cambria" w:hAnsi="Cambria"/>
                <w:color w:val="3A3A3A"/>
                <w:sz w:val="18"/>
                <w:szCs w:val="18"/>
              </w:rPr>
              <w:t xml:space="preserve">. En cada estudio tiene nombre y cifra. Los restaurantes de Nueva Jersey ya eran </w:t>
            </w:r>
            <w:r>
              <w:rPr>
                <w:rFonts w:ascii="Cambria" w:cs="Cambria" w:eastAsia="Cambria" w:hAnsi="Cambria"/>
                <w:b/>
                <w:bCs/>
                <w:color w:val="3A3A3A"/>
                <w:sz w:val="18"/>
                <w:szCs w:val="18"/>
              </w:rPr>
              <w:t xml:space="preserve">más pequeños</w:t>
            </w:r>
            <w:r>
              <w:rPr>
                <w:rFonts w:ascii="Cambria" w:cs="Cambria" w:eastAsia="Cambria" w:hAnsi="Cambria"/>
                <w:color w:val="3A3A3A"/>
                <w:sz w:val="18"/>
                <w:szCs w:val="18"/>
              </w:rPr>
              <w:t xml:space="preserve"> que los de Pensilvania antes del alza (20,4 frente a 23,3 </w:t>
            </w:r>
            <w:r>
              <w:rPr>
                <w:rFonts w:ascii="Consolas" w:cs="Consolas" w:eastAsia="Consolas" w:hAnsi="Consolas"/>
                <w:color w:val="7A1526"/>
                <w:sz w:val="16"/>
                <w:szCs w:val="16"/>
              </w:rPr>
              <w:t xml:space="preserve">FTE</w:t>
            </w:r>
            <w:r>
              <w:rPr>
                <w:rFonts w:ascii="Cambria" w:cs="Cambria" w:eastAsia="Cambria" w:hAnsi="Cambria"/>
                <w:color w:val="3A3A3A"/>
                <w:sz w:val="18"/>
                <w:szCs w:val="18"/>
              </w:rPr>
              <w:t xml:space="preserve"> en la primera ola). Y los participantes del programa de empleo eran personas en desventaja severa, mientras que el grupo de comparación provenía de encuestas «more representative of the general US population», tan distintas del grupo tratado que «all the mean differences are statistically significant» (p. 4). La aleatorización no produce mejores datos: produce </w:t>
            </w:r>
            <w:r>
              <w:rPr>
                <w:rFonts w:ascii="Cambria" w:cs="Cambria" w:eastAsia="Cambria" w:hAnsi="Cambria"/>
                <w:b/>
                <w:bCs/>
                <w:color w:val="3A3A3A"/>
                <w:sz w:val="18"/>
                <w:szCs w:val="18"/>
              </w:rPr>
              <w:t xml:space="preserve">grupos intercambiables</w:t>
            </w:r>
            <w:r>
              <w:rPr>
                <w:rFonts w:ascii="Cambria" w:cs="Cambria" w:eastAsia="Cambria" w:hAnsi="Cambria"/>
                <w:color w:val="3A3A3A"/>
                <w:sz w:val="18"/>
                <w:szCs w:val="18"/>
              </w:rPr>
              <w:t xml:space="preserve">, y por eso allí la resta de dos promedios ya es el efecto.</w:t>
            </w:r>
          </w:p>
          <w:p>
            <w:pPr>
              <w:spacing w:after="70" w:line="265"/>
            </w:pPr>
            <w:r>
              <w:rPr>
                <w:rFonts w:ascii="Cambria" w:cs="Cambria" w:eastAsia="Cambria" w:hAnsi="Cambria"/>
                <w:b/>
                <w:bCs/>
                <w:color w:val="3A3A3A"/>
                <w:sz w:val="18"/>
                <w:szCs w:val="18"/>
              </w:rPr>
              <w:t xml:space="preserve">Con qué contaba cada equipo.</w:t>
            </w:r>
            <w:r>
              <w:rPr>
                <w:rFonts w:ascii="Cambria" w:cs="Cambria" w:eastAsia="Cambria" w:hAnsi="Cambria"/>
                <w:color w:val="3A3A3A"/>
                <w:sz w:val="18"/>
                <w:szCs w:val="18"/>
              </w:rPr>
              <w:t xml:space="preserve"> Card &amp; Krueger tuvieron que </w:t>
            </w:r>
            <w:r>
              <w:rPr>
                <w:rFonts w:ascii="Cambria" w:cs="Cambria" w:eastAsia="Cambria" w:hAnsi="Cambria"/>
                <w:b/>
                <w:bCs/>
                <w:color w:val="3A3A3A"/>
                <w:sz w:val="18"/>
                <w:szCs w:val="18"/>
              </w:rPr>
              <w:t xml:space="preserve">fabricar</w:t>
            </w:r>
            <w:r>
              <w:rPr>
                <w:rFonts w:ascii="Cambria" w:cs="Cambria" w:eastAsia="Cambria" w:hAnsi="Cambria"/>
                <w:color w:val="3A3A3A"/>
                <w:sz w:val="18"/>
                <w:szCs w:val="18"/>
              </w:rPr>
              <w:t xml:space="preserve"> sus datos: no existía un registro de empleo por establecimiento que cubriera el episodio, de modo que construyeron un marco muestral con cadenas de comida rápida de Nueva Jersey y el este de Pensilvania y levantaron dos olas telefónicas, la primera a poco más de un mes del alza y la segunda unos ocho meses después; de 473 locales con teléfono operativo obtuvieron </w:t>
            </w:r>
            <w:r>
              <w:rPr>
                <w:rFonts w:ascii="Cambria" w:cs="Cambria" w:eastAsia="Cambria" w:hAnsi="Cambria"/>
                <w:b/>
                <w:bCs/>
                <w:color w:val="3A3A3A"/>
                <w:sz w:val="18"/>
                <w:szCs w:val="18"/>
              </w:rPr>
              <w:t xml:space="preserve">410 entrevistas completas</w:t>
            </w:r>
            <w:r>
              <w:rPr>
                <w:rFonts w:ascii="Cambria" w:cs="Cambria" w:eastAsia="Cambria" w:hAnsi="Cambria"/>
                <w:color w:val="3A3A3A"/>
                <w:sz w:val="18"/>
                <w:szCs w:val="18"/>
              </w:rPr>
              <w:t xml:space="preserve">, un 87 % de respuesta (pp. 5-6). Incluso midieron el ruido de su instrumento: once locales fueron entrevistados dos veces por error, y la correlación entre ambas respuestas dio razones de fiabilidad de 0,70 para el empleo y 0,98 para el precio (p. 9). Dehejia &amp; Wahba partieron de lo contrario: los datos ya existían e incluían un </w:t>
            </w:r>
            <w:r>
              <w:rPr>
                <w:rFonts w:ascii="Cambria" w:cs="Cambria" w:eastAsia="Cambria" w:hAnsi="Cambria"/>
                <w:b/>
                <w:bCs/>
                <w:color w:val="3A3A3A"/>
                <w:sz w:val="18"/>
                <w:szCs w:val="18"/>
              </w:rPr>
              <w:t xml:space="preserve">experimento</w:t>
            </w:r>
            <w:r>
              <w:rPr>
                <w:rFonts w:ascii="Cambria" w:cs="Cambria" w:eastAsia="Cambria" w:hAnsi="Cambria"/>
                <w:color w:val="3A3A3A"/>
                <w:sz w:val="18"/>
                <w:szCs w:val="18"/>
              </w:rPr>
              <w:t xml:space="preserve">. De ahí que LaLonde/NSW sea el banco de pruebas canónico — entrega, sobre las mismas personas, la respuesta correcta </w:t>
            </w:r>
            <w:r>
              <w:rPr>
                <w:rFonts w:ascii="Cambria" w:cs="Cambria" w:eastAsia="Cambria" w:hAnsi="Cambria"/>
                <w:i/>
                <w:iCs/>
                <w:color w:val="3A3A3A"/>
                <w:sz w:val="18"/>
                <w:szCs w:val="18"/>
              </w:rPr>
              <w:t xml:space="preserve">y</w:t>
            </w:r>
            <w:r>
              <w:rPr>
                <w:rFonts w:ascii="Cambria" w:cs="Cambria" w:eastAsia="Cambria" w:hAnsi="Cambria"/>
                <w:color w:val="3A3A3A"/>
                <w:sz w:val="18"/>
                <w:szCs w:val="18"/>
              </w:rPr>
              <w:t xml:space="preserve"> la posibilidad de fingir que no se tiene: basta descartar los controles aleatorizados y sustituirlos por una muestra de población general, que es literalmente el montaje del Paso 3.</w:t>
            </w:r>
          </w:p>
          <w:p>
            <w:pPr>
              <w:spacing w:after="70" w:line="265"/>
            </w:pPr>
            <w:r>
              <w:rPr>
                <w:rFonts w:ascii="Cambria" w:cs="Cambria" w:eastAsia="Cambria" w:hAnsi="Cambria"/>
                <w:b/>
                <w:bCs/>
                <w:color w:val="3A3A3A"/>
                <w:sz w:val="18"/>
                <w:szCs w:val="18"/>
              </w:rPr>
              <w:t xml:space="preserve">Por qué ESE método, en cada caso.</w:t>
            </w:r>
            <w:r>
              <w:rPr>
                <w:rFonts w:ascii="Cambria" w:cs="Cambria" w:eastAsia="Cambria" w:hAnsi="Cambria"/>
                <w:color w:val="3A3A3A"/>
                <w:sz w:val="18"/>
                <w:szCs w:val="18"/>
              </w:rPr>
              <w:t xml:space="preserve"> Card &amp; Krueger no dieron por buena su elección de control: la Tabla 2 del artículo contrasta ambos estados </w:t>
            </w:r>
            <w:r>
              <w:rPr>
                <w:rFonts w:ascii="Cambria" w:cs="Cambria" w:eastAsia="Cambria" w:hAnsi="Cambria"/>
                <w:b/>
                <w:bCs/>
                <w:color w:val="3A3A3A"/>
                <w:sz w:val="18"/>
                <w:szCs w:val="18"/>
              </w:rPr>
              <w:t xml:space="preserve">antes</w:t>
            </w:r>
            <w:r>
              <w:rPr>
                <w:rFonts w:ascii="Cambria" w:cs="Cambria" w:eastAsia="Cambria" w:hAnsi="Cambria"/>
                <w:color w:val="3A3A3A"/>
                <w:sz w:val="18"/>
                <w:szCs w:val="18"/>
              </w:rPr>
              <w:t xml:space="preserve"> del alza y verifica que las distribuciones de salarios iniciales «were very similar» (p. 8). Añadieron además un segundo control </w:t>
            </w:r>
            <w:r>
              <w:rPr>
                <w:rFonts w:ascii="Cambria" w:cs="Cambria" w:eastAsia="Cambria" w:hAnsi="Cambria"/>
                <w:b/>
                <w:bCs/>
                <w:color w:val="3A3A3A"/>
                <w:sz w:val="18"/>
                <w:szCs w:val="18"/>
              </w:rPr>
              <w:t xml:space="preserve">dentro</w:t>
            </w:r>
            <w:r>
              <w:rPr>
                <w:rFonts w:ascii="Cambria" w:cs="Cambria" w:eastAsia="Cambria" w:hAnsi="Cambria"/>
                <w:color w:val="3A3A3A"/>
                <w:sz w:val="18"/>
                <w:szCs w:val="18"/>
              </w:rPr>
              <w:t xml:space="preserve"> de Nueva Jersey — los locales que ya pagaban 5,00 USD o más, a los que la ley no obligaba a nada — y comprobaron que se movían como Pensilvania: «this comparison provides a specification test of the validity of the Pennsylvania control group. The test is clearly passed.» (p. 11). Es el antecedente directo del drill de tendencias paralelas. Y fijaron el empleo en 0 en los locales cerrados, para medir «the overall effect of the minimum wage on average employment and not simply its effect on surviving establishments» (pp. 2-3). Dehejia &amp; Wahba, por su parte, descartaron los subconjuntos ad hoc con que LaLonde había intentado acercar los grupos — creados «in an informal manner, based on one or two pre-intervention variables» (p. 5) — porque permanecían muy distintos del grupo tratado. Emparejar sobre el vector completo de covariables «would encounter the curse of dimensionality» (p. 8), y el propensity score resuelve ambos problemas a la vez: es un escalar cuyo ajuste «is sufficient to remove bias due to all observed covariates» (Rosenbaum &amp; Rubin, Biometrika 70(1), p. 41), de modo que «conditioning on the propensity score, each individual has the same probability of assignment to treatment, as in a randomized experiment» (p. 7). El precio queda declarado de forma explícita: la asignación debe depender solo de variables </w:t>
            </w:r>
            <w:r>
              <w:rPr>
                <w:rFonts w:ascii="Cambria" w:cs="Cambria" w:eastAsia="Cambria" w:hAnsi="Cambria"/>
                <w:b/>
                <w:bCs/>
                <w:color w:val="3A3A3A"/>
                <w:sz w:val="18"/>
                <w:szCs w:val="18"/>
              </w:rPr>
              <w:t xml:space="preserve">observadas</w:t>
            </w:r>
            <w:r>
              <w:rPr>
                <w:rFonts w:ascii="Cambria" w:cs="Cambria" w:eastAsia="Cambria" w:hAnsi="Cambria"/>
                <w:color w:val="3A3A3A"/>
                <w:sz w:val="18"/>
                <w:szCs w:val="18"/>
              </w:rPr>
              <w:t xml:space="preserve">, y «though this is a strong assumption» (p. 2).</w:t>
            </w:r>
          </w:p>
          <w:p>
            <w:pPr>
              <w:spacing w:after="70" w:line="265"/>
            </w:pPr>
            <w:r>
              <w:rPr>
                <w:rFonts w:ascii="Cambria" w:cs="Cambria" w:eastAsia="Cambria" w:hAnsi="Cambria"/>
                <w:b/>
                <w:bCs/>
                <w:color w:val="3A3A3A"/>
                <w:sz w:val="18"/>
                <w:szCs w:val="18"/>
              </w:rPr>
              <w:t xml:space="preserve">Y los dos verificaron sus supuestos ANTES de estimar.</w:t>
            </w:r>
            <w:r>
              <w:rPr>
                <w:rFonts w:ascii="Cambria" w:cs="Cambria" w:eastAsia="Cambria" w:hAnsi="Cambria"/>
                <w:color w:val="3A3A3A"/>
                <w:sz w:val="18"/>
                <w:szCs w:val="18"/>
              </w:rPr>
              <w:t xml:space="preserve"> En Card &amp; Krueger, el test de especificación con el control interno. En Dehejia &amp; Wahba, la especificación del modelo de propensión elegida </w:t>
            </w:r>
            <w:r>
              <w:rPr>
                <w:rFonts w:ascii="Cambria" w:cs="Cambria" w:eastAsia="Cambria" w:hAnsi="Cambria"/>
                <w:b/>
                <w:bCs/>
                <w:color w:val="3A3A3A"/>
                <w:sz w:val="18"/>
                <w:szCs w:val="18"/>
              </w:rPr>
              <w:t xml:space="preserve">por balance</w:t>
            </w:r>
            <w:r>
              <w:rPr>
                <w:rFonts w:ascii="Cambria" w:cs="Cambria" w:eastAsia="Cambria" w:hAnsi="Cambria"/>
                <w:color w:val="3A3A3A"/>
                <w:sz w:val="18"/>
                <w:szCs w:val="18"/>
              </w:rPr>
              <w:t xml:space="preserve"> y no por el criterio estadístico habitual — «if there are no significant differences between the two groups, then we accept the specification» (pp. 7-8) — y el recorte al soporte común, cuyo coste publicaron de forma explícita: descartaron </w:t>
            </w:r>
            <w:r>
              <w:rPr>
                <w:rFonts w:ascii="Cambria" w:cs="Cambria" w:eastAsia="Cambria" w:hAnsi="Cambria"/>
                <w:b/>
                <w:bCs/>
                <w:color w:val="3A3A3A"/>
                <w:sz w:val="18"/>
                <w:szCs w:val="18"/>
              </w:rPr>
              <w:t xml:space="preserve">12 611 de las 15 992</w:t>
            </w:r>
            <w:r>
              <w:rPr>
                <w:rFonts w:ascii="Cambria" w:cs="Cambria" w:eastAsia="Cambria" w:hAnsi="Cambria"/>
                <w:color w:val="3A3A3A"/>
                <w:sz w:val="18"/>
                <w:szCs w:val="18"/>
              </w:rPr>
              <w:t xml:space="preserve"> unidades de la CPS, porque «the comparison group, although very large, contains relatively few units comparable to the treatment group» (p. 9). Un grupo de control grande no es un grupo de control comparable. Es el mismo hábito que exigen los pasos 2 y 3 de este laboratorio: </w:t>
            </w:r>
            <w:r>
              <w:rPr>
                <w:rFonts w:ascii="Cambria" w:cs="Cambria" w:eastAsia="Cambria" w:hAnsi="Cambria"/>
                <w:b/>
                <w:bCs/>
                <w:color w:val="3A3A3A"/>
                <w:sz w:val="18"/>
                <w:szCs w:val="18"/>
              </w:rPr>
              <w:t xml:space="preserve">verificar y después estimar</w:t>
            </w:r>
            <w:r>
              <w:rPr>
                <w:rFonts w:ascii="Cambria" w:cs="Cambria" w:eastAsia="Cambria" w:hAnsi="Cambria"/>
                <w:color w:val="3A3A3A"/>
                <w:sz w:val="18"/>
                <w:szCs w:val="18"/>
              </w:rPr>
              <w:t xml:space="preserve">, nunca al revés.</w:t>
            </w:r>
          </w:p>
          <w:p>
            <w:pPr>
              <w:spacing w:after="70" w:line="265"/>
            </w:pPr>
            <w:r>
              <w:rPr>
                <w:rFonts w:ascii="Cambria" w:cs="Cambria" w:eastAsia="Cambria" w:hAnsi="Cambria"/>
                <w:b/>
                <w:bCs/>
                <w:color w:val="3A3A3A"/>
                <w:sz w:val="18"/>
                <w:szCs w:val="18"/>
              </w:rPr>
              <w:t xml:space="preserve">La articulación que hay que llevarse</w:t>
            </w:r>
            <w:r>
              <w:rPr>
                <w:rFonts w:ascii="Cambria" w:cs="Cambria" w:eastAsia="Cambria" w:hAnsi="Cambria"/>
                <w:color w:val="3A3A3A"/>
                <w:sz w:val="18"/>
                <w:szCs w:val="18"/>
              </w:rPr>
              <w:t xml:space="preserve">: las dos técnicas atacan el mismo obstáculo por vías opuestas, y por eso conviven en esta sesión. </w:t>
            </w:r>
            <w:r>
              <w:rPr>
                <w:rFonts w:ascii="Cambria" w:cs="Cambria" w:eastAsia="Cambria" w:hAnsi="Cambria"/>
                <w:b/>
                <w:bCs/>
                <w:color w:val="3A3A3A"/>
                <w:sz w:val="18"/>
                <w:szCs w:val="18"/>
              </w:rPr>
              <w:t xml:space="preserve">DiD</w:t>
            </w:r>
            <w:r>
              <w:rPr>
                <w:rFonts w:ascii="Cambria" w:cs="Cambria" w:eastAsia="Cambria" w:hAnsi="Cambria"/>
                <w:color w:val="3A3A3A"/>
                <w:sz w:val="18"/>
                <w:szCs w:val="18"/>
              </w:rPr>
              <w:t xml:space="preserve"> no necesita observar el confusor: aprovecha un cambio de política que golpea a un grupo y no a otro comparable, y supone que todo lo que separa a ambos grupos actúa igual en el tiempo, de modo que la resta de las dos diferencias lo cancela. </w:t>
            </w:r>
            <w:r>
              <w:rPr>
                <w:rFonts w:ascii="Cambria" w:cs="Cambria" w:eastAsia="Cambria" w:hAnsi="Cambria"/>
                <w:b/>
                <w:bCs/>
                <w:color w:val="3A3A3A"/>
                <w:sz w:val="18"/>
                <w:szCs w:val="18"/>
              </w:rPr>
              <w:t xml:space="preserve">PSM</w:t>
            </w:r>
            <w:r>
              <w:rPr>
                <w:rFonts w:ascii="Cambria" w:cs="Cambria" w:eastAsia="Cambria" w:hAnsi="Cambria"/>
                <w:color w:val="3A3A3A"/>
                <w:sz w:val="18"/>
                <w:szCs w:val="18"/>
              </w:rPr>
              <w:t xml:space="preserve"> sí necesita observarlo: no dispone de ningún cambio externo, así que reconstruye la comparabilidad al equilibrar las covariables medidas en un único escalar. Ninguna de las dos elimina el supuesto; cada una </w:t>
            </w:r>
            <w:r>
              <w:rPr>
                <w:rFonts w:ascii="Cambria" w:cs="Cambria" w:eastAsia="Cambria" w:hAnsi="Cambria"/>
                <w:b/>
                <w:bCs/>
                <w:color w:val="3A3A3A"/>
                <w:sz w:val="18"/>
                <w:szCs w:val="18"/>
              </w:rPr>
              <w:t xml:space="preserve">elige cuál asumir</w:t>
            </w:r>
            <w:r>
              <w:rPr>
                <w:rFonts w:ascii="Cambria" w:cs="Cambria" w:eastAsia="Cambria" w:hAnsi="Cambria"/>
                <w:color w:val="3A3A3A"/>
                <w:sz w:val="18"/>
                <w:szCs w:val="18"/>
              </w:rPr>
              <w:t xml:space="preserve"> — tendencias paralelas frente a selección sobre observables —, y esa elección, no la fórmula, es lo que hay que saber defender.</w:t>
            </w:r>
          </w:p>
          <w:p>
            <w:pPr>
              <w:spacing w:after="70" w:line="265"/>
            </w:pPr>
            <w:r>
              <w:rPr>
                <w:rFonts w:ascii="Cambria" w:cs="Cambria" w:eastAsia="Cambria" w:hAnsi="Cambria"/>
                <w:b/>
                <w:bCs/>
                <w:color w:val="3A3A3A"/>
                <w:sz w:val="18"/>
                <w:szCs w:val="18"/>
              </w:rPr>
              <w:t xml:space="preserve">De ahí una diferencia que aparecerá en el Paso 3.</w:t>
            </w:r>
            <w:r>
              <w:rPr>
                <w:rFonts w:ascii="Cambria" w:cs="Cambria" w:eastAsia="Cambria" w:hAnsi="Cambria"/>
                <w:color w:val="3A3A3A"/>
                <w:sz w:val="18"/>
                <w:szCs w:val="18"/>
              </w:rPr>
              <w:t xml:space="preserve"> El PSM del cuaderno obtiene </w:t>
            </w:r>
            <w:r>
              <w:rPr>
                <w:rFonts w:ascii="Cambria" w:cs="Cambria" w:eastAsia="Cambria" w:hAnsi="Cambria"/>
                <w:b/>
                <w:bCs/>
                <w:color w:val="3A3A3A"/>
                <w:sz w:val="18"/>
                <w:szCs w:val="18"/>
              </w:rPr>
              <w:t xml:space="preserve">+1 745 USD</w:t>
            </w:r>
            <w:r>
              <w:rPr>
                <w:rFonts w:ascii="Cambria" w:cs="Cambria" w:eastAsia="Cambria" w:hAnsi="Cambria"/>
                <w:color w:val="3A3A3A"/>
                <w:sz w:val="18"/>
                <w:szCs w:val="18"/>
              </w:rPr>
              <w:t xml:space="preserve"> donde el working paper publica </w:t>
            </w:r>
            <w:r>
              <w:rPr>
                <w:rFonts w:ascii="Cambria" w:cs="Cambria" w:eastAsia="Cambria" w:hAnsi="Cambria"/>
                <w:b/>
                <w:bCs/>
                <w:color w:val="3A3A3A"/>
                <w:sz w:val="18"/>
                <w:szCs w:val="18"/>
              </w:rPr>
              <w:t xml:space="preserve">+1 582 USD</w:t>
            </w:r>
            <w:r>
              <w:rPr>
                <w:rFonts w:ascii="Cambria" w:cs="Cambria" w:eastAsia="Cambria" w:hAnsi="Cambria"/>
                <w:color w:val="3A3A3A"/>
                <w:sz w:val="18"/>
                <w:szCs w:val="18"/>
              </w:rPr>
              <w:t xml:space="preserve">: Dehejia &amp; Wahba buscaron la especificación del propensity con términos de orden superior e interacciones hasta lograr balance, mientras el cuaderno fija una logística lineal sobre covariables estandarizadas con emparejamiento 1-NN para que control de calidad reproduzca el número al pie. Es una diferencia de </w:t>
            </w:r>
            <w:r>
              <w:rPr>
                <w:rFonts w:ascii="Cambria" w:cs="Cambria" w:eastAsia="Cambria" w:hAnsi="Cambria"/>
                <w:b/>
                <w:bCs/>
                <w:color w:val="3A3A3A"/>
                <w:sz w:val="18"/>
                <w:szCs w:val="18"/>
              </w:rPr>
              <w:t xml:space="preserve">protocolo</w:t>
            </w:r>
            <w:r>
              <w:rPr>
                <w:rFonts w:ascii="Cambria" w:cs="Cambria" w:eastAsia="Cambria" w:hAnsi="Cambria"/>
                <w:color w:val="3A3A3A"/>
                <w:sz w:val="18"/>
                <w:szCs w:val="18"/>
              </w:rPr>
              <w:t xml:space="preserve">, no un error, y lo que se replica intacto es la conclusión que responde la pregunta: el ajustado </w:t>
            </w:r>
            <w:r>
              <w:rPr>
                <w:rFonts w:ascii="Cambria" w:cs="Cambria" w:eastAsia="Cambria" w:hAnsi="Cambria"/>
                <w:b/>
                <w:bCs/>
                <w:color w:val="3A3A3A"/>
                <w:sz w:val="18"/>
                <w:szCs w:val="18"/>
              </w:rPr>
              <w:t xml:space="preserve">recupera el signo positivo</w:t>
            </w:r>
            <w:r>
              <w:rPr>
                <w:rFonts w:ascii="Cambria" w:cs="Cambria" w:eastAsia="Cambria" w:hAnsi="Cambria"/>
                <w:color w:val="3A3A3A"/>
                <w:sz w:val="18"/>
                <w:szCs w:val="18"/>
              </w:rPr>
              <w:t xml:space="preserve"> y supera con holgura al naive.</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0"/>
        <w:gridCol w:w="6080"/>
        <w:gridCol w:w="3000"/>
      </w:tblGrid>
      <w:tr>
        <w:trPr>
          <w:tblHeader/>
        </w:trPr>
        <w:tc>
          <w:tcPr>
            <w:tcW w:type="dxa" w:w="1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TIEMPO</w:t>
            </w:r>
          </w:p>
        </w:tc>
        <w:tc>
          <w:tcPr>
            <w:tcW w:type="dxa" w:w="608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QUÉ HACER</w:t>
            </w:r>
          </w:p>
        </w:tc>
        <w:tc>
          <w:tcPr>
            <w:tcW w:type="dxa" w:w="3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PRODUCTO (lo que queda escrito)</w:t>
            </w:r>
          </w:p>
        </w:tc>
      </w:tr>
      <w:tr>
        <w:tc>
          <w:tcPr>
            <w:tcW w:type="dxa" w:w="10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r>
              <w:rPr>
                <w:rFonts w:ascii="Calibri" w:cs="Calibri" w:eastAsia="Calibri" w:hAnsi="Calibri"/>
                <w:color w:val="6E6E6E"/>
                <w:sz w:val="17"/>
                <w:szCs w:val="17"/>
              </w:rPr>
              <w:t xml:space="preserve">20 min</w:t>
            </w:r>
          </w:p>
        </w:tc>
        <w:tc>
          <w:tcPr>
            <w:tcW w:type="dxa" w:w="60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pPr>
              <w:spacing w:after="70"/>
            </w:pPr>
            <w:r>
              <w:rPr>
                <w:rFonts w:ascii="Calibri" w:cs="Calibri" w:eastAsia="Calibri" w:hAnsi="Calibri"/>
                <w:b/>
                <w:bCs/>
                <w:color w:val="7A1526"/>
                <w:sz w:val="22"/>
                <w:szCs w:val="22"/>
              </w:rPr>
              <w:t xml:space="preserve">P1   </w:t>
            </w:r>
            <w:r>
              <w:rPr>
                <w:rFonts w:ascii="Calibri" w:cs="Calibri" w:eastAsia="Calibri" w:hAnsi="Calibri"/>
                <w:b/>
                <w:bCs/>
                <w:color w:val="7A1526"/>
                <w:sz w:val="19"/>
                <w:szCs w:val="19"/>
              </w:rPr>
              <w:t xml:space="preserve">DAG y criterio de puerta trasera (drill 1)</w:t>
            </w:r>
          </w:p>
          <w:p>
            <w:pPr>
              <w:spacing w:line="265"/>
            </w:pPr>
            <w:r>
              <w:rPr>
                <w:rFonts w:ascii="Cambria" w:cs="Cambria" w:eastAsia="Cambria" w:hAnsi="Cambria"/>
                <w:b/>
                <w:bCs/>
                <w:color w:val="2D2D2D"/>
                <w:sz w:val="19"/>
                <w:szCs w:val="19"/>
              </w:rPr>
              <w:t xml:space="preserve">Dibujar el DAG del negocio.</w:t>
            </w:r>
            <w:r>
              <w:rPr>
                <w:rFonts w:ascii="Cambria" w:cs="Cambria" w:eastAsia="Cambria" w:hAnsi="Cambria"/>
                <w:color w:val="2D2D2D"/>
                <w:sz w:val="19"/>
                <w:szCs w:val="19"/>
              </w:rPr>
              <w:t xml:space="preserve"> El equipo de marketing eligió a quién contactar a partir de la </w:t>
            </w:r>
            <w:r>
              <w:rPr>
                <w:rFonts w:ascii="Cambria" w:cs="Cambria" w:eastAsia="Cambria" w:hAnsi="Cambria"/>
                <w:b/>
                <w:bCs/>
                <w:color w:val="2D2D2D"/>
                <w:sz w:val="19"/>
                <w:szCs w:val="19"/>
              </w:rPr>
              <w:t xml:space="preserve">actividad previa</w:t>
            </w:r>
            <w:r>
              <w:rPr>
                <w:rFonts w:ascii="Cambria" w:cs="Cambria" w:eastAsia="Cambria" w:hAnsi="Cambria"/>
                <w:color w:val="2D2D2D"/>
                <w:sz w:val="19"/>
                <w:szCs w:val="19"/>
              </w:rPr>
              <w:t xml:space="preserve"> del cliente (</w:t>
            </w:r>
            <w:r>
              <w:rPr>
                <w:rFonts w:ascii="Consolas" w:cs="Consolas" w:eastAsia="Consolas" w:hAnsi="Consolas"/>
                <w:color w:val="7A1526"/>
                <w:sz w:val="17"/>
                <w:szCs w:val="17"/>
              </w:rPr>
              <w:t xml:space="preserve">engagement</w:t>
            </w:r>
            <w:r>
              <w:rPr>
                <w:rFonts w:ascii="Cambria" w:cs="Cambria" w:eastAsia="Cambria" w:hAnsi="Cambria"/>
                <w:color w:val="2D2D2D"/>
                <w:sz w:val="19"/>
                <w:szCs w:val="19"/>
              </w:rPr>
              <w:t xml:space="preserve">); los más activos fueron los más contactados, y </w:t>
            </w:r>
            <w:r>
              <w:rPr>
                <w:rFonts w:ascii="Consolas" w:cs="Consolas" w:eastAsia="Consolas" w:hAnsi="Consolas"/>
                <w:color w:val="7A1526"/>
                <w:sz w:val="17"/>
                <w:szCs w:val="17"/>
              </w:rPr>
              <w:t xml:space="preserve">engagement</w:t>
            </w:r>
            <w:r>
              <w:rPr>
                <w:rFonts w:ascii="Cambria" w:cs="Cambria" w:eastAsia="Cambria" w:hAnsi="Cambria"/>
                <w:color w:val="2D2D2D"/>
                <w:sz w:val="19"/>
                <w:szCs w:val="19"/>
              </w:rPr>
              <w:t xml:space="preserve"> también predice el </w:t>
            </w:r>
            <w:r>
              <w:rPr>
                <w:rFonts w:ascii="Cambria" w:cs="Cambria" w:eastAsia="Cambria" w:hAnsi="Cambria"/>
                <w:b/>
                <w:bCs/>
                <w:color w:val="2D2D2D"/>
                <w:sz w:val="19"/>
                <w:szCs w:val="19"/>
              </w:rPr>
              <w:t xml:space="preserve">valor futuro</w:t>
            </w:r>
            <w:r>
              <w:rPr>
                <w:rFonts w:ascii="Cambria" w:cs="Cambria" w:eastAsia="Cambria" w:hAnsi="Cambria"/>
                <w:color w:val="2D2D2D"/>
                <w:sz w:val="19"/>
                <w:szCs w:val="19"/>
              </w:rPr>
              <w:t xml:space="preserve">. El DAG es: </w:t>
            </w:r>
            <w:r>
              <w:rPr>
                <w:rFonts w:ascii="Consolas" w:cs="Consolas" w:eastAsia="Consolas" w:hAnsi="Consolas"/>
                <w:color w:val="7A1526"/>
                <w:sz w:val="17"/>
                <w:szCs w:val="17"/>
              </w:rPr>
              <w:t xml:space="preserve">engagement</w:t>
            </w:r>
            <w:r>
              <w:rPr>
                <w:rFonts w:ascii="Cambria" w:cs="Cambria" w:eastAsia="Cambria" w:hAnsi="Cambria"/>
                <w:color w:val="2D2D2D"/>
                <w:sz w:val="19"/>
                <w:szCs w:val="19"/>
              </w:rPr>
              <w:t xml:space="preserve"> </w:t>
            </w:r>
            <w:r>
              <w:rPr>
                <w:rFonts w:ascii="Calibri" w:cs="Calibri" w:eastAsia="Calibri" w:hAnsi="Calibri"/>
                <w:color w:val="2D2D2D"/>
                <w:sz w:val="19"/>
                <w:szCs w:val="19"/>
              </w:rPr>
              <w:t xml:space="preserve">→</w:t>
            </w:r>
            <w:r>
              <w:rPr>
                <w:rFonts w:ascii="Cambria" w:cs="Cambria" w:eastAsia="Cambria" w:hAnsi="Cambria"/>
                <w:color w:val="2D2D2D"/>
                <w:sz w:val="19"/>
                <w:szCs w:val="19"/>
              </w:rPr>
              <w:t xml:space="preserve"> </w:t>
            </w:r>
            <w:r>
              <w:rPr>
                <w:rFonts w:ascii="Consolas" w:cs="Consolas" w:eastAsia="Consolas" w:hAnsi="Consolas"/>
                <w:color w:val="7A1526"/>
                <w:sz w:val="17"/>
                <w:szCs w:val="17"/>
              </w:rPr>
              <w:t xml:space="preserve">campaign</w:t>
            </w:r>
            <w:r>
              <w:rPr>
                <w:rFonts w:ascii="Cambria" w:cs="Cambria" w:eastAsia="Cambria" w:hAnsi="Cambria"/>
                <w:color w:val="2D2D2D"/>
                <w:sz w:val="19"/>
                <w:szCs w:val="19"/>
              </w:rPr>
              <w:t xml:space="preserve">, </w:t>
            </w:r>
            <w:r>
              <w:rPr>
                <w:rFonts w:ascii="Consolas" w:cs="Consolas" w:eastAsia="Consolas" w:hAnsi="Consolas"/>
                <w:color w:val="7A1526"/>
                <w:sz w:val="17"/>
                <w:szCs w:val="17"/>
              </w:rPr>
              <w:t xml:space="preserve">engagement</w:t>
            </w:r>
            <w:r>
              <w:rPr>
                <w:rFonts w:ascii="Cambria" w:cs="Cambria" w:eastAsia="Cambria" w:hAnsi="Cambria"/>
                <w:color w:val="2D2D2D"/>
                <w:sz w:val="19"/>
                <w:szCs w:val="19"/>
              </w:rPr>
              <w:t xml:space="preserve"> </w:t>
            </w:r>
            <w:r>
              <w:rPr>
                <w:rFonts w:ascii="Calibri" w:cs="Calibri" w:eastAsia="Calibri" w:hAnsi="Calibri"/>
                <w:color w:val="2D2D2D"/>
                <w:sz w:val="19"/>
                <w:szCs w:val="19"/>
              </w:rPr>
              <w:t xml:space="preserve">→</w:t>
            </w:r>
            <w:r>
              <w:rPr>
                <w:rFonts w:ascii="Cambria" w:cs="Cambria" w:eastAsia="Cambria" w:hAnsi="Cambria"/>
                <w:color w:val="2D2D2D"/>
                <w:sz w:val="19"/>
                <w:szCs w:val="19"/>
              </w:rPr>
              <w:t xml:space="preserve"> </w:t>
            </w:r>
            <w:r>
              <w:rPr>
                <w:rFonts w:ascii="Consolas" w:cs="Consolas" w:eastAsia="Consolas" w:hAnsi="Consolas"/>
                <w:color w:val="7A1526"/>
                <w:sz w:val="17"/>
                <w:szCs w:val="17"/>
              </w:rPr>
              <w:t xml:space="preserve">value</w:t>
            </w:r>
            <w:r>
              <w:rPr>
                <w:rFonts w:ascii="Cambria" w:cs="Cambria" w:eastAsia="Cambria" w:hAnsi="Cambria"/>
                <w:color w:val="2D2D2D"/>
                <w:sz w:val="19"/>
                <w:szCs w:val="19"/>
              </w:rPr>
              <w:t xml:space="preserve">, </w:t>
            </w:r>
            <w:r>
              <w:rPr>
                <w:rFonts w:ascii="Consolas" w:cs="Consolas" w:eastAsia="Consolas" w:hAnsi="Consolas"/>
                <w:color w:val="7A1526"/>
                <w:sz w:val="17"/>
                <w:szCs w:val="17"/>
              </w:rPr>
              <w:t xml:space="preserve">tenure</w:t>
            </w:r>
            <w:r>
              <w:rPr>
                <w:rFonts w:ascii="Cambria" w:cs="Cambria" w:eastAsia="Cambria" w:hAnsi="Cambria"/>
                <w:color w:val="2D2D2D"/>
                <w:sz w:val="19"/>
                <w:szCs w:val="19"/>
              </w:rPr>
              <w:t xml:space="preserve"> </w:t>
            </w:r>
            <w:r>
              <w:rPr>
                <w:rFonts w:ascii="Calibri" w:cs="Calibri" w:eastAsia="Calibri" w:hAnsi="Calibri"/>
                <w:color w:val="2D2D2D"/>
                <w:sz w:val="19"/>
                <w:szCs w:val="19"/>
              </w:rPr>
              <w:t xml:space="preserve">→</w:t>
            </w:r>
            <w:r>
              <w:rPr>
                <w:rFonts w:ascii="Cambria" w:cs="Cambria" w:eastAsia="Cambria" w:hAnsi="Cambria"/>
                <w:color w:val="2D2D2D"/>
                <w:sz w:val="19"/>
                <w:szCs w:val="19"/>
              </w:rPr>
              <w:t xml:space="preserve"> </w:t>
            </w:r>
            <w:r>
              <w:rPr>
                <w:rFonts w:ascii="Consolas" w:cs="Consolas" w:eastAsia="Consolas" w:hAnsi="Consolas"/>
                <w:color w:val="7A1526"/>
                <w:sz w:val="17"/>
                <w:szCs w:val="17"/>
              </w:rPr>
              <w:t xml:space="preserve">value</w:t>
            </w:r>
            <w:r>
              <w:rPr>
                <w:rFonts w:ascii="Cambria" w:cs="Cambria" w:eastAsia="Cambria" w:hAnsi="Cambria"/>
                <w:color w:val="2D2D2D"/>
                <w:sz w:val="19"/>
                <w:szCs w:val="19"/>
              </w:rPr>
              <w:t xml:space="preserve">, </w:t>
            </w:r>
            <w:r>
              <w:rPr>
                <w:rFonts w:ascii="Consolas" w:cs="Consolas" w:eastAsia="Consolas" w:hAnsi="Consolas"/>
                <w:color w:val="7A1526"/>
                <w:sz w:val="17"/>
                <w:szCs w:val="17"/>
              </w:rPr>
              <w:t xml:space="preserve">campaign</w:t>
            </w:r>
            <w:r>
              <w:rPr>
                <w:rFonts w:ascii="Cambria" w:cs="Cambria" w:eastAsia="Cambria" w:hAnsi="Cambria"/>
                <w:color w:val="2D2D2D"/>
                <w:sz w:val="19"/>
                <w:szCs w:val="19"/>
              </w:rPr>
              <w:t xml:space="preserve"> </w:t>
            </w:r>
            <w:r>
              <w:rPr>
                <w:rFonts w:ascii="Calibri" w:cs="Calibri" w:eastAsia="Calibri" w:hAnsi="Calibri"/>
                <w:color w:val="2D2D2D"/>
                <w:sz w:val="19"/>
                <w:szCs w:val="19"/>
              </w:rPr>
              <w:t xml:space="preserve">→</w:t>
            </w:r>
            <w:r>
              <w:rPr>
                <w:rFonts w:ascii="Cambria" w:cs="Cambria" w:eastAsia="Cambria" w:hAnsi="Cambria"/>
                <w:color w:val="2D2D2D"/>
                <w:sz w:val="19"/>
                <w:szCs w:val="19"/>
              </w:rPr>
              <w:t xml:space="preserve"> </w:t>
            </w:r>
            <w:r>
              <w:rPr>
                <w:rFonts w:ascii="Consolas" w:cs="Consolas" w:eastAsia="Consolas" w:hAnsi="Consolas"/>
                <w:color w:val="7A1526"/>
                <w:sz w:val="17"/>
                <w:szCs w:val="17"/>
              </w:rPr>
              <w:t xml:space="preserve">value</w:t>
            </w:r>
            <w:r>
              <w:rPr>
                <w:rFonts w:ascii="Cambria" w:cs="Cambria" w:eastAsia="Cambria" w:hAnsi="Cambria"/>
                <w:color w:val="2D2D2D"/>
                <w:sz w:val="19"/>
                <w:szCs w:val="19"/>
              </w:rPr>
              <w:t xml:space="preserve">. Aquí </w:t>
            </w:r>
            <w:r>
              <w:rPr>
                <w:rFonts w:ascii="Consolas" w:cs="Consolas" w:eastAsia="Consolas" w:hAnsi="Consolas"/>
                <w:color w:val="7A1526"/>
                <w:sz w:val="17"/>
                <w:szCs w:val="17"/>
              </w:rPr>
              <w:t xml:space="preserve">engagement</w:t>
            </w:r>
            <w:r>
              <w:rPr>
                <w:rFonts w:ascii="Cambria" w:cs="Cambria" w:eastAsia="Cambria" w:hAnsi="Cambria"/>
                <w:color w:val="2D2D2D"/>
                <w:sz w:val="19"/>
                <w:szCs w:val="19"/>
              </w:rPr>
              <w:t xml:space="preserve"> es un </w:t>
            </w:r>
            <w:r>
              <w:rPr>
                <w:rFonts w:ascii="Cambria" w:cs="Cambria" w:eastAsia="Cambria" w:hAnsi="Cambria"/>
                <w:b/>
                <w:bCs/>
                <w:color w:val="2D2D2D"/>
                <w:sz w:val="19"/>
                <w:szCs w:val="19"/>
              </w:rPr>
              <w:t xml:space="preserve">confusor</w:t>
            </w:r>
            <w:r>
              <w:rPr>
                <w:rFonts w:ascii="Cambria" w:cs="Cambria" w:eastAsia="Cambria" w:hAnsi="Cambria"/>
                <w:color w:val="2D2D2D"/>
                <w:sz w:val="19"/>
                <w:szCs w:val="19"/>
              </w:rPr>
              <w:t xml:space="preserve"> (afecta a la vez al trato y al resultado) y </w:t>
            </w:r>
            <w:r>
              <w:rPr>
                <w:rFonts w:ascii="Consolas" w:cs="Consolas" w:eastAsia="Consolas" w:hAnsi="Consolas"/>
                <w:color w:val="7A1526"/>
                <w:sz w:val="17"/>
                <w:szCs w:val="17"/>
              </w:rPr>
              <w:t xml:space="preserve">tenure</w:t>
            </w:r>
            <w:r>
              <w:rPr>
                <w:rFonts w:ascii="Cambria" w:cs="Cambria" w:eastAsia="Cambria" w:hAnsi="Cambria"/>
                <w:color w:val="2D2D2D"/>
                <w:sz w:val="19"/>
                <w:szCs w:val="19"/>
              </w:rPr>
              <w:t xml:space="preserve"> (antigüedad) es una </w:t>
            </w:r>
            <w:r>
              <w:rPr>
                <w:rFonts w:ascii="Cambria" w:cs="Cambria" w:eastAsia="Cambria" w:hAnsi="Cambria"/>
                <w:b/>
                <w:bCs/>
                <w:color w:val="2D2D2D"/>
                <w:sz w:val="19"/>
                <w:szCs w:val="19"/>
              </w:rPr>
              <w:t xml:space="preserve">covariable de precisión</w:t>
            </w:r>
            <w:r>
              <w:rPr>
                <w:rFonts w:ascii="Cambria" w:cs="Cambria" w:eastAsia="Cambria" w:hAnsi="Cambria"/>
                <w:color w:val="2D2D2D"/>
                <w:sz w:val="19"/>
                <w:szCs w:val="19"/>
              </w:rPr>
              <w:t xml:space="preserve"> (afecta al valor, no a la asignación). </w:t>
            </w:r>
            <w:r>
              <w:rPr>
                <w:rFonts w:ascii="Cambria" w:cs="Cambria" w:eastAsia="Cambria" w:hAnsi="Cambria"/>
                <w:b/>
                <w:bCs/>
                <w:color w:val="2D2D2D"/>
                <w:sz w:val="19"/>
                <w:szCs w:val="19"/>
              </w:rPr>
              <w:t xml:space="preserve">Aplicar el criterio de puerta trasera.</w:t>
            </w:r>
            <w:r>
              <w:rPr>
                <w:rFonts w:ascii="Cambria" w:cs="Cambria" w:eastAsia="Cambria" w:hAnsi="Cambria"/>
                <w:color w:val="2D2D2D"/>
                <w:sz w:val="19"/>
                <w:szCs w:val="19"/>
              </w:rPr>
              <w:t xml:space="preserve"> Un </w:t>
            </w:r>
            <w:r>
              <w:rPr>
                <w:rFonts w:ascii="Cambria" w:cs="Cambria" w:eastAsia="Cambria" w:hAnsi="Cambria"/>
                <w:b/>
                <w:bCs/>
                <w:color w:val="2D2D2D"/>
                <w:sz w:val="19"/>
                <w:szCs w:val="19"/>
              </w:rPr>
              <w:t xml:space="preserve">camino de puerta trasera</w:t>
            </w:r>
            <w:r>
              <w:rPr>
                <w:rFonts w:ascii="Cambria" w:cs="Cambria" w:eastAsia="Cambria" w:hAnsi="Cambria"/>
                <w:color w:val="2D2D2D"/>
                <w:sz w:val="19"/>
                <w:szCs w:val="19"/>
              </w:rPr>
              <w:t xml:space="preserve"> entre </w:t>
            </w:r>
            <w:r>
              <w:rPr>
                <w:rFonts w:ascii="Consolas" w:cs="Consolas" w:eastAsia="Consolas" w:hAnsi="Consolas"/>
                <w:color w:val="7A1526"/>
                <w:sz w:val="17"/>
                <w:szCs w:val="17"/>
              </w:rPr>
              <w:t xml:space="preserve">campaign</w:t>
            </w:r>
            <w:r>
              <w:rPr>
                <w:rFonts w:ascii="Cambria" w:cs="Cambria" w:eastAsia="Cambria" w:hAnsi="Cambria"/>
                <w:color w:val="2D2D2D"/>
                <w:sz w:val="19"/>
                <w:szCs w:val="19"/>
              </w:rPr>
              <w:t xml:space="preserve"> y </w:t>
            </w:r>
            <w:r>
              <w:rPr>
                <w:rFonts w:ascii="Consolas" w:cs="Consolas" w:eastAsia="Consolas" w:hAnsi="Consolas"/>
                <w:color w:val="7A1526"/>
                <w:sz w:val="17"/>
                <w:szCs w:val="17"/>
              </w:rPr>
              <w:t xml:space="preserve">value</w:t>
            </w:r>
            <w:r>
              <w:rPr>
                <w:rFonts w:ascii="Cambria" w:cs="Cambria" w:eastAsia="Cambria" w:hAnsi="Cambria"/>
                <w:color w:val="2D2D2D"/>
                <w:sz w:val="19"/>
                <w:szCs w:val="19"/>
              </w:rPr>
              <w:t xml:space="preserve"> empieza con una flecha </w:t>
            </w:r>
            <w:r>
              <w:rPr>
                <w:rFonts w:ascii="Cambria" w:cs="Cambria" w:eastAsia="Cambria" w:hAnsi="Cambria"/>
                <w:b/>
                <w:bCs/>
                <w:color w:val="2D2D2D"/>
                <w:sz w:val="19"/>
                <w:szCs w:val="19"/>
              </w:rPr>
              <w:t xml:space="preserve">hacia</w:t>
            </w:r>
            <w:r>
              <w:rPr>
                <w:rFonts w:ascii="Cambria" w:cs="Cambria" w:eastAsia="Cambria" w:hAnsi="Cambria"/>
                <w:color w:val="2D2D2D"/>
                <w:sz w:val="19"/>
                <w:szCs w:val="19"/>
              </w:rPr>
              <w:t xml:space="preserve"> </w:t>
            </w:r>
            <w:r>
              <w:rPr>
                <w:rFonts w:ascii="Consolas" w:cs="Consolas" w:eastAsia="Consolas" w:hAnsi="Consolas"/>
                <w:color w:val="7A1526"/>
                <w:sz w:val="17"/>
                <w:szCs w:val="17"/>
              </w:rPr>
              <w:t xml:space="preserve">campaign</w:t>
            </w:r>
            <w:r>
              <w:rPr>
                <w:rFonts w:ascii="Cambria" w:cs="Cambria" w:eastAsia="Cambria" w:hAnsi="Cambria"/>
                <w:color w:val="2D2D2D"/>
                <w:sz w:val="19"/>
                <w:szCs w:val="19"/>
              </w:rPr>
              <w:t xml:space="preserve"> (</w:t>
            </w:r>
            <w:r>
              <w:rPr>
                <w:rFonts w:ascii="Consolas" w:cs="Consolas" w:eastAsia="Consolas" w:hAnsi="Consolas"/>
                <w:color w:val="7A1526"/>
                <w:sz w:val="17"/>
                <w:szCs w:val="17"/>
              </w:rPr>
              <w:t xml:space="preserve">campaign</w:t>
            </w:r>
            <w:r>
              <w:rPr>
                <w:rFonts w:ascii="Cambria" w:cs="Cambria" w:eastAsia="Cambria" w:hAnsi="Cambria"/>
                <w:color w:val="2D2D2D"/>
                <w:sz w:val="19"/>
                <w:szCs w:val="19"/>
              </w:rPr>
              <w:t xml:space="preserve"> ← </w:t>
            </w:r>
            <w:r>
              <w:rPr>
                <w:rFonts w:ascii="Consolas" w:cs="Consolas" w:eastAsia="Consolas" w:hAnsi="Consolas"/>
                <w:color w:val="7A1526"/>
                <w:sz w:val="17"/>
                <w:szCs w:val="17"/>
              </w:rPr>
              <w:t xml:space="preserve">engagement</w:t>
            </w:r>
            <w:r>
              <w:rPr>
                <w:rFonts w:ascii="Cambria" w:cs="Cambria" w:eastAsia="Cambria" w:hAnsi="Cambria"/>
                <w:color w:val="2D2D2D"/>
                <w:sz w:val="19"/>
                <w:szCs w:val="19"/>
              </w:rPr>
              <w:t xml:space="preserve"> </w:t>
            </w:r>
            <w:r>
              <w:rPr>
                <w:rFonts w:ascii="Calibri" w:cs="Calibri" w:eastAsia="Calibri" w:hAnsi="Calibri"/>
                <w:color w:val="2D2D2D"/>
                <w:sz w:val="19"/>
                <w:szCs w:val="19"/>
              </w:rPr>
              <w:t xml:space="preserve">→</w:t>
            </w:r>
            <w:r>
              <w:rPr>
                <w:rFonts w:ascii="Cambria" w:cs="Cambria" w:eastAsia="Cambria" w:hAnsi="Cambria"/>
                <w:color w:val="2D2D2D"/>
                <w:sz w:val="19"/>
                <w:szCs w:val="19"/>
              </w:rPr>
              <w:t xml:space="preserve"> </w:t>
            </w:r>
            <w:r>
              <w:rPr>
                <w:rFonts w:ascii="Consolas" w:cs="Consolas" w:eastAsia="Consolas" w:hAnsi="Consolas"/>
                <w:color w:val="7A1526"/>
                <w:sz w:val="17"/>
                <w:szCs w:val="17"/>
              </w:rPr>
              <w:t xml:space="preserve">value</w:t>
            </w:r>
            <w:r>
              <w:rPr>
                <w:rFonts w:ascii="Cambria" w:cs="Cambria" w:eastAsia="Cambria" w:hAnsi="Cambria"/>
                <w:color w:val="2D2D2D"/>
                <w:sz w:val="19"/>
                <w:szCs w:val="19"/>
              </w:rPr>
              <w:t xml:space="preserve">) y transporta asociación </w:t>
            </w:r>
            <w:r>
              <w:rPr>
                <w:rFonts w:ascii="Cambria" w:cs="Cambria" w:eastAsia="Cambria" w:hAnsi="Cambria"/>
                <w:b/>
                <w:bCs/>
                <w:color w:val="2D2D2D"/>
                <w:sz w:val="19"/>
                <w:szCs w:val="19"/>
              </w:rPr>
              <w:t xml:space="preserve">no causal</w:t>
            </w:r>
            <w:r>
              <w:rPr>
                <w:rFonts w:ascii="Cambria" w:cs="Cambria" w:eastAsia="Cambria" w:hAnsi="Cambria"/>
                <w:color w:val="2D2D2D"/>
                <w:sz w:val="19"/>
                <w:szCs w:val="19"/>
              </w:rPr>
              <w:t xml:space="preserve">. El conjunto de ajuste Z identifica el efecto si </w:t>
            </w:r>
            <w:r>
              <w:rPr>
                <w:rFonts w:ascii="Cambria" w:cs="Cambria" w:eastAsia="Cambria" w:hAnsi="Cambria"/>
                <w:b/>
                <w:bCs/>
                <w:color w:val="2D2D2D"/>
                <w:sz w:val="19"/>
                <w:szCs w:val="19"/>
              </w:rPr>
              <w:t xml:space="preserve">bloquea todos los caminos de puerta trasera</w:t>
            </w:r>
            <w:r>
              <w:rPr>
                <w:rFonts w:ascii="Cambria" w:cs="Cambria" w:eastAsia="Cambria" w:hAnsi="Cambria"/>
                <w:color w:val="2D2D2D"/>
                <w:sz w:val="19"/>
                <w:szCs w:val="19"/>
              </w:rPr>
              <w:t xml:space="preserve"> y </w:t>
            </w:r>
            <w:r>
              <w:rPr>
                <w:rFonts w:ascii="Cambria" w:cs="Cambria" w:eastAsia="Cambria" w:hAnsi="Cambria"/>
                <w:b/>
                <w:bCs/>
                <w:color w:val="2D2D2D"/>
                <w:sz w:val="19"/>
                <w:szCs w:val="19"/>
              </w:rPr>
              <w:t xml:space="preserve">no contiene descendientes</w:t>
            </w:r>
            <w:r>
              <w:rPr>
                <w:rFonts w:ascii="Cambria" w:cs="Cambria" w:eastAsia="Cambria" w:hAnsi="Cambria"/>
                <w:color w:val="2D2D2D"/>
                <w:sz w:val="19"/>
                <w:szCs w:val="19"/>
              </w:rPr>
              <w:t xml:space="preserve"> del tratamiento; aquí el conjunto que cierra la puerta trasera es </w:t>
            </w:r>
            <w:r>
              <w:rPr>
                <w:rFonts w:ascii="Cambria" w:cs="Cambria" w:eastAsia="Cambria" w:hAnsi="Cambria"/>
                <w:b/>
                <w:bCs/>
                <w:color w:val="2D2D2D"/>
                <w:sz w:val="19"/>
                <w:szCs w:val="19"/>
              </w:rPr>
              <w:t xml:space="preserve">{</w:t>
            </w:r>
            <w:r>
              <w:rPr>
                <w:rFonts w:ascii="Consolas" w:cs="Consolas" w:eastAsia="Consolas" w:hAnsi="Consolas"/>
                <w:b/>
                <w:bCs/>
                <w:color w:val="7A1526"/>
                <w:sz w:val="17"/>
                <w:szCs w:val="17"/>
              </w:rPr>
              <w:t xml:space="preserve">engagement</w:t>
            </w:r>
            <w:r>
              <w:rPr>
                <w:rFonts w:ascii="Cambria" w:cs="Cambria" w:eastAsia="Cambria" w:hAnsi="Cambria"/>
                <w:b/>
                <w:bCs/>
                <w:color w:val="2D2D2D"/>
                <w:sz w:val="19"/>
                <w:szCs w:val="19"/>
              </w:rPr>
              <w:t xml:space="preserve">}</w:t>
            </w:r>
            <w:r>
              <w:rPr>
                <w:rFonts w:ascii="Cambria" w:cs="Cambria" w:eastAsia="Cambria" w:hAnsi="Cambria"/>
                <w:color w:val="2D2D2D"/>
                <w:sz w:val="19"/>
                <w:szCs w:val="19"/>
              </w:rPr>
              <w:t xml:space="preserve"> — controlar </w:t>
            </w:r>
            <w:r>
              <w:rPr>
                <w:rFonts w:ascii="Consolas" w:cs="Consolas" w:eastAsia="Consolas" w:hAnsi="Consolas"/>
                <w:color w:val="7A1526"/>
                <w:sz w:val="17"/>
                <w:szCs w:val="17"/>
              </w:rPr>
              <w:t xml:space="preserve">tenure</w:t>
            </w:r>
            <w:r>
              <w:rPr>
                <w:rFonts w:ascii="Cambria" w:cs="Cambria" w:eastAsia="Cambria" w:hAnsi="Cambria"/>
                <w:color w:val="2D2D2D"/>
                <w:sz w:val="19"/>
                <w:szCs w:val="19"/>
              </w:rPr>
              <w:t xml:space="preserve"> mejora la precisión pero no es necesario para identificar. </w:t>
            </w:r>
            <w:r>
              <w:rPr>
                <w:rFonts w:ascii="Cambria" w:cs="Cambria" w:eastAsia="Cambria" w:hAnsi="Cambria"/>
                <w:b/>
                <w:bCs/>
                <w:color w:val="2D2D2D"/>
                <w:sz w:val="19"/>
                <w:szCs w:val="19"/>
              </w:rPr>
              <w:t xml:space="preserve">Decidir qué NO se controla (el núcleo del drill).</w:t>
            </w:r>
            <w:r>
              <w:rPr>
                <w:rFonts w:ascii="Cambria" w:cs="Cambria" w:eastAsia="Cambria" w:hAnsi="Cambria"/>
                <w:color w:val="2D2D2D"/>
                <w:sz w:val="19"/>
                <w:szCs w:val="19"/>
              </w:rPr>
              <w:t xml:space="preserve"> Se controla </w:t>
            </w:r>
            <w:r>
              <w:rPr>
                <w:rFonts w:ascii="Cambria" w:cs="Cambria" w:eastAsia="Cambria" w:hAnsi="Cambria"/>
                <w:b/>
                <w:bCs/>
                <w:color w:val="2D2D2D"/>
                <w:sz w:val="19"/>
                <w:szCs w:val="19"/>
              </w:rPr>
              <w:t xml:space="preserve">solo el conjunto de puerta trasera (confusores)</w:t>
            </w:r>
            <w:r>
              <w:rPr>
                <w:rFonts w:ascii="Cambria" w:cs="Cambria" w:eastAsia="Cambria" w:hAnsi="Cambria"/>
                <w:color w:val="2D2D2D"/>
                <w:sz w:val="19"/>
                <w:szCs w:val="19"/>
              </w:rPr>
              <w:t xml:space="preserve">. </w:t>
            </w:r>
            <w:r>
              <w:rPr>
                <w:rFonts w:ascii="Cambria" w:cs="Cambria" w:eastAsia="Cambria" w:hAnsi="Cambria"/>
                <w:b/>
                <w:bCs/>
                <w:color w:val="2D2D2D"/>
                <w:sz w:val="19"/>
                <w:szCs w:val="19"/>
              </w:rPr>
              <w:t xml:space="preserve">No</w:t>
            </w:r>
            <w:r>
              <w:rPr>
                <w:rFonts w:ascii="Cambria" w:cs="Cambria" w:eastAsia="Cambria" w:hAnsi="Cambria"/>
                <w:color w:val="2D2D2D"/>
                <w:sz w:val="19"/>
                <w:szCs w:val="19"/>
              </w:rPr>
              <w:t xml:space="preserve"> se controla un </w:t>
            </w:r>
            <w:r>
              <w:rPr>
                <w:rFonts w:ascii="Cambria" w:cs="Cambria" w:eastAsia="Cambria" w:hAnsi="Cambria"/>
                <w:b/>
                <w:bCs/>
                <w:color w:val="2D2D2D"/>
                <w:sz w:val="19"/>
                <w:szCs w:val="19"/>
              </w:rPr>
              <w:t xml:space="preserve">mediador</w:t>
            </w:r>
            <w:r>
              <w:rPr>
                <w:rFonts w:ascii="Cambria" w:cs="Cambria" w:eastAsia="Cambria" w:hAnsi="Cambria"/>
                <w:color w:val="2D2D2D"/>
                <w:sz w:val="19"/>
                <w:szCs w:val="19"/>
              </w:rPr>
              <w:t xml:space="preserve"> (</w:t>
            </w:r>
            <w:r>
              <w:rPr>
                <w:rFonts w:ascii="Consolas" w:cs="Consolas" w:eastAsia="Consolas" w:hAnsi="Consolas"/>
                <w:color w:val="7A1526"/>
                <w:sz w:val="17"/>
                <w:szCs w:val="17"/>
              </w:rPr>
              <w:t xml:space="preserve">campaign</w:t>
            </w:r>
            <w:r>
              <w:rPr>
                <w:rFonts w:ascii="Cambria" w:cs="Cambria" w:eastAsia="Cambria" w:hAnsi="Cambria"/>
                <w:color w:val="2D2D2D"/>
                <w:sz w:val="19"/>
                <w:szCs w:val="19"/>
              </w:rPr>
              <w:t xml:space="preserve"> </w:t>
            </w:r>
            <w:r>
              <w:rPr>
                <w:rFonts w:ascii="Calibri" w:cs="Calibri" w:eastAsia="Calibri" w:hAnsi="Calibri"/>
                <w:color w:val="2D2D2D"/>
                <w:sz w:val="19"/>
                <w:szCs w:val="19"/>
              </w:rPr>
              <w:t xml:space="preserve">→</w:t>
            </w:r>
            <w:r>
              <w:rPr>
                <w:rFonts w:ascii="Cambria" w:cs="Cambria" w:eastAsia="Cambria" w:hAnsi="Cambria"/>
                <w:color w:val="2D2D2D"/>
                <w:sz w:val="19"/>
                <w:szCs w:val="19"/>
              </w:rPr>
              <w:t xml:space="preserve"> </w:t>
            </w:r>
            <w:r>
              <w:rPr>
                <w:rFonts w:ascii="Consolas" w:cs="Consolas" w:eastAsia="Consolas" w:hAnsi="Consolas"/>
                <w:color w:val="7A1526"/>
                <w:sz w:val="17"/>
                <w:szCs w:val="17"/>
              </w:rPr>
              <w:t xml:space="preserve">visitas</w:t>
            </w:r>
            <w:r>
              <w:rPr>
                <w:rFonts w:ascii="Cambria" w:cs="Cambria" w:eastAsia="Cambria" w:hAnsi="Cambria"/>
                <w:color w:val="2D2D2D"/>
                <w:sz w:val="19"/>
                <w:szCs w:val="19"/>
              </w:rPr>
              <w:t xml:space="preserve"> </w:t>
            </w:r>
            <w:r>
              <w:rPr>
                <w:rFonts w:ascii="Calibri" w:cs="Calibri" w:eastAsia="Calibri" w:hAnsi="Calibri"/>
                <w:color w:val="2D2D2D"/>
                <w:sz w:val="19"/>
                <w:szCs w:val="19"/>
              </w:rPr>
              <w:t xml:space="preserve">→</w:t>
            </w:r>
            <w:r>
              <w:rPr>
                <w:rFonts w:ascii="Cambria" w:cs="Cambria" w:eastAsia="Cambria" w:hAnsi="Cambria"/>
                <w:color w:val="2D2D2D"/>
                <w:sz w:val="19"/>
                <w:szCs w:val="19"/>
              </w:rPr>
              <w:t xml:space="preserve"> </w:t>
            </w:r>
            <w:r>
              <w:rPr>
                <w:rFonts w:ascii="Consolas" w:cs="Consolas" w:eastAsia="Consolas" w:hAnsi="Consolas"/>
                <w:color w:val="7A1526"/>
                <w:sz w:val="17"/>
                <w:szCs w:val="17"/>
              </w:rPr>
              <w:t xml:space="preserve">value</w:t>
            </w:r>
            <w:r>
              <w:rPr>
                <w:rFonts w:ascii="Cambria" w:cs="Cambria" w:eastAsia="Cambria" w:hAnsi="Cambria"/>
                <w:color w:val="2D2D2D"/>
                <w:sz w:val="19"/>
                <w:szCs w:val="19"/>
              </w:rPr>
              <w:t xml:space="preserve">): bloquearlo esconde parte del efecto total y lo subestima. </w:t>
            </w:r>
            <w:r>
              <w:rPr>
                <w:rFonts w:ascii="Cambria" w:cs="Cambria" w:eastAsia="Cambria" w:hAnsi="Cambria"/>
                <w:b/>
                <w:bCs/>
                <w:color w:val="2D2D2D"/>
                <w:sz w:val="19"/>
                <w:szCs w:val="19"/>
              </w:rPr>
              <w:t xml:space="preserve">No</w:t>
            </w:r>
            <w:r>
              <w:rPr>
                <w:rFonts w:ascii="Cambria" w:cs="Cambria" w:eastAsia="Cambria" w:hAnsi="Cambria"/>
                <w:color w:val="2D2D2D"/>
                <w:sz w:val="19"/>
                <w:szCs w:val="19"/>
              </w:rPr>
              <w:t xml:space="preserve"> se controla un </w:t>
            </w:r>
            <w:r>
              <w:rPr>
                <w:rFonts w:ascii="Cambria" w:cs="Cambria" w:eastAsia="Cambria" w:hAnsi="Cambria"/>
                <w:b/>
                <w:bCs/>
                <w:color w:val="2D2D2D"/>
                <w:sz w:val="19"/>
                <w:szCs w:val="19"/>
              </w:rPr>
              <w:t xml:space="preserve">collider</w:t>
            </w:r>
            <w:r>
              <w:rPr>
                <w:rFonts w:ascii="Cambria" w:cs="Cambria" w:eastAsia="Cambria" w:hAnsi="Cambria"/>
                <w:color w:val="2D2D2D"/>
                <w:sz w:val="19"/>
                <w:szCs w:val="19"/>
              </w:rPr>
              <w:t xml:space="preserve"> (</w:t>
            </w:r>
            <w:r>
              <w:rPr>
                <w:rFonts w:ascii="Consolas" w:cs="Consolas" w:eastAsia="Consolas" w:hAnsi="Consolas"/>
                <w:color w:val="7A1526"/>
                <w:sz w:val="17"/>
                <w:szCs w:val="17"/>
              </w:rPr>
              <w:t xml:space="preserve">campaign</w:t>
            </w:r>
            <w:r>
              <w:rPr>
                <w:rFonts w:ascii="Cambria" w:cs="Cambria" w:eastAsia="Cambria" w:hAnsi="Cambria"/>
                <w:color w:val="2D2D2D"/>
                <w:sz w:val="19"/>
                <w:szCs w:val="19"/>
              </w:rPr>
              <w:t xml:space="preserve"> </w:t>
            </w:r>
            <w:r>
              <w:rPr>
                <w:rFonts w:ascii="Calibri" w:cs="Calibri" w:eastAsia="Calibri" w:hAnsi="Calibri"/>
                <w:color w:val="2D2D2D"/>
                <w:sz w:val="19"/>
                <w:szCs w:val="19"/>
              </w:rPr>
              <w:t xml:space="preserve">→</w:t>
            </w:r>
            <w:r>
              <w:rPr>
                <w:rFonts w:ascii="Cambria" w:cs="Cambria" w:eastAsia="Cambria" w:hAnsi="Cambria"/>
                <w:color w:val="2D2D2D"/>
                <w:sz w:val="19"/>
                <w:szCs w:val="19"/>
              </w:rPr>
              <w:t xml:space="preserve"> </w:t>
            </w:r>
            <w:r>
              <w:rPr>
                <w:rFonts w:ascii="Consolas" w:cs="Consolas" w:eastAsia="Consolas" w:hAnsi="Consolas"/>
                <w:color w:val="7A1526"/>
                <w:sz w:val="17"/>
                <w:szCs w:val="17"/>
              </w:rPr>
              <w:t xml:space="preserve">uso_post</w:t>
            </w:r>
            <w:r>
              <w:rPr>
                <w:rFonts w:ascii="Cambria" w:cs="Cambria" w:eastAsia="Cambria" w:hAnsi="Cambria"/>
                <w:color w:val="2D2D2D"/>
                <w:sz w:val="19"/>
                <w:szCs w:val="19"/>
              </w:rPr>
              <w:t xml:space="preserve"> ← </w:t>
            </w:r>
            <w:r>
              <w:rPr>
                <w:rFonts w:ascii="Consolas" w:cs="Consolas" w:eastAsia="Consolas" w:hAnsi="Consolas"/>
                <w:color w:val="7A1526"/>
                <w:sz w:val="17"/>
                <w:szCs w:val="17"/>
              </w:rPr>
              <w:t xml:space="preserve">value</w:t>
            </w:r>
            <w:r>
              <w:rPr>
                <w:rFonts w:ascii="Cambria" w:cs="Cambria" w:eastAsia="Cambria" w:hAnsi="Cambria"/>
                <w:color w:val="2D2D2D"/>
                <w:sz w:val="19"/>
                <w:szCs w:val="19"/>
              </w:rPr>
              <w:t xml:space="preserve">): condicionar en él </w:t>
            </w:r>
            <w:r>
              <w:rPr>
                <w:rFonts w:ascii="Cambria" w:cs="Cambria" w:eastAsia="Cambria" w:hAnsi="Cambria"/>
                <w:b/>
                <w:bCs/>
                <w:color w:val="2D2D2D"/>
                <w:sz w:val="19"/>
                <w:szCs w:val="19"/>
              </w:rPr>
              <w:t xml:space="preserve">abre</w:t>
            </w:r>
            <w:r>
              <w:rPr>
                <w:rFonts w:ascii="Cambria" w:cs="Cambria" w:eastAsia="Cambria" w:hAnsi="Cambria"/>
                <w:color w:val="2D2D2D"/>
                <w:sz w:val="19"/>
                <w:szCs w:val="19"/>
              </w:rPr>
              <w:t xml:space="preserve"> un camino y </w:t>
            </w:r>
            <w:r>
              <w:rPr>
                <w:rFonts w:ascii="Cambria" w:cs="Cambria" w:eastAsia="Cambria" w:hAnsi="Cambria"/>
                <w:b/>
                <w:bCs/>
                <w:color w:val="2D2D2D"/>
                <w:sz w:val="19"/>
                <w:szCs w:val="19"/>
              </w:rPr>
              <w:t xml:space="preserve">fabrica</w:t>
            </w:r>
            <w:r>
              <w:rPr>
                <w:rFonts w:ascii="Cambria" w:cs="Cambria" w:eastAsia="Cambria" w:hAnsi="Cambria"/>
                <w:color w:val="2D2D2D"/>
                <w:sz w:val="19"/>
                <w:szCs w:val="19"/>
              </w:rPr>
              <w:t xml:space="preserve"> un sesgo que no existía. La variante del DAG del notebook añade un collider para practicar exactamente este error. Actividad en parejas (drill 1): dibujar el DAG del caso de negocio, etiquetar </w:t>
            </w:r>
            <w:r>
              <w:rPr>
                <w:rFonts w:ascii="Consolas" w:cs="Consolas" w:eastAsia="Consolas" w:hAnsi="Consolas"/>
                <w:color w:val="7A1526"/>
                <w:sz w:val="17"/>
                <w:szCs w:val="17"/>
              </w:rPr>
              <w:t xml:space="preserve">engagement</w:t>
            </w:r>
            <w:r>
              <w:rPr>
                <w:rFonts w:ascii="Cambria" w:cs="Cambria" w:eastAsia="Cambria" w:hAnsi="Cambria"/>
                <w:color w:val="2D2D2D"/>
                <w:sz w:val="19"/>
                <w:szCs w:val="19"/>
              </w:rPr>
              <w:t xml:space="preserve"> (confusor), </w:t>
            </w:r>
            <w:r>
              <w:rPr>
                <w:rFonts w:ascii="Consolas" w:cs="Consolas" w:eastAsia="Consolas" w:hAnsi="Consolas"/>
                <w:color w:val="7A1526"/>
                <w:sz w:val="17"/>
                <w:szCs w:val="17"/>
              </w:rPr>
              <w:t xml:space="preserve">tenure</w:t>
            </w:r>
            <w:r>
              <w:rPr>
                <w:rFonts w:ascii="Cambria" w:cs="Cambria" w:eastAsia="Cambria" w:hAnsi="Cambria"/>
                <w:color w:val="2D2D2D"/>
                <w:sz w:val="19"/>
                <w:szCs w:val="19"/>
              </w:rPr>
              <w:t xml:space="preserve"> (precisión) y el </w:t>
            </w:r>
            <w:r>
              <w:rPr>
                <w:rFonts w:ascii="Consolas" w:cs="Consolas" w:eastAsia="Consolas" w:hAnsi="Consolas"/>
                <w:color w:val="7A1526"/>
                <w:sz w:val="17"/>
                <w:szCs w:val="17"/>
              </w:rPr>
              <w:t xml:space="preserve">uso_post</w:t>
            </w:r>
            <w:r>
              <w:rPr>
                <w:rFonts w:ascii="Cambria" w:cs="Cambria" w:eastAsia="Cambria" w:hAnsi="Cambria"/>
                <w:color w:val="2D2D2D"/>
                <w:sz w:val="19"/>
                <w:szCs w:val="19"/>
              </w:rPr>
              <w:t xml:space="preserve"> de la variante (collider), y escribir el </w:t>
            </w:r>
            <w:r>
              <w:rPr>
                <w:rFonts w:ascii="Cambria" w:cs="Cambria" w:eastAsia="Cambria" w:hAnsi="Cambria"/>
                <w:b/>
                <w:bCs/>
                <w:color w:val="2D2D2D"/>
                <w:sz w:val="19"/>
                <w:szCs w:val="19"/>
              </w:rPr>
              <w:t xml:space="preserve">conjunto de ajuste</w:t>
            </w:r>
            <w:r>
              <w:rPr>
                <w:rFonts w:ascii="Cambria" w:cs="Cambria" w:eastAsia="Cambria" w:hAnsi="Cambria"/>
                <w:color w:val="2D2D2D"/>
                <w:sz w:val="19"/>
                <w:szCs w:val="19"/>
              </w:rPr>
              <w:t xml:space="preserve"> {</w:t>
            </w:r>
            <w:r>
              <w:rPr>
                <w:rFonts w:ascii="Consolas" w:cs="Consolas" w:eastAsia="Consolas" w:hAnsi="Consolas"/>
                <w:color w:val="7A1526"/>
                <w:sz w:val="17"/>
                <w:szCs w:val="17"/>
              </w:rPr>
              <w:t xml:space="preserve">engagement</w:t>
            </w:r>
            <w:r>
              <w:rPr>
                <w:rFonts w:ascii="Cambria" w:cs="Cambria" w:eastAsia="Cambria" w:hAnsi="Cambria"/>
                <w:color w:val="2D2D2D"/>
                <w:sz w:val="19"/>
                <w:szCs w:val="19"/>
              </w:rPr>
              <w:t xml:space="preserve">} y justificar por qué cierra la puerta trasera y por qué no se incluye el collider.</w:t>
            </w:r>
          </w:p>
        </w:tc>
        <w:tc>
          <w:tcPr>
            <w:tcW w:type="dxa" w:w="3000"/>
            <w:tcBorders>
              <w:top w:val="single" w:color="DFE2E6" w:sz="4"/>
              <w:left w:val="single" w:color="E4002B" w:sz="12"/>
              <w:bottom w:val="single" w:color="DFE2E6" w:sz="4"/>
              <w:right w:val="none" w:color="FFFFFF" w:sz="0"/>
            </w:tcBorders>
            <w:shd w:fill="F2F3F5" w:color="auto" w:val="clear"/>
            <w:tcMar>
              <w:top w:type="dxa" w:w="110"/>
              <w:left w:type="dxa" w:w="150"/>
              <w:bottom w:type="dxa" w:w="110"/>
              <w:right w:type="dxa" w:w="150"/>
            </w:tcMar>
            <w:vAlign w:val="top"/>
          </w:tcPr>
          <w:p>
            <w:pPr>
              <w:spacing w:line="265"/>
            </w:pPr>
            <w:r>
              <w:rPr>
                <w:rFonts w:ascii="Calibri" w:cs="Calibri" w:eastAsia="Calibri" w:hAnsi="Calibri"/>
                <w:b/>
                <w:bCs/>
                <w:color w:val="7A1526"/>
                <w:sz w:val="19"/>
                <w:szCs w:val="19"/>
              </w:rPr>
              <w:t xml:space="preserve">▸ </w:t>
            </w:r>
            <w:r>
              <w:rPr>
                <w:rFonts w:ascii="Cambria" w:cs="Cambria" w:eastAsia="Cambria" w:hAnsi="Cambria"/>
                <w:color w:val="2D2D2D"/>
                <w:sz w:val="19"/>
                <w:szCs w:val="19"/>
              </w:rPr>
              <w:t xml:space="preserve">el DAG del caso de negocio dibujado, con el confusor, la covariable de precisión y — en la variante — el collider identificados, y el </w:t>
            </w:r>
            <w:r>
              <w:rPr>
                <w:rFonts w:ascii="Cambria" w:cs="Cambria" w:eastAsia="Cambria" w:hAnsi="Cambria"/>
                <w:b/>
                <w:bCs/>
                <w:color w:val="2D2D2D"/>
                <w:sz w:val="19"/>
                <w:szCs w:val="19"/>
              </w:rPr>
              <w:t xml:space="preserve">conjunto de ajuste</w:t>
            </w:r>
            <w:r>
              <w:rPr>
                <w:rFonts w:ascii="Cambria" w:cs="Cambria" w:eastAsia="Cambria" w:hAnsi="Cambria"/>
                <w:color w:val="2D2D2D"/>
                <w:sz w:val="19"/>
                <w:szCs w:val="19"/>
              </w:rPr>
              <w:t xml:space="preserve"> que cierra las puertas traseras escrito de forma explícita.</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single" w:color="E4002B" w:sz="14"/>
              <w:left w:val="none" w:color="FFFFFF" w:sz="0"/>
              <w:bottom w:val="single" w:color="D9D9D9" w:sz="4"/>
              <w:right w:val="none" w:color="FFFFFF" w:sz="0"/>
            </w:tcBorders>
            <w:shd w:fill="F2F3F5" w:color="auto" w:val="clear"/>
            <w:tcMar>
              <w:top w:type="dxa" w:w="110"/>
              <w:left w:type="dxa" w:w="150"/>
              <w:bottom w:type="dxa" w:w="110"/>
              <w:right w:type="dxa" w:w="150"/>
            </w:tcMar>
          </w:tcPr>
          <w:p>
            <w:pPr>
              <w:keepNext/>
              <w:spacing w:after="80"/>
            </w:pPr>
            <w:r>
              <w:rPr>
                <w:rFonts w:ascii="Calibri" w:cs="Calibri" w:eastAsia="Calibri" w:hAnsi="Calibri"/>
                <w:b/>
                <w:bCs/>
                <w:color w:val="7A1526"/>
                <w:sz w:val="15"/>
                <w:szCs w:val="15"/>
              </w:rPr>
              <w:t xml:space="preserve">NOTA TÉCNICA 1.5   </w:t>
            </w:r>
            <w:r>
              <w:rPr>
                <w:rFonts w:ascii="Calibri" w:cs="Calibri" w:eastAsia="Calibri" w:hAnsi="Calibri"/>
                <w:b/>
                <w:bCs/>
                <w:color w:val="7A1526"/>
                <w:sz w:val="19"/>
                <w:szCs w:val="19"/>
              </w:rPr>
              <w:t xml:space="preserve">Controlar solo confusores: la idea central del drill 1</w:t>
            </w:r>
          </w:p>
          <w:p>
            <w:pPr>
              <w:spacing w:after="70" w:line="265"/>
            </w:pPr>
            <w:r>
              <w:rPr>
                <w:rFonts w:ascii="Cambria" w:cs="Cambria" w:eastAsia="Cambria" w:hAnsi="Cambria"/>
                <w:b/>
                <w:bCs/>
                <w:color w:val="3A3A3A"/>
                <w:sz w:val="18"/>
                <w:szCs w:val="18"/>
              </w:rPr>
              <w:t xml:space="preserve">La idea que hay que llevarse</w:t>
            </w:r>
            <w:r>
              <w:rPr>
                <w:rFonts w:ascii="Cambria" w:cs="Cambria" w:eastAsia="Cambria" w:hAnsi="Cambria"/>
                <w:color w:val="3A3A3A"/>
                <w:sz w:val="18"/>
                <w:szCs w:val="18"/>
              </w:rPr>
              <w:t xml:space="preserve">: el reflejo de «incluir todas las variables en el modelo» es el </w:t>
            </w:r>
            <w:r>
              <w:rPr>
                <w:rFonts w:ascii="Cambria" w:cs="Cambria" w:eastAsia="Cambria" w:hAnsi="Cambria"/>
                <w:b/>
                <w:bCs/>
                <w:color w:val="3A3A3A"/>
                <w:sz w:val="18"/>
                <w:szCs w:val="18"/>
              </w:rPr>
              <w:t xml:space="preserve">error nº1</w:t>
            </w:r>
            <w:r>
              <w:rPr>
                <w:rFonts w:ascii="Cambria" w:cs="Cambria" w:eastAsia="Cambria" w:hAnsi="Cambria"/>
                <w:color w:val="3A3A3A"/>
                <w:sz w:val="18"/>
                <w:szCs w:val="18"/>
              </w:rPr>
              <w:t xml:space="preserve"> de la analítica causal. Un DAG dice que controlar de más — un mediador o, peor, un collider — </w:t>
            </w:r>
            <w:r>
              <w:rPr>
                <w:rFonts w:ascii="Cambria" w:cs="Cambria" w:eastAsia="Cambria" w:hAnsi="Cambria"/>
                <w:b/>
                <w:bCs/>
                <w:color w:val="3A3A3A"/>
                <w:sz w:val="18"/>
                <w:szCs w:val="18"/>
              </w:rPr>
              <w:t xml:space="preserve">daña</w:t>
            </w:r>
            <w:r>
              <w:rPr>
                <w:rFonts w:ascii="Cambria" w:cs="Cambria" w:eastAsia="Cambria" w:hAnsi="Cambria"/>
                <w:color w:val="3A3A3A"/>
                <w:sz w:val="18"/>
                <w:szCs w:val="18"/>
              </w:rPr>
              <w:t xml:space="preserve"> la estimación en lugar de mejorarla. Se controla lo que </w:t>
            </w:r>
            <w:r>
              <w:rPr>
                <w:rFonts w:ascii="Cambria" w:cs="Cambria" w:eastAsia="Cambria" w:hAnsi="Cambria"/>
                <w:b/>
                <w:bCs/>
                <w:color w:val="3A3A3A"/>
                <w:sz w:val="18"/>
                <w:szCs w:val="18"/>
              </w:rPr>
              <w:t xml:space="preserve">cierra puertas traseras</w:t>
            </w:r>
            <w:r>
              <w:rPr>
                <w:rFonts w:ascii="Cambria" w:cs="Cambria" w:eastAsia="Cambria" w:hAnsi="Cambria"/>
                <w:color w:val="3A3A3A"/>
                <w:sz w:val="18"/>
                <w:szCs w:val="18"/>
              </w:rPr>
              <w:t xml:space="preserve">, ni una variable más.</w:t>
            </w:r>
          </w:p>
          <w:p>
            <w:pPr>
              <w:spacing w:after="70" w:line="265"/>
            </w:pPr>
            <w:r>
              <w:rPr>
                <w:rFonts w:ascii="Cambria" w:cs="Cambria" w:eastAsia="Cambria" w:hAnsi="Cambria"/>
                <w:b/>
                <w:bCs/>
                <w:color w:val="3A3A3A"/>
                <w:sz w:val="18"/>
                <w:szCs w:val="18"/>
              </w:rPr>
              <w:t xml:space="preserve">Errores de lectura a evitar</w:t>
            </w:r>
            <w:r>
              <w:rPr>
                <w:rFonts w:ascii="Cambria" w:cs="Cambria" w:eastAsia="Cambria" w:hAnsi="Cambria"/>
                <w:color w:val="3A3A3A"/>
                <w:sz w:val="18"/>
                <w:szCs w:val="18"/>
              </w:rPr>
              <w:t xml:space="preserve">: (a) confundir «mismo modelo con más variables» con «mejor control»: incluir un collider fabrica sesgo. (b) Controlar un mediador cuando interesa el </w:t>
            </w:r>
            <w:r>
              <w:rPr>
                <w:rFonts w:ascii="Cambria" w:cs="Cambria" w:eastAsia="Cambria" w:hAnsi="Cambria"/>
                <w:b/>
                <w:bCs/>
                <w:color w:val="3A3A3A"/>
                <w:sz w:val="18"/>
                <w:szCs w:val="18"/>
              </w:rPr>
              <w:t xml:space="preserve">efecto total</w:t>
            </w:r>
            <w:r>
              <w:rPr>
                <w:rFonts w:ascii="Cambria" w:cs="Cambria" w:eastAsia="Cambria" w:hAnsi="Cambria"/>
                <w:color w:val="3A3A3A"/>
                <w:sz w:val="18"/>
                <w:szCs w:val="18"/>
              </w:rPr>
              <w:t xml:space="preserve"> (esconde el canal por el que actúa el tratamiento). (c) Suponer que un confusor </w:t>
            </w:r>
            <w:r>
              <w:rPr>
                <w:rFonts w:ascii="Cambria" w:cs="Cambria" w:eastAsia="Cambria" w:hAnsi="Cambria"/>
                <w:b/>
                <w:bCs/>
                <w:color w:val="3A3A3A"/>
                <w:sz w:val="18"/>
                <w:szCs w:val="18"/>
              </w:rPr>
              <w:t xml:space="preserve">no observado</w:t>
            </w:r>
            <w:r>
              <w:rPr>
                <w:rFonts w:ascii="Cambria" w:cs="Cambria" w:eastAsia="Cambria" w:hAnsi="Cambria"/>
                <w:color w:val="3A3A3A"/>
                <w:sz w:val="18"/>
                <w:szCs w:val="18"/>
              </w:rPr>
              <w:t xml:space="preserve"> (p. ej. la «intención de irse») se corrige con más regresión: si falla la ignorabilidad, ningún ajuste sobre observables lo arregla.</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0"/>
        <w:gridCol w:w="6080"/>
        <w:gridCol w:w="3000"/>
      </w:tblGrid>
      <w:tr>
        <w:trPr>
          <w:tblHeader/>
        </w:trPr>
        <w:tc>
          <w:tcPr>
            <w:tcW w:type="dxa" w:w="1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TIEMPO</w:t>
            </w:r>
          </w:p>
        </w:tc>
        <w:tc>
          <w:tcPr>
            <w:tcW w:type="dxa" w:w="608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QUÉ HACER</w:t>
            </w:r>
          </w:p>
        </w:tc>
        <w:tc>
          <w:tcPr>
            <w:tcW w:type="dxa" w:w="3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PRODUCTO (lo que queda escrito)</w:t>
            </w:r>
          </w:p>
        </w:tc>
      </w:tr>
      <w:tr>
        <w:tc>
          <w:tcPr>
            <w:tcW w:type="dxa" w:w="10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r>
              <w:rPr>
                <w:rFonts w:ascii="Calibri" w:cs="Calibri" w:eastAsia="Calibri" w:hAnsi="Calibri"/>
                <w:color w:val="6E6E6E"/>
                <w:sz w:val="17"/>
                <w:szCs w:val="17"/>
              </w:rPr>
              <w:t xml:space="preserve">30 min</w:t>
            </w:r>
          </w:p>
        </w:tc>
        <w:tc>
          <w:tcPr>
            <w:tcW w:type="dxa" w:w="60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pPr>
              <w:spacing w:after="70"/>
            </w:pPr>
            <w:r>
              <w:rPr>
                <w:rFonts w:ascii="Calibri" w:cs="Calibri" w:eastAsia="Calibri" w:hAnsi="Calibri"/>
                <w:b/>
                <w:bCs/>
                <w:color w:val="7A1526"/>
                <w:sz w:val="22"/>
                <w:szCs w:val="22"/>
              </w:rPr>
              <w:t xml:space="preserve">P2   </w:t>
            </w:r>
            <w:r>
              <w:rPr>
                <w:rFonts w:ascii="Calibri" w:cs="Calibri" w:eastAsia="Calibri" w:hAnsi="Calibri"/>
                <w:b/>
                <w:bCs/>
                <w:color w:val="7A1526"/>
                <w:sz w:val="19"/>
                <w:szCs w:val="19"/>
              </w:rPr>
              <w:t xml:space="preserve">DiD de Card &amp; Krueger (1994) (drill 2)</w:t>
            </w:r>
          </w:p>
          <w:p>
            <w:pPr>
              <w:spacing w:line="265"/>
            </w:pPr>
            <w:r>
              <w:rPr>
                <w:rFonts w:ascii="Cambria" w:cs="Cambria" w:eastAsia="Cambria" w:hAnsi="Cambria"/>
                <w:color w:val="2D2D2D"/>
                <w:sz w:val="19"/>
                <w:szCs w:val="19"/>
              </w:rPr>
              <w:t xml:space="preserve">En </w:t>
            </w:r>
            <w:r>
              <w:rPr>
                <w:rFonts w:ascii="Cambria" w:cs="Cambria" w:eastAsia="Cambria" w:hAnsi="Cambria"/>
                <w:b/>
                <w:bCs/>
                <w:color w:val="2D2D2D"/>
                <w:sz w:val="19"/>
                <w:szCs w:val="19"/>
              </w:rPr>
              <w:t xml:space="preserve">1994</w:t>
            </w:r>
            <w:r>
              <w:rPr>
                <w:rFonts w:ascii="Cambria" w:cs="Cambria" w:eastAsia="Cambria" w:hAnsi="Cambria"/>
                <w:color w:val="2D2D2D"/>
                <w:sz w:val="19"/>
                <w:szCs w:val="19"/>
              </w:rPr>
              <w:t xml:space="preserve">, </w:t>
            </w:r>
            <w:r>
              <w:rPr>
                <w:rFonts w:ascii="Cambria" w:cs="Cambria" w:eastAsia="Cambria" w:hAnsi="Cambria"/>
                <w:b/>
                <w:bCs/>
                <w:color w:val="2D2D2D"/>
                <w:sz w:val="19"/>
                <w:szCs w:val="19"/>
              </w:rPr>
              <w:t xml:space="preserve">David Card</w:t>
            </w:r>
            <w:r>
              <w:rPr>
                <w:rFonts w:ascii="Cambria" w:cs="Cambria" w:eastAsia="Cambria" w:hAnsi="Cambria"/>
                <w:color w:val="2D2D2D"/>
                <w:sz w:val="19"/>
                <w:szCs w:val="19"/>
              </w:rPr>
              <w:t xml:space="preserve"> y </w:t>
            </w:r>
            <w:r>
              <w:rPr>
                <w:rFonts w:ascii="Cambria" w:cs="Cambria" w:eastAsia="Cambria" w:hAnsi="Cambria"/>
                <w:b/>
                <w:bCs/>
                <w:color w:val="2D2D2D"/>
                <w:sz w:val="19"/>
                <w:szCs w:val="19"/>
              </w:rPr>
              <w:t xml:space="preserve">Alan B. Krueger</w:t>
            </w:r>
            <w:r>
              <w:rPr>
                <w:rFonts w:ascii="Cambria" w:cs="Cambria" w:eastAsia="Cambria" w:hAnsi="Cambria"/>
                <w:color w:val="2D2D2D"/>
                <w:sz w:val="19"/>
                <w:szCs w:val="19"/>
              </w:rPr>
              <w:t xml:space="preserve">, en </w:t>
            </w:r>
            <w:r>
              <w:rPr>
                <w:rFonts w:ascii="Cambria" w:cs="Cambria" w:eastAsia="Cambria" w:hAnsi="Cambria"/>
                <w:i/>
                <w:iCs/>
                <w:color w:val="2D2D2D"/>
                <w:sz w:val="19"/>
                <w:szCs w:val="19"/>
              </w:rPr>
              <w:t xml:space="preserve">Minimum Wages and Employment: A Case Study of the Fast-Food Industry in New Jersey and Pennsylvania</w:t>
            </w:r>
            <w:r>
              <w:rPr>
                <w:rFonts w:ascii="Cambria" w:cs="Cambria" w:eastAsia="Cambria" w:hAnsi="Cambria"/>
                <w:color w:val="2D2D2D"/>
                <w:sz w:val="19"/>
                <w:szCs w:val="19"/>
              </w:rPr>
              <w:t xml:space="preserve"> (</w:t>
            </w:r>
            <w:r>
              <w:rPr>
                <w:rFonts w:ascii="Cambria" w:cs="Cambria" w:eastAsia="Cambria" w:hAnsi="Cambria"/>
                <w:b/>
                <w:bCs/>
                <w:color w:val="2D2D2D"/>
                <w:sz w:val="19"/>
                <w:szCs w:val="19"/>
              </w:rPr>
              <w:t xml:space="preserve">American Economic Review 84(4):772-793</w:t>
            </w:r>
            <w:r>
              <w:rPr>
                <w:rFonts w:ascii="Cambria" w:cs="Cambria" w:eastAsia="Cambria" w:hAnsi="Cambria"/>
                <w:color w:val="2D2D2D"/>
                <w:sz w:val="19"/>
                <w:szCs w:val="19"/>
              </w:rPr>
              <w:t xml:space="preserve">), aprovecharon un </w:t>
            </w:r>
            <w:r>
              <w:rPr>
                <w:rFonts w:ascii="Cambria" w:cs="Cambria" w:eastAsia="Cambria" w:hAnsi="Cambria"/>
                <w:b/>
                <w:bCs/>
                <w:color w:val="2D2D2D"/>
                <w:sz w:val="19"/>
                <w:szCs w:val="19"/>
              </w:rPr>
              <w:t xml:space="preserve">cuasi-experimento natural</w:t>
            </w:r>
            <w:r>
              <w:rPr>
                <w:rFonts w:ascii="Cambria" w:cs="Cambria" w:eastAsia="Cambria" w:hAnsi="Cambria"/>
                <w:color w:val="2D2D2D"/>
                <w:sz w:val="19"/>
                <w:szCs w:val="19"/>
              </w:rPr>
              <w:t xml:space="preserve">: el 01/04/1992 Nueva Jersey (NJ) subió su salario mínimo de 4,25 a 5,05 USD y Pensilvania (PA) lo mantuvo. Encuestaron </w:t>
            </w:r>
            <w:r>
              <w:rPr>
                <w:rFonts w:ascii="Cambria" w:cs="Cambria" w:eastAsia="Cambria" w:hAnsi="Cambria"/>
                <w:b/>
                <w:bCs/>
                <w:color w:val="2D2D2D"/>
                <w:sz w:val="19"/>
                <w:szCs w:val="19"/>
              </w:rPr>
              <w:t xml:space="preserve">410 restaurantes</w:t>
            </w:r>
            <w:r>
              <w:rPr>
                <w:rFonts w:ascii="Cambria" w:cs="Cambria" w:eastAsia="Cambria" w:hAnsi="Cambria"/>
                <w:color w:val="2D2D2D"/>
                <w:sz w:val="19"/>
                <w:szCs w:val="19"/>
              </w:rPr>
              <w:t xml:space="preserve"> de comida rápida </w:t>
            </w:r>
            <w:r>
              <w:rPr>
                <w:rFonts w:ascii="Cambria" w:cs="Cambria" w:eastAsia="Cambria" w:hAnsi="Cambria"/>
                <w:b/>
                <w:bCs/>
                <w:color w:val="2D2D2D"/>
                <w:sz w:val="19"/>
                <w:szCs w:val="19"/>
              </w:rPr>
              <w:t xml:space="preserve">antes</w:t>
            </w:r>
            <w:r>
              <w:rPr>
                <w:rFonts w:ascii="Cambria" w:cs="Cambria" w:eastAsia="Cambria" w:hAnsi="Cambria"/>
                <w:color w:val="2D2D2D"/>
                <w:sz w:val="19"/>
                <w:szCs w:val="19"/>
              </w:rPr>
              <w:t xml:space="preserve"> (feb-mar 1992) y </w:t>
            </w:r>
            <w:r>
              <w:rPr>
                <w:rFonts w:ascii="Cambria" w:cs="Cambria" w:eastAsia="Cambria" w:hAnsi="Cambria"/>
                <w:b/>
                <w:bCs/>
                <w:color w:val="2D2D2D"/>
                <w:sz w:val="19"/>
                <w:szCs w:val="19"/>
              </w:rPr>
              <w:t xml:space="preserve">después</w:t>
            </w:r>
            <w:r>
              <w:rPr>
                <w:rFonts w:ascii="Cambria" w:cs="Cambria" w:eastAsia="Cambria" w:hAnsi="Cambria"/>
                <w:color w:val="2D2D2D"/>
                <w:sz w:val="19"/>
                <w:szCs w:val="19"/>
              </w:rPr>
              <w:t xml:space="preserve"> (nov-dic 1992) y compararon a NJ (tratado) con PA (control) mediante </w:t>
            </w:r>
            <w:r>
              <w:rPr>
                <w:rFonts w:ascii="Cambria" w:cs="Cambria" w:eastAsia="Cambria" w:hAnsi="Cambria"/>
                <w:b/>
                <w:bCs/>
                <w:color w:val="2D2D2D"/>
                <w:sz w:val="19"/>
                <w:szCs w:val="19"/>
              </w:rPr>
              <w:t xml:space="preserve">Diferencias en Diferencias</w:t>
            </w:r>
            <w:r>
              <w:rPr>
                <w:rFonts w:ascii="Cambria" w:cs="Cambria" w:eastAsia="Cambria" w:hAnsi="Cambria"/>
                <w:color w:val="2D2D2D"/>
                <w:sz w:val="19"/>
                <w:szCs w:val="19"/>
              </w:rPr>
              <w:t xml:space="preserve">. Contra la predicción del modelo competitivo (subir el salario mínimo destruye empleo), el efecto sobre el empleo fue </w:t>
            </w:r>
            <w:r>
              <w:rPr>
                <w:rFonts w:ascii="Cambria" w:cs="Cambria" w:eastAsia="Cambria" w:hAnsi="Cambria"/>
                <w:b/>
                <w:bCs/>
                <w:color w:val="2D2D2D"/>
                <w:sz w:val="19"/>
                <w:szCs w:val="19"/>
              </w:rPr>
              <w:t xml:space="preserve">no negativo</w:t>
            </w:r>
            <w:r>
              <w:rPr>
                <w:rFonts w:ascii="Cambria" w:cs="Cambria" w:eastAsia="Cambria" w:hAnsi="Cambria"/>
                <w:color w:val="2D2D2D"/>
                <w:sz w:val="19"/>
                <w:szCs w:val="19"/>
              </w:rPr>
              <w:t xml:space="preserve"> — el caso canónico de DiD; David Card recibió el Nobel de Economía 2021 por esta línea de trabajo. </w:t>
            </w:r>
            <w:r>
              <w:rPr>
                <w:rFonts w:ascii="Cambria" w:cs="Cambria" w:eastAsia="Cambria" w:hAnsi="Cambria"/>
                <w:b/>
                <w:bCs/>
                <w:color w:val="2D2D2D"/>
                <w:sz w:val="19"/>
                <w:szCs w:val="19"/>
              </w:rPr>
              <w:t xml:space="preserve">Cargar la base original.</w:t>
            </w:r>
            <w:r>
              <w:rPr>
                <w:rFonts w:ascii="Cambria" w:cs="Cambria" w:eastAsia="Cambria" w:hAnsi="Cambria"/>
                <w:color w:val="2D2D2D"/>
                <w:sz w:val="19"/>
                <w:szCs w:val="19"/>
              </w:rPr>
              <w:t xml:space="preserve"> Descargar </w:t>
            </w:r>
            <w:r>
              <w:rPr>
                <w:rFonts w:ascii="Consolas" w:cs="Consolas" w:eastAsia="Consolas" w:hAnsi="Consolas"/>
                <w:color w:val="7A1526"/>
                <w:sz w:val="17"/>
                <w:szCs w:val="17"/>
              </w:rPr>
              <w:t xml:space="preserve">njmin.zip</w:t>
            </w:r>
            <w:r>
              <w:rPr>
                <w:rFonts w:ascii="Cambria" w:cs="Cambria" w:eastAsia="Cambria" w:hAnsi="Cambria"/>
                <w:color w:val="2D2D2D"/>
                <w:sz w:val="19"/>
                <w:szCs w:val="19"/>
              </w:rPr>
              <w:t xml:space="preserve"> de David Card (Berkeley), extraer </w:t>
            </w:r>
            <w:r>
              <w:rPr>
                <w:rFonts w:ascii="Consolas" w:cs="Consolas" w:eastAsia="Consolas" w:hAnsi="Consolas"/>
                <w:color w:val="7A1526"/>
                <w:sz w:val="17"/>
                <w:szCs w:val="17"/>
              </w:rPr>
              <w:t xml:space="preserve">public.dat</w:t>
            </w:r>
            <w:r>
              <w:rPr>
                <w:rFonts w:ascii="Cambria" w:cs="Cambria" w:eastAsia="Cambria" w:hAnsi="Cambria"/>
                <w:color w:val="2D2D2D"/>
                <w:sz w:val="19"/>
                <w:szCs w:val="19"/>
              </w:rPr>
              <w:t xml:space="preserve"> (410 filas, sin cabecera, separado por espacios), asignar los </w:t>
            </w:r>
            <w:r>
              <w:rPr>
                <w:rFonts w:ascii="Cambria" w:cs="Cambria" w:eastAsia="Cambria" w:hAnsi="Cambria"/>
                <w:b/>
                <w:bCs/>
                <w:color w:val="2D2D2D"/>
                <w:sz w:val="19"/>
                <w:szCs w:val="19"/>
              </w:rPr>
              <w:t xml:space="preserve">46 nombres en el orden exacto</w:t>
            </w:r>
            <w:r>
              <w:rPr>
                <w:rFonts w:ascii="Cambria" w:cs="Cambria" w:eastAsia="Cambria" w:hAnsi="Cambria"/>
                <w:color w:val="2D2D2D"/>
                <w:sz w:val="19"/>
                <w:szCs w:val="19"/>
              </w:rPr>
              <w:t xml:space="preserve"> del codebook y leer los faltantes como NaN (venían como «.»). Verificar por código </w:t>
            </w:r>
            <w:r>
              <w:rPr>
                <w:rFonts w:ascii="Cambria" w:cs="Cambria" w:eastAsia="Cambria" w:hAnsi="Cambria"/>
                <w:b/>
                <w:bCs/>
                <w:color w:val="2D2D2D"/>
                <w:sz w:val="19"/>
                <w:szCs w:val="19"/>
              </w:rPr>
              <w:t xml:space="preserve">410 restaurantes</w:t>
            </w:r>
            <w:r>
              <w:rPr>
                <w:rFonts w:ascii="Cambria" w:cs="Cambria" w:eastAsia="Cambria" w:hAnsi="Cambria"/>
                <w:color w:val="2D2D2D"/>
                <w:sz w:val="19"/>
                <w:szCs w:val="19"/>
              </w:rPr>
              <w:t xml:space="preserve"> (apoyo </w:t>
            </w:r>
            <w:r>
              <w:rPr>
                <w:rFonts w:ascii="Cambria" w:cs="Cambria" w:eastAsia="Cambria" w:hAnsi="Cambria"/>
                <w:b/>
                <w:bCs/>
                <w:color w:val="2D2D2D"/>
                <w:sz w:val="19"/>
                <w:szCs w:val="19"/>
              </w:rPr>
              <w:t xml:space="preserve">A2</w:t>
            </w:r>
            <w:r>
              <w:rPr>
                <w:rFonts w:ascii="Cambria" w:cs="Cambria" w:eastAsia="Cambria" w:hAnsi="Cambria"/>
                <w:color w:val="2D2D2D"/>
                <w:sz w:val="19"/>
                <w:szCs w:val="19"/>
              </w:rPr>
              <w:t xml:space="preserve">): un desfase de columnas rompe el </w:t>
            </w:r>
            <w:r>
              <w:rPr>
                <w:rFonts w:ascii="Consolas" w:cs="Consolas" w:eastAsia="Consolas" w:hAnsi="Consolas"/>
                <w:color w:val="7A1526"/>
                <w:sz w:val="17"/>
                <w:szCs w:val="17"/>
              </w:rPr>
              <w:t xml:space="preserve">FTE</w:t>
            </w:r>
            <w:r>
              <w:rPr>
                <w:rFonts w:ascii="Cambria" w:cs="Cambria" w:eastAsia="Cambria" w:hAnsi="Cambria"/>
                <w:color w:val="2D2D2D"/>
                <w:sz w:val="19"/>
                <w:szCs w:val="19"/>
              </w:rPr>
              <w:t xml:space="preserve"> en silencio. </w:t>
            </w:r>
            <w:r>
              <w:rPr>
                <w:rFonts w:ascii="Cambria" w:cs="Cambria" w:eastAsia="Cambria" w:hAnsi="Cambria"/>
                <w:b/>
                <w:bCs/>
                <w:color w:val="2D2D2D"/>
                <w:sz w:val="19"/>
                <w:szCs w:val="19"/>
              </w:rPr>
              <w:t xml:space="preserve">Preparar el </w:t>
            </w:r>
            <w:r>
              <w:rPr>
                <w:rFonts w:ascii="Consolas" w:cs="Consolas" w:eastAsia="Consolas" w:hAnsi="Consolas"/>
                <w:b/>
                <w:bCs/>
                <w:color w:val="7A1526"/>
                <w:sz w:val="17"/>
                <w:szCs w:val="17"/>
              </w:rPr>
              <w:t xml:space="preserve">FTE</w:t>
            </w:r>
            <w:r>
              <w:rPr>
                <w:rFonts w:ascii="Cambria" w:cs="Cambria" w:eastAsia="Cambria" w:hAnsi="Cambria"/>
                <w:b/>
                <w:bCs/>
                <w:color w:val="2D2D2D"/>
                <w:sz w:val="19"/>
                <w:szCs w:val="19"/>
              </w:rPr>
              <w:t xml:space="preserve"> (definición del paper).</w:t>
            </w:r>
            <w:r>
              <w:rPr>
                <w:rFonts w:ascii="Cambria" w:cs="Cambria" w:eastAsia="Cambria" w:hAnsi="Cambria"/>
                <w:color w:val="2D2D2D"/>
                <w:sz w:val="19"/>
                <w:szCs w:val="19"/>
              </w:rPr>
              <w:t xml:space="preserve"> El empleo se mide como equivalente a tiempo completo, </w:t>
            </w:r>
            <w:r>
              <w:rPr>
                <w:rFonts w:ascii="Consolas" w:cs="Consolas" w:eastAsia="Consolas" w:hAnsi="Consolas"/>
                <w:color w:val="7A1526"/>
                <w:sz w:val="17"/>
                <w:szCs w:val="17"/>
              </w:rPr>
              <w:t xml:space="preserve">FTE</w:t>
            </w:r>
            <w:r>
              <w:rPr>
                <w:rFonts w:ascii="Cambria" w:cs="Cambria" w:eastAsia="Cambria" w:hAnsi="Cambria"/>
                <w:color w:val="2D2D2D"/>
                <w:sz w:val="19"/>
                <w:szCs w:val="19"/>
              </w:rPr>
              <w:t xml:space="preserve"> = </w:t>
            </w:r>
            <w:r>
              <w:rPr>
                <w:rFonts w:ascii="Consolas" w:cs="Consolas" w:eastAsia="Consolas" w:hAnsi="Consolas"/>
                <w:color w:val="7A1526"/>
                <w:sz w:val="17"/>
                <w:szCs w:val="17"/>
              </w:rPr>
              <w:t xml:space="preserve">EMPFT</w:t>
            </w:r>
            <w:r>
              <w:rPr>
                <w:rFonts w:ascii="Cambria" w:cs="Cambria" w:eastAsia="Cambria" w:hAnsi="Cambria"/>
                <w:color w:val="2D2D2D"/>
                <w:sz w:val="19"/>
                <w:szCs w:val="19"/>
              </w:rPr>
              <w:t xml:space="preserve"> + </w:t>
            </w:r>
            <w:r>
              <w:rPr>
                <w:rFonts w:ascii="Consolas" w:cs="Consolas" w:eastAsia="Consolas" w:hAnsi="Consolas"/>
                <w:color w:val="7A1526"/>
                <w:sz w:val="17"/>
                <w:szCs w:val="17"/>
              </w:rPr>
              <w:t xml:space="preserve">NMGRS</w:t>
            </w:r>
            <w:r>
              <w:rPr>
                <w:rFonts w:ascii="Cambria" w:cs="Cambria" w:eastAsia="Cambria" w:hAnsi="Cambria"/>
                <w:color w:val="2D2D2D"/>
                <w:sz w:val="19"/>
                <w:szCs w:val="19"/>
              </w:rPr>
              <w:t xml:space="preserve"> + 0,5 · </w:t>
            </w:r>
            <w:r>
              <w:rPr>
                <w:rFonts w:ascii="Consolas" w:cs="Consolas" w:eastAsia="Consolas" w:hAnsi="Consolas"/>
                <w:color w:val="7A1526"/>
                <w:sz w:val="17"/>
                <w:szCs w:val="17"/>
              </w:rPr>
              <w:t xml:space="preserve">EMPPT</w:t>
            </w:r>
            <w:r>
              <w:rPr>
                <w:rFonts w:ascii="Cambria" w:cs="Cambria" w:eastAsia="Cambria" w:hAnsi="Cambria"/>
                <w:color w:val="2D2D2D"/>
                <w:sz w:val="19"/>
                <w:szCs w:val="19"/>
              </w:rPr>
              <w:t xml:space="preserve"> por ola (</w:t>
            </w:r>
            <w:r>
              <w:rPr>
                <w:rFonts w:ascii="Consolas" w:cs="Consolas" w:eastAsia="Consolas" w:hAnsi="Consolas"/>
                <w:color w:val="7A1526"/>
                <w:sz w:val="17"/>
                <w:szCs w:val="17"/>
              </w:rPr>
              <w:t xml:space="preserve">FTE1</w:t>
            </w:r>
            <w:r>
              <w:rPr>
                <w:rFonts w:ascii="Cambria" w:cs="Cambria" w:eastAsia="Cambria" w:hAnsi="Cambria"/>
                <w:color w:val="2D2D2D"/>
                <w:sz w:val="19"/>
                <w:szCs w:val="19"/>
              </w:rPr>
              <w:t xml:space="preserve"> antes, </w:t>
            </w:r>
            <w:r>
              <w:rPr>
                <w:rFonts w:ascii="Consolas" w:cs="Consolas" w:eastAsia="Consolas" w:hAnsi="Consolas"/>
                <w:color w:val="7A1526"/>
                <w:sz w:val="17"/>
                <w:szCs w:val="17"/>
              </w:rPr>
              <w:t xml:space="preserve">FTE2</w:t>
            </w:r>
            <w:r>
              <w:rPr>
                <w:rFonts w:ascii="Cambria" w:cs="Cambria" w:eastAsia="Cambria" w:hAnsi="Cambria"/>
                <w:color w:val="2D2D2D"/>
                <w:sz w:val="19"/>
                <w:szCs w:val="19"/>
              </w:rPr>
              <w:t xml:space="preserve"> después); los gerentes cuentan como tiempo completo y los de medio tiempo, la mitad. Olvidar </w:t>
            </w:r>
            <w:r>
              <w:rPr>
                <w:rFonts w:ascii="Consolas" w:cs="Consolas" w:eastAsia="Consolas" w:hAnsi="Consolas"/>
                <w:color w:val="7A1526"/>
                <w:sz w:val="17"/>
                <w:szCs w:val="17"/>
              </w:rPr>
              <w:t xml:space="preserve">NMGRS</w:t>
            </w:r>
            <w:r>
              <w:rPr>
                <w:rFonts w:ascii="Cambria" w:cs="Cambria" w:eastAsia="Cambria" w:hAnsi="Cambria"/>
                <w:color w:val="2D2D2D"/>
                <w:sz w:val="19"/>
                <w:szCs w:val="19"/>
              </w:rPr>
              <w:t xml:space="preserve"> o el factor 0,5 cambia el DiD: es un </w:t>
            </w:r>
            <w:r>
              <w:rPr>
                <w:rFonts w:ascii="Cambria" w:cs="Cambria" w:eastAsia="Cambria" w:hAnsi="Cambria"/>
                <w:b/>
                <w:bCs/>
                <w:color w:val="2D2D2D"/>
                <w:sz w:val="19"/>
                <w:szCs w:val="19"/>
              </w:rPr>
              <w:t xml:space="preserve">error de protocolo</w:t>
            </w:r>
            <w:r>
              <w:rPr>
                <w:rFonts w:ascii="Cambria" w:cs="Cambria" w:eastAsia="Cambria" w:hAnsi="Cambria"/>
                <w:color w:val="2D2D2D"/>
                <w:sz w:val="19"/>
                <w:szCs w:val="19"/>
              </w:rPr>
              <w:t xml:space="preserve">, no un decimal. </w:t>
            </w:r>
            <w:r>
              <w:rPr>
                <w:rFonts w:ascii="Consolas" w:cs="Consolas" w:eastAsia="Consolas" w:hAnsi="Consolas"/>
                <w:color w:val="7A1526"/>
                <w:sz w:val="17"/>
                <w:szCs w:val="17"/>
              </w:rPr>
              <w:t xml:space="preserve">STATE</w:t>
            </w:r>
            <w:r>
              <w:rPr>
                <w:rFonts w:ascii="Cambria" w:cs="Cambria" w:eastAsia="Cambria" w:hAnsi="Cambria"/>
                <w:color w:val="2D2D2D"/>
                <w:sz w:val="19"/>
                <w:szCs w:val="19"/>
              </w:rPr>
              <w:t xml:space="preserve">=1 es NJ (tratado) y </w:t>
            </w:r>
            <w:r>
              <w:rPr>
                <w:rFonts w:ascii="Consolas" w:cs="Consolas" w:eastAsia="Consolas" w:hAnsi="Consolas"/>
                <w:color w:val="7A1526"/>
                <w:sz w:val="17"/>
                <w:szCs w:val="17"/>
              </w:rPr>
              <w:t xml:space="preserve">STATE</w:t>
            </w:r>
            <w:r>
              <w:rPr>
                <w:rFonts w:ascii="Cambria" w:cs="Cambria" w:eastAsia="Cambria" w:hAnsi="Cambria"/>
                <w:color w:val="2D2D2D"/>
                <w:sz w:val="19"/>
                <w:szCs w:val="19"/>
              </w:rPr>
              <w:t xml:space="preserve">=0 es PA (control). </w:t>
            </w:r>
            <w:r>
              <w:rPr>
                <w:rFonts w:ascii="Cambria" w:cs="Cambria" w:eastAsia="Cambria" w:hAnsi="Cambria"/>
                <w:b/>
                <w:bCs/>
                <w:color w:val="2D2D2D"/>
                <w:sz w:val="19"/>
                <w:szCs w:val="19"/>
              </w:rPr>
              <w:t xml:space="preserve">Verificar tendencias paralelas (drill 2).</w:t>
            </w:r>
            <w:r>
              <w:rPr>
                <w:rFonts w:ascii="Cambria" w:cs="Cambria" w:eastAsia="Cambria" w:hAnsi="Cambria"/>
                <w:color w:val="2D2D2D"/>
                <w:sz w:val="19"/>
                <w:szCs w:val="19"/>
              </w:rPr>
              <w:t xml:space="preserve"> El supuesto de identificación del DiD es que, sin el tratamiento, ambos grupos habrían evolucionado con la </w:t>
            </w:r>
            <w:r>
              <w:rPr>
                <w:rFonts w:ascii="Cambria" w:cs="Cambria" w:eastAsia="Cambria" w:hAnsi="Cambria"/>
                <w:b/>
                <w:bCs/>
                <w:color w:val="2D2D2D"/>
                <w:sz w:val="19"/>
                <w:szCs w:val="19"/>
              </w:rPr>
              <w:t xml:space="preserve">misma tendencia</w:t>
            </w:r>
            <w:r>
              <w:rPr>
                <w:rFonts w:ascii="Cambria" w:cs="Cambria" w:eastAsia="Cambria" w:hAnsi="Cambria"/>
                <w:color w:val="2D2D2D"/>
                <w:sz w:val="19"/>
                <w:szCs w:val="19"/>
              </w:rPr>
              <w:t xml:space="preserve"> (la diferencia entre ellos habría sido constante). Con solo </w:t>
            </w:r>
            <w:r>
              <w:rPr>
                <w:rFonts w:ascii="Cambria" w:cs="Cambria" w:eastAsia="Cambria" w:hAnsi="Cambria"/>
                <w:b/>
                <w:bCs/>
                <w:color w:val="2D2D2D"/>
                <w:sz w:val="19"/>
                <w:szCs w:val="19"/>
              </w:rPr>
              <w:t xml:space="preserve">dos olas</w:t>
            </w:r>
            <w:r>
              <w:rPr>
                <w:rFonts w:ascii="Cambria" w:cs="Cambria" w:eastAsia="Cambria" w:hAnsi="Cambria"/>
                <w:color w:val="2D2D2D"/>
                <w:sz w:val="19"/>
                <w:szCs w:val="19"/>
              </w:rPr>
              <w:t xml:space="preserve"> </w:t>
            </w:r>
            <w:r>
              <w:rPr>
                <w:rFonts w:ascii="Cambria" w:cs="Cambria" w:eastAsia="Cambria" w:hAnsi="Cambria"/>
                <w:b/>
                <w:bCs/>
                <w:color w:val="2D2D2D"/>
                <w:sz w:val="19"/>
                <w:szCs w:val="19"/>
              </w:rPr>
              <w:t xml:space="preserve">no</w:t>
            </w:r>
            <w:r>
              <w:rPr>
                <w:rFonts w:ascii="Cambria" w:cs="Cambria" w:eastAsia="Cambria" w:hAnsi="Cambria"/>
                <w:color w:val="2D2D2D"/>
                <w:sz w:val="19"/>
                <w:szCs w:val="19"/>
              </w:rPr>
              <w:t xml:space="preserve"> se pueden testar formalmente las pre-tendencias; se apoya el supuesto en la </w:t>
            </w:r>
            <w:r>
              <w:rPr>
                <w:rFonts w:ascii="Cambria" w:cs="Cambria" w:eastAsia="Cambria" w:hAnsi="Cambria"/>
                <w:b/>
                <w:bCs/>
                <w:color w:val="2D2D2D"/>
                <w:sz w:val="19"/>
                <w:szCs w:val="19"/>
              </w:rPr>
              <w:t xml:space="preserve">comparabilidad de NJ y PA</w:t>
            </w:r>
            <w:r>
              <w:rPr>
                <w:rFonts w:ascii="Cambria" w:cs="Cambria" w:eastAsia="Cambria" w:hAnsi="Cambria"/>
                <w:color w:val="2D2D2D"/>
                <w:sz w:val="19"/>
                <w:szCs w:val="19"/>
              </w:rPr>
              <w:t xml:space="preserve"> (estados fronterizos, mismo sector) y se </w:t>
            </w:r>
            <w:r>
              <w:rPr>
                <w:rFonts w:ascii="Cambria" w:cs="Cambria" w:eastAsia="Cambria" w:hAnsi="Cambria"/>
                <w:b/>
                <w:bCs/>
                <w:color w:val="2D2D2D"/>
                <w:sz w:val="19"/>
                <w:szCs w:val="19"/>
              </w:rPr>
              <w:t xml:space="preserve">declara la limitación</w:t>
            </w:r>
            <w:r>
              <w:rPr>
                <w:rFonts w:ascii="Cambria" w:cs="Cambria" w:eastAsia="Cambria" w:hAnsi="Cambria"/>
                <w:color w:val="2D2D2D"/>
                <w:sz w:val="19"/>
                <w:szCs w:val="19"/>
              </w:rPr>
              <w:t xml:space="preserve"> honestamente. Graficar los niveles antes/después por grupo ayuda a leerlo. DiD </w:t>
            </w:r>
            <w:r>
              <w:rPr>
                <w:rFonts w:ascii="Cambria" w:cs="Cambria" w:eastAsia="Cambria" w:hAnsi="Cambria"/>
                <w:b/>
                <w:bCs/>
                <w:color w:val="2D2D2D"/>
                <w:sz w:val="19"/>
                <w:szCs w:val="19"/>
              </w:rPr>
              <w:t xml:space="preserve">no</w:t>
            </w:r>
            <w:r>
              <w:rPr>
                <w:rFonts w:ascii="Cambria" w:cs="Cambria" w:eastAsia="Cambria" w:hAnsi="Cambria"/>
                <w:color w:val="2D2D2D"/>
                <w:sz w:val="19"/>
                <w:szCs w:val="19"/>
              </w:rPr>
              <w:t xml:space="preserve"> exige que los grupos partan del mismo nivel (por eso resta cambios), solo que evolucionen igual. </w:t>
            </w:r>
            <w:r>
              <w:rPr>
                <w:rFonts w:ascii="Cambria" w:cs="Cambria" w:eastAsia="Cambria" w:hAnsi="Cambria"/>
                <w:b/>
                <w:bCs/>
                <w:color w:val="2D2D2D"/>
                <w:sz w:val="19"/>
                <w:szCs w:val="19"/>
              </w:rPr>
              <w:t xml:space="preserve">Estimar el DiD (target #1).</w:t>
            </w:r>
            <w:r>
              <w:rPr>
                <w:rFonts w:ascii="Cambria" w:cs="Cambria" w:eastAsia="Cambria" w:hAnsi="Cambria"/>
                <w:color w:val="2D2D2D"/>
                <w:sz w:val="19"/>
                <w:szCs w:val="19"/>
              </w:rPr>
              <w:t xml:space="preserve"> El </w:t>
            </w:r>
            <w:r>
              <w:rPr>
                <w:rFonts w:ascii="Cambria" w:cs="Cambria" w:eastAsia="Cambria" w:hAnsi="Cambria"/>
                <w:b/>
                <w:bCs/>
                <w:color w:val="2D2D2D"/>
                <w:sz w:val="19"/>
                <w:szCs w:val="19"/>
              </w:rPr>
              <w:t xml:space="preserve">DiD</w:t>
            </w:r>
            <w:r>
              <w:rPr>
                <w:rFonts w:ascii="Cambria" w:cs="Cambria" w:eastAsia="Cambria" w:hAnsi="Cambria"/>
                <w:color w:val="2D2D2D"/>
                <w:sz w:val="19"/>
                <w:szCs w:val="19"/>
              </w:rPr>
              <w:t xml:space="preserve"> es la doble diferencia de medias — (cambio en el grupo tratado) menos (cambio en el grupo de control) —, es decir (media después tratado − media antes tratado) − (media después control − media antes control). Además se ajusta la regresión </w:t>
            </w:r>
            <w:r>
              <w:rPr>
                <w:rFonts w:ascii="Consolas" w:cs="Consolas" w:eastAsia="Consolas" w:hAnsi="Consolas"/>
                <w:color w:val="7A1526"/>
                <w:sz w:val="17"/>
                <w:szCs w:val="17"/>
              </w:rPr>
              <w:t xml:space="preserve">FTE ~ nj + post + nj:post</w:t>
            </w:r>
            <w:r>
              <w:rPr>
                <w:rFonts w:ascii="Cambria" w:cs="Cambria" w:eastAsia="Cambria" w:hAnsi="Cambria"/>
                <w:color w:val="2D2D2D"/>
                <w:sz w:val="19"/>
                <w:szCs w:val="19"/>
              </w:rPr>
              <w:t xml:space="preserve"> sobre el panel largo balanceado (restaurantes con ambas olas), con errores estándar </w:t>
            </w:r>
            <w:r>
              <w:rPr>
                <w:rFonts w:ascii="Cambria" w:cs="Cambria" w:eastAsia="Cambria" w:hAnsi="Cambria"/>
                <w:b/>
                <w:bCs/>
                <w:color w:val="2D2D2D"/>
                <w:sz w:val="19"/>
                <w:szCs w:val="19"/>
              </w:rPr>
              <w:t xml:space="preserve">clúster</w:t>
            </w:r>
            <w:r>
              <w:rPr>
                <w:rFonts w:ascii="Cambria" w:cs="Cambria" w:eastAsia="Cambria" w:hAnsi="Cambria"/>
                <w:color w:val="2D2D2D"/>
                <w:sz w:val="19"/>
                <w:szCs w:val="19"/>
              </w:rPr>
              <w:t xml:space="preserve"> por restaurante: el coeficiente de la interacción </w:t>
            </w:r>
            <w:r>
              <w:rPr>
                <w:rFonts w:ascii="Consolas" w:cs="Consolas" w:eastAsia="Consolas" w:hAnsi="Consolas"/>
                <w:b/>
                <w:bCs/>
                <w:color w:val="7A1526"/>
                <w:sz w:val="17"/>
                <w:szCs w:val="17"/>
              </w:rPr>
              <w:t xml:space="preserve">nj:post</w:t>
            </w:r>
            <w:r>
              <w:rPr>
                <w:rFonts w:ascii="Cambria" w:cs="Cambria" w:eastAsia="Cambria" w:hAnsi="Cambria"/>
                <w:b/>
                <w:bCs/>
                <w:color w:val="2D2D2D"/>
                <w:sz w:val="19"/>
                <w:szCs w:val="19"/>
              </w:rPr>
              <w:t xml:space="preserve"> ES el DiD</w:t>
            </w:r>
            <w:r>
              <w:rPr>
                <w:rFonts w:ascii="Cambria" w:cs="Cambria" w:eastAsia="Cambria" w:hAnsi="Cambria"/>
                <w:color w:val="2D2D2D"/>
                <w:sz w:val="19"/>
                <w:szCs w:val="19"/>
              </w:rPr>
              <w:t xml:space="preserve"> (venv: </w:t>
            </w:r>
            <w:r>
              <w:rPr>
                <w:rFonts w:ascii="Cambria" w:cs="Cambria" w:eastAsia="Cambria" w:hAnsi="Cambria"/>
                <w:b/>
                <w:bCs/>
                <w:color w:val="2D2D2D"/>
                <w:sz w:val="19"/>
                <w:szCs w:val="19"/>
              </w:rPr>
              <w:t xml:space="preserve">+2,750, SE 1,339</w:t>
            </w:r>
            <w:r>
              <w:rPr>
                <w:rFonts w:ascii="Cambria" w:cs="Cambria" w:eastAsia="Cambria" w:hAnsi="Cambria"/>
                <w:color w:val="2D2D2D"/>
                <w:sz w:val="19"/>
                <w:szCs w:val="19"/>
              </w:rPr>
              <w:t xml:space="preserve">, apoyo </w:t>
            </w:r>
            <w:r>
              <w:rPr>
                <w:rFonts w:ascii="Cambria" w:cs="Cambria" w:eastAsia="Cambria" w:hAnsi="Cambria"/>
                <w:b/>
                <w:bCs/>
                <w:color w:val="2D2D2D"/>
                <w:sz w:val="19"/>
                <w:szCs w:val="19"/>
              </w:rPr>
              <w:t xml:space="preserve">A1</w:t>
            </w:r>
            <w:r>
              <w:rPr>
                <w:rFonts w:ascii="Cambria" w:cs="Cambria" w:eastAsia="Cambria" w:hAnsi="Cambria"/>
                <w:color w:val="2D2D2D"/>
                <w:sz w:val="19"/>
                <w:szCs w:val="19"/>
              </w:rPr>
              <w:t xml:space="preserve">). El signo </w:t>
            </w:r>
            <w:r>
              <w:rPr>
                <w:rFonts w:ascii="Cambria" w:cs="Cambria" w:eastAsia="Cambria" w:hAnsi="Cambria"/>
                <w:b/>
                <w:bCs/>
                <w:color w:val="2D2D2D"/>
                <w:sz w:val="19"/>
                <w:szCs w:val="19"/>
              </w:rPr>
              <w:t xml:space="preserve">positivo</w:t>
            </w:r>
            <w:r>
              <w:rPr>
                <w:rFonts w:ascii="Cambria" w:cs="Cambria" w:eastAsia="Cambria" w:hAnsi="Cambria"/>
                <w:color w:val="2D2D2D"/>
                <w:sz w:val="19"/>
                <w:szCs w:val="19"/>
              </w:rPr>
              <w:t xml:space="preserve"> dice que el alza del salario mínimo </w:t>
            </w:r>
            <w:r>
              <w:rPr>
                <w:rFonts w:ascii="Cambria" w:cs="Cambria" w:eastAsia="Cambria" w:hAnsi="Cambria"/>
                <w:b/>
                <w:bCs/>
                <w:color w:val="2D2D2D"/>
                <w:sz w:val="19"/>
                <w:szCs w:val="19"/>
              </w:rPr>
              <w:t xml:space="preserve">no</w:t>
            </w:r>
            <w:r>
              <w:rPr>
                <w:rFonts w:ascii="Cambria" w:cs="Cambria" w:eastAsia="Cambria" w:hAnsi="Cambria"/>
                <w:color w:val="2D2D2D"/>
                <w:sz w:val="19"/>
                <w:szCs w:val="19"/>
              </w:rPr>
              <w:t xml:space="preserve"> redujo el empleo — el resultado que hizo célebre el estudio. Actividad en parejas (drill 2): cargar </w:t>
            </w:r>
            <w:r>
              <w:rPr>
                <w:rFonts w:ascii="Consolas" w:cs="Consolas" w:eastAsia="Consolas" w:hAnsi="Consolas"/>
                <w:color w:val="7A1526"/>
                <w:sz w:val="17"/>
                <w:szCs w:val="17"/>
              </w:rPr>
              <w:t xml:space="preserve">public.dat</w:t>
            </w:r>
            <w:r>
              <w:rPr>
                <w:rFonts w:ascii="Cambria" w:cs="Cambria" w:eastAsia="Cambria" w:hAnsi="Cambria"/>
                <w:color w:val="2D2D2D"/>
                <w:sz w:val="19"/>
                <w:szCs w:val="19"/>
              </w:rPr>
              <w:t xml:space="preserve"> y verificar 410 restaurantes, calcular el </w:t>
            </w:r>
            <w:r>
              <w:rPr>
                <w:rFonts w:ascii="Consolas" w:cs="Consolas" w:eastAsia="Consolas" w:hAnsi="Consolas"/>
                <w:color w:val="7A1526"/>
                <w:sz w:val="17"/>
                <w:szCs w:val="17"/>
              </w:rPr>
              <w:t xml:space="preserve">FTE</w:t>
            </w:r>
            <w:r>
              <w:rPr>
                <w:rFonts w:ascii="Cambria" w:cs="Cambria" w:eastAsia="Cambria" w:hAnsi="Cambria"/>
                <w:color w:val="2D2D2D"/>
                <w:sz w:val="19"/>
                <w:szCs w:val="19"/>
              </w:rPr>
              <w:t xml:space="preserve"> por ola, rellenar la tabla 2×2 y obtener el DiD (+2,75), leer el coeficiente </w:t>
            </w:r>
            <w:r>
              <w:rPr>
                <w:rFonts w:ascii="Consolas" w:cs="Consolas" w:eastAsia="Consolas" w:hAnsi="Consolas"/>
                <w:color w:val="7A1526"/>
                <w:sz w:val="17"/>
                <w:szCs w:val="17"/>
              </w:rPr>
              <w:t xml:space="preserve">nj:post</w:t>
            </w:r>
            <w:r>
              <w:rPr>
                <w:rFonts w:ascii="Cambria" w:cs="Cambria" w:eastAsia="Cambria" w:hAnsi="Cambria"/>
                <w:color w:val="2D2D2D"/>
                <w:sz w:val="19"/>
                <w:szCs w:val="19"/>
              </w:rPr>
              <w:t xml:space="preserve"> de la regresión y escribir una frase que verifique el supuesto de tendencias paralelas y que declare la limitación de tener solo dos olas.</w:t>
            </w:r>
          </w:p>
        </w:tc>
        <w:tc>
          <w:tcPr>
            <w:tcW w:type="dxa" w:w="3000"/>
            <w:tcBorders>
              <w:top w:val="single" w:color="DFE2E6" w:sz="4"/>
              <w:left w:val="single" w:color="E4002B" w:sz="12"/>
              <w:bottom w:val="single" w:color="DFE2E6" w:sz="4"/>
              <w:right w:val="none" w:color="FFFFFF" w:sz="0"/>
            </w:tcBorders>
            <w:shd w:fill="F2F3F5" w:color="auto" w:val="clear"/>
            <w:tcMar>
              <w:top w:type="dxa" w:w="110"/>
              <w:left w:type="dxa" w:w="150"/>
              <w:bottom w:type="dxa" w:w="110"/>
              <w:right w:type="dxa" w:w="150"/>
            </w:tcMar>
            <w:vAlign w:val="top"/>
          </w:tcPr>
          <w:p>
            <w:pPr>
              <w:spacing w:line="265"/>
            </w:pPr>
            <w:r>
              <w:rPr>
                <w:rFonts w:ascii="Calibri" w:cs="Calibri" w:eastAsia="Calibri" w:hAnsi="Calibri"/>
                <w:b/>
                <w:bCs/>
                <w:color w:val="7A1526"/>
                <w:sz w:val="19"/>
                <w:szCs w:val="19"/>
              </w:rPr>
              <w:t xml:space="preserve">▸ </w:t>
            </w:r>
            <w:r>
              <w:rPr>
                <w:rFonts w:ascii="Cambria" w:cs="Cambria" w:eastAsia="Cambria" w:hAnsi="Cambria"/>
                <w:color w:val="2D2D2D"/>
                <w:sz w:val="19"/>
                <w:szCs w:val="19"/>
              </w:rPr>
              <w:t xml:space="preserve">la serie cargada y verificada (</w:t>
            </w:r>
            <w:r>
              <w:rPr>
                <w:rFonts w:ascii="Cambria" w:cs="Cambria" w:eastAsia="Cambria" w:hAnsi="Cambria"/>
                <w:b/>
                <w:bCs/>
                <w:color w:val="2D2D2D"/>
                <w:sz w:val="19"/>
                <w:szCs w:val="19"/>
              </w:rPr>
              <w:t xml:space="preserve">410 restaurantes</w:t>
            </w:r>
            <w:r>
              <w:rPr>
                <w:rFonts w:ascii="Cambria" w:cs="Cambria" w:eastAsia="Cambria" w:hAnsi="Cambria"/>
                <w:color w:val="2D2D2D"/>
                <w:sz w:val="19"/>
                <w:szCs w:val="19"/>
              </w:rPr>
              <w:t xml:space="preserve">, A2), la tabla 2×2 de medias de </w:t>
            </w:r>
            <w:r>
              <w:rPr>
                <w:rFonts w:ascii="Consolas" w:cs="Consolas" w:eastAsia="Consolas" w:hAnsi="Consolas"/>
                <w:color w:val="7A1526"/>
                <w:sz w:val="17"/>
                <w:szCs w:val="17"/>
              </w:rPr>
              <w:t xml:space="preserve">FTE</w:t>
            </w:r>
            <w:r>
              <w:rPr>
                <w:rFonts w:ascii="Cambria" w:cs="Cambria" w:eastAsia="Cambria" w:hAnsi="Cambria"/>
                <w:color w:val="2D2D2D"/>
                <w:sz w:val="19"/>
                <w:szCs w:val="19"/>
              </w:rPr>
              <w:t xml:space="preserve">, el </w:t>
            </w:r>
            <w:r>
              <w:rPr>
                <w:rFonts w:ascii="Cambria" w:cs="Cambria" w:eastAsia="Cambria" w:hAnsi="Cambria"/>
                <w:b/>
                <w:bCs/>
                <w:color w:val="2D2D2D"/>
                <w:sz w:val="19"/>
                <w:szCs w:val="19"/>
              </w:rPr>
              <w:t xml:space="preserve">DiD = +2,75 (target #1)</w:t>
            </w:r>
            <w:r>
              <w:rPr>
                <w:rFonts w:ascii="Cambria" w:cs="Cambria" w:eastAsia="Cambria" w:hAnsi="Cambria"/>
                <w:color w:val="2D2D2D"/>
                <w:sz w:val="19"/>
                <w:szCs w:val="19"/>
              </w:rPr>
              <w:t xml:space="preserve">, el coeficiente </w:t>
            </w:r>
            <w:r>
              <w:rPr>
                <w:rFonts w:ascii="Consolas" w:cs="Consolas" w:eastAsia="Consolas" w:hAnsi="Consolas"/>
                <w:color w:val="7A1526"/>
                <w:sz w:val="17"/>
                <w:szCs w:val="17"/>
              </w:rPr>
              <w:t xml:space="preserve">nj:post</w:t>
            </w:r>
            <w:r>
              <w:rPr>
                <w:rFonts w:ascii="Cambria" w:cs="Cambria" w:eastAsia="Cambria" w:hAnsi="Cambria"/>
                <w:color w:val="2D2D2D"/>
                <w:sz w:val="19"/>
                <w:szCs w:val="19"/>
              </w:rPr>
              <w:t xml:space="preserve"> de la regresión (A1) y la verificación — con su limitación — del supuesto de tendencias paralelas (drill 2).</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2520"/>
        <w:gridCol w:w="2520"/>
        <w:gridCol w:w="2520"/>
        <w:gridCol w:w="2520"/>
      </w:tblGrid>
      <w:tr>
        <w:trPr>
          <w:tblHeader/>
        </w:trPr>
        <w:tc>
          <w:tcPr>
            <w:tcW w:type="dxa" w:w="252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
            </w:r>
          </w:p>
        </w:tc>
        <w:tc>
          <w:tcPr>
            <w:tcW w:type="dxa" w:w="252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Antes</w:t>
            </w:r>
          </w:p>
        </w:tc>
        <w:tc>
          <w:tcPr>
            <w:tcW w:type="dxa" w:w="252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Después</w:t>
            </w:r>
          </w:p>
        </w:tc>
        <w:tc>
          <w:tcPr>
            <w:tcW w:type="dxa" w:w="252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Cambio</w:t>
            </w:r>
          </w:p>
        </w:tc>
      </w:tr>
      <w:tr>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8"/>
                <w:szCs w:val="18"/>
              </w:rPr>
              <w:t xml:space="preserve">NJ (tratado)</w:t>
            </w:r>
          </w:p>
        </w:tc>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20,44</w:t>
            </w:r>
          </w:p>
        </w:tc>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21,03</w:t>
            </w:r>
          </w:p>
        </w:tc>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2D2D2D"/>
                <w:sz w:val="18"/>
                <w:szCs w:val="18"/>
              </w:rPr>
              <w:t xml:space="preserve">+0,59</w:t>
            </w:r>
          </w:p>
        </w:tc>
      </w:tr>
      <w:tr>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8"/>
                <w:szCs w:val="18"/>
              </w:rPr>
              <w:t xml:space="preserve">PA (control)</w:t>
            </w:r>
          </w:p>
        </w:tc>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23,33</w:t>
            </w:r>
          </w:p>
        </w:tc>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21,17</w:t>
            </w:r>
          </w:p>
        </w:tc>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2D2D2D"/>
                <w:sz w:val="18"/>
                <w:szCs w:val="18"/>
              </w:rPr>
              <w:t xml:space="preserve">−2,16</w:t>
            </w:r>
          </w:p>
        </w:tc>
      </w:tr>
      <w:tr>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8"/>
                <w:szCs w:val="18"/>
              </w:rPr>
              <w:t xml:space="preserve">DiD</w:t>
            </w:r>
          </w:p>
        </w:tc>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
            </w:r>
          </w:p>
        </w:tc>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
            </w:r>
          </w:p>
        </w:tc>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2D2D2D"/>
                <w:sz w:val="18"/>
                <w:szCs w:val="18"/>
              </w:rPr>
              <w:t xml:space="preserve">+0,59 − (−2,16) = +2,75</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single" w:color="E4002B" w:sz="14"/>
              <w:left w:val="none" w:color="FFFFFF" w:sz="0"/>
              <w:bottom w:val="single" w:color="D9D9D9" w:sz="4"/>
              <w:right w:val="none" w:color="FFFFFF" w:sz="0"/>
            </w:tcBorders>
            <w:shd w:fill="F2F3F5" w:color="auto" w:val="clear"/>
            <w:tcMar>
              <w:top w:type="dxa" w:w="110"/>
              <w:left w:type="dxa" w:w="150"/>
              <w:bottom w:type="dxa" w:w="110"/>
              <w:right w:type="dxa" w:w="150"/>
            </w:tcMar>
          </w:tcPr>
          <w:p>
            <w:pPr>
              <w:keepNext/>
              <w:spacing w:after="80"/>
            </w:pPr>
            <w:r>
              <w:rPr>
                <w:rFonts w:ascii="Calibri" w:cs="Calibri" w:eastAsia="Calibri" w:hAnsi="Calibri"/>
                <w:b/>
                <w:bCs/>
                <w:color w:val="7A1526"/>
                <w:sz w:val="15"/>
                <w:szCs w:val="15"/>
              </w:rPr>
              <w:t xml:space="preserve">NOTA TÉCNICA 1.6   </w:t>
            </w:r>
            <w:r>
              <w:rPr>
                <w:rFonts w:ascii="Calibri" w:cs="Calibri" w:eastAsia="Calibri" w:hAnsi="Calibri"/>
                <w:b/>
                <w:bCs/>
                <w:color w:val="7A1526"/>
                <w:sz w:val="19"/>
                <w:szCs w:val="19"/>
              </w:rPr>
              <w:t xml:space="preserve">Errores de lectura a evitar y convención Excel — Paso 2</w:t>
            </w:r>
          </w:p>
          <w:p>
            <w:pPr>
              <w:spacing w:after="70" w:line="265"/>
            </w:pPr>
            <w:r>
              <w:rPr>
                <w:rFonts w:ascii="Cambria" w:cs="Cambria" w:eastAsia="Cambria" w:hAnsi="Cambria"/>
                <w:b/>
                <w:bCs/>
                <w:color w:val="3A3A3A"/>
                <w:sz w:val="18"/>
                <w:szCs w:val="18"/>
              </w:rPr>
              <w:t xml:space="preserve">Errores de lectura a evitar</w:t>
            </w:r>
            <w:r>
              <w:rPr>
                <w:rFonts w:ascii="Cambria" w:cs="Cambria" w:eastAsia="Cambria" w:hAnsi="Cambria"/>
                <w:color w:val="3A3A3A"/>
                <w:sz w:val="18"/>
                <w:szCs w:val="18"/>
              </w:rPr>
              <w:t xml:space="preserve">: (a) comparar </w:t>
            </w:r>
            <w:r>
              <w:rPr>
                <w:rFonts w:ascii="Cambria" w:cs="Cambria" w:eastAsia="Cambria" w:hAnsi="Cambria"/>
                <w:b/>
                <w:bCs/>
                <w:color w:val="3A3A3A"/>
                <w:sz w:val="18"/>
                <w:szCs w:val="18"/>
              </w:rPr>
              <w:t xml:space="preserve">niveles</w:t>
            </w:r>
            <w:r>
              <w:rPr>
                <w:rFonts w:ascii="Cambria" w:cs="Cambria" w:eastAsia="Cambria" w:hAnsi="Cambria"/>
                <w:color w:val="3A3A3A"/>
                <w:sz w:val="18"/>
                <w:szCs w:val="18"/>
              </w:rPr>
              <w:t xml:space="preserve"> después (21,03 vs. 21,17) y concluir «casi iguales»: el DiD compara </w:t>
            </w:r>
            <w:r>
              <w:rPr>
                <w:rFonts w:ascii="Cambria" w:cs="Cambria" w:eastAsia="Cambria" w:hAnsi="Cambria"/>
                <w:b/>
                <w:bCs/>
                <w:color w:val="3A3A3A"/>
                <w:sz w:val="18"/>
                <w:szCs w:val="18"/>
              </w:rPr>
              <w:t xml:space="preserve">cambios</w:t>
            </w:r>
            <w:r>
              <w:rPr>
                <w:rFonts w:ascii="Cambria" w:cs="Cambria" w:eastAsia="Cambria" w:hAnsi="Cambria"/>
                <w:color w:val="3A3A3A"/>
                <w:sz w:val="18"/>
                <w:szCs w:val="18"/>
              </w:rPr>
              <w:t xml:space="preserve">. (b) Leer el coeficiente de nj o de post como el efecto: el efecto es </w:t>
            </w:r>
            <w:r>
              <w:rPr>
                <w:rFonts w:ascii="Cambria" w:cs="Cambria" w:eastAsia="Cambria" w:hAnsi="Cambria"/>
                <w:b/>
                <w:bCs/>
                <w:color w:val="3A3A3A"/>
                <w:sz w:val="18"/>
                <w:szCs w:val="18"/>
              </w:rPr>
              <w:t xml:space="preserve">la interacción</w:t>
            </w:r>
            <w:r>
              <w:rPr>
                <w:rFonts w:ascii="Cambria" w:cs="Cambria" w:eastAsia="Cambria" w:hAnsi="Cambria"/>
                <w:color w:val="3A3A3A"/>
                <w:sz w:val="18"/>
                <w:szCs w:val="18"/>
              </w:rPr>
              <w:t xml:space="preserve">. (c) Reportar el DiD sin su IC: un +2,75 con IC que cruza 0 no permite afirmar un efecto positivo. (d) Asumir tendencias paralelas </w:t>
            </w:r>
            <w:r>
              <w:rPr>
                <w:rFonts w:ascii="Cambria" w:cs="Cambria" w:eastAsia="Cambria" w:hAnsi="Cambria"/>
                <w:b/>
                <w:bCs/>
                <w:color w:val="3A3A3A"/>
                <w:sz w:val="18"/>
                <w:szCs w:val="18"/>
              </w:rPr>
              <w:t xml:space="preserve">sin mirarlas ni declarar</w:t>
            </w:r>
            <w:r>
              <w:rPr>
                <w:rFonts w:ascii="Cambria" w:cs="Cambria" w:eastAsia="Cambria" w:hAnsi="Cambria"/>
                <w:color w:val="3A3A3A"/>
                <w:sz w:val="18"/>
                <w:szCs w:val="18"/>
              </w:rPr>
              <w:t xml:space="preserve"> la limitación de dos olas.</w:t>
            </w:r>
          </w:p>
          <w:p>
            <w:pPr>
              <w:spacing w:after="70" w:line="265"/>
            </w:pPr>
            <w:r>
              <w:rPr>
                <w:rFonts w:ascii="Cambria" w:cs="Cambria" w:eastAsia="Cambria" w:hAnsi="Cambria"/>
                <w:b/>
                <w:bCs/>
                <w:color w:val="3A3A3A"/>
                <w:sz w:val="18"/>
                <w:szCs w:val="18"/>
              </w:rPr>
              <w:t xml:space="preserve">Convención Excel del curso</w:t>
            </w:r>
            <w:r>
              <w:rPr>
                <w:rFonts w:ascii="Cambria" w:cs="Cambria" w:eastAsia="Cambria" w:hAnsi="Cambria"/>
                <w:color w:val="3A3A3A"/>
                <w:sz w:val="18"/>
                <w:szCs w:val="18"/>
              </w:rPr>
              <w:t xml:space="preserve">: el DiD (</w:t>
            </w:r>
            <w:r>
              <w:rPr>
                <w:rFonts w:ascii="Consolas" w:cs="Consolas" w:eastAsia="Consolas" w:hAnsi="Consolas"/>
                <w:color w:val="7A1526"/>
                <w:sz w:val="16"/>
                <w:szCs w:val="16"/>
              </w:rPr>
              <w:t xml:space="preserve">causal_did</w:t>
            </w:r>
            <w:r>
              <w:rPr>
                <w:rFonts w:ascii="Cambria" w:cs="Cambria" w:eastAsia="Cambria" w:hAnsi="Cambria"/>
                <w:color w:val="3A3A3A"/>
                <w:sz w:val="18"/>
                <w:szCs w:val="18"/>
              </w:rPr>
              <w:t xml:space="preserve">!B2), el coeficiente </w:t>
            </w:r>
            <w:r>
              <w:rPr>
                <w:rFonts w:ascii="Consolas" w:cs="Consolas" w:eastAsia="Consolas" w:hAnsi="Consolas"/>
                <w:color w:val="7A1526"/>
                <w:sz w:val="16"/>
                <w:szCs w:val="16"/>
              </w:rPr>
              <w:t xml:space="preserve">nj:post</w:t>
            </w:r>
            <w:r>
              <w:rPr>
                <w:rFonts w:ascii="Cambria" w:cs="Cambria" w:eastAsia="Cambria" w:hAnsi="Cambria"/>
                <w:color w:val="3A3A3A"/>
                <w:sz w:val="18"/>
                <w:szCs w:val="18"/>
              </w:rPr>
              <w:t xml:space="preserve"> (A1), el n de restaurantes (A2) y los cuatro valores de la tabla 2×2 se exportan al Excel; la gráfica de barras antes/después por grupo se genera </w:t>
            </w:r>
            <w:r>
              <w:rPr>
                <w:rFonts w:ascii="Cambria" w:cs="Cambria" w:eastAsia="Cambria" w:hAnsi="Cambria"/>
                <w:b/>
                <w:bCs/>
                <w:color w:val="3A3A3A"/>
                <w:sz w:val="18"/>
                <w:szCs w:val="18"/>
              </w:rPr>
              <w:t xml:space="preserve">al leer ese Excel</w:t>
            </w:r>
            <w:r>
              <w:rPr>
                <w:rFonts w:ascii="Cambria" w:cs="Cambria" w:eastAsia="Cambria" w:hAnsi="Cambria"/>
                <w:color w:val="3A3A3A"/>
                <w:sz w:val="18"/>
                <w:szCs w:val="18"/>
              </w:rPr>
              <w:t xml:space="preserve">. La visualización de EDA de los datos crudos (distribución de </w:t>
            </w:r>
            <w:r>
              <w:rPr>
                <w:rFonts w:ascii="Consolas" w:cs="Consolas" w:eastAsia="Consolas" w:hAnsi="Consolas"/>
                <w:color w:val="7A1526"/>
                <w:sz w:val="16"/>
                <w:szCs w:val="16"/>
              </w:rPr>
              <w:t xml:space="preserve">FTE</w:t>
            </w:r>
            <w:r>
              <w:rPr>
                <w:rFonts w:ascii="Cambria" w:cs="Cambria" w:eastAsia="Cambria" w:hAnsi="Cambria"/>
                <w:color w:val="3A3A3A"/>
                <w:sz w:val="18"/>
                <w:szCs w:val="18"/>
              </w:rPr>
              <w:t xml:space="preserve">, empleo por cadena) se traza directamente de los datos, por ser exploratoria.</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0"/>
        <w:gridCol w:w="6080"/>
        <w:gridCol w:w="3000"/>
      </w:tblGrid>
      <w:tr>
        <w:trPr>
          <w:tblHeader/>
        </w:trPr>
        <w:tc>
          <w:tcPr>
            <w:tcW w:type="dxa" w:w="1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TIEMPO</w:t>
            </w:r>
          </w:p>
        </w:tc>
        <w:tc>
          <w:tcPr>
            <w:tcW w:type="dxa" w:w="608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QUÉ HACER</w:t>
            </w:r>
          </w:p>
        </w:tc>
        <w:tc>
          <w:tcPr>
            <w:tcW w:type="dxa" w:w="3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PRODUCTO (lo que queda escrito)</w:t>
            </w:r>
          </w:p>
        </w:tc>
      </w:tr>
      <w:tr>
        <w:tc>
          <w:tcPr>
            <w:tcW w:type="dxa" w:w="10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r>
              <w:rPr>
                <w:rFonts w:ascii="Calibri" w:cs="Calibri" w:eastAsia="Calibri" w:hAnsi="Calibri"/>
                <w:color w:val="6E6E6E"/>
                <w:sz w:val="17"/>
                <w:szCs w:val="17"/>
              </w:rPr>
              <w:t xml:space="preserve">34 min</w:t>
            </w:r>
          </w:p>
        </w:tc>
        <w:tc>
          <w:tcPr>
            <w:tcW w:type="dxa" w:w="60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pPr>
              <w:spacing w:after="70"/>
            </w:pPr>
            <w:r>
              <w:rPr>
                <w:rFonts w:ascii="Calibri" w:cs="Calibri" w:eastAsia="Calibri" w:hAnsi="Calibri"/>
                <w:b/>
                <w:bCs/>
                <w:color w:val="7A1526"/>
                <w:sz w:val="22"/>
                <w:szCs w:val="22"/>
              </w:rPr>
              <w:t xml:space="preserve">P3   </w:t>
            </w:r>
            <w:r>
              <w:rPr>
                <w:rFonts w:ascii="Calibri" w:cs="Calibri" w:eastAsia="Calibri" w:hAnsi="Calibri"/>
                <w:b/>
                <w:bCs/>
                <w:color w:val="7A1526"/>
                <w:sz w:val="19"/>
                <w:szCs w:val="19"/>
              </w:rPr>
              <w:t xml:space="preserve">PSM de LaLonde/NSW (Dehejia-Wahba) (drill 3)</w:t>
            </w:r>
          </w:p>
          <w:p>
            <w:pPr>
              <w:spacing w:line="265"/>
            </w:pPr>
            <w:r>
              <w:rPr>
                <w:rFonts w:ascii="Cambria" w:cs="Cambria" w:eastAsia="Cambria" w:hAnsi="Cambria"/>
                <w:color w:val="2D2D2D"/>
                <w:sz w:val="19"/>
                <w:szCs w:val="19"/>
              </w:rPr>
              <w:t xml:space="preserve">En </w:t>
            </w:r>
            <w:r>
              <w:rPr>
                <w:rFonts w:ascii="Cambria" w:cs="Cambria" w:eastAsia="Cambria" w:hAnsi="Cambria"/>
                <w:b/>
                <w:bCs/>
                <w:color w:val="2D2D2D"/>
                <w:sz w:val="19"/>
                <w:szCs w:val="19"/>
              </w:rPr>
              <w:t xml:space="preserve">1983</w:t>
            </w:r>
            <w:r>
              <w:rPr>
                <w:rFonts w:ascii="Cambria" w:cs="Cambria" w:eastAsia="Cambria" w:hAnsi="Cambria"/>
                <w:color w:val="2D2D2D"/>
                <w:sz w:val="19"/>
                <w:szCs w:val="19"/>
              </w:rPr>
              <w:t xml:space="preserve">, </w:t>
            </w:r>
            <w:r>
              <w:rPr>
                <w:rFonts w:ascii="Cambria" w:cs="Cambria" w:eastAsia="Cambria" w:hAnsi="Cambria"/>
                <w:b/>
                <w:bCs/>
                <w:color w:val="2D2D2D"/>
                <w:sz w:val="19"/>
                <w:szCs w:val="19"/>
              </w:rPr>
              <w:t xml:space="preserve">Rosenbaum &amp; Rubin</w:t>
            </w:r>
            <w:r>
              <w:rPr>
                <w:rFonts w:ascii="Cambria" w:cs="Cambria" w:eastAsia="Cambria" w:hAnsi="Cambria"/>
                <w:color w:val="2D2D2D"/>
                <w:sz w:val="19"/>
                <w:szCs w:val="19"/>
              </w:rPr>
              <w:t xml:space="preserve"> probaron que el </w:t>
            </w:r>
            <w:r>
              <w:rPr>
                <w:rFonts w:ascii="Cambria" w:cs="Cambria" w:eastAsia="Cambria" w:hAnsi="Cambria"/>
                <w:b/>
                <w:bCs/>
                <w:color w:val="2D2D2D"/>
                <w:sz w:val="19"/>
                <w:szCs w:val="19"/>
              </w:rPr>
              <w:t xml:space="preserve">propensity score</w:t>
            </w:r>
            <w:r>
              <w:rPr>
                <w:rFonts w:ascii="Cambria" w:cs="Cambria" w:eastAsia="Cambria" w:hAnsi="Cambria"/>
                <w:color w:val="2D2D2D"/>
                <w:sz w:val="19"/>
                <w:szCs w:val="19"/>
              </w:rPr>
              <w:t xml:space="preserve"> e(X) = P(T=1 | X) es un </w:t>
            </w:r>
            <w:r>
              <w:rPr>
                <w:rFonts w:ascii="Cambria" w:cs="Cambria" w:eastAsia="Cambria" w:hAnsi="Cambria"/>
                <w:b/>
                <w:bCs/>
                <w:color w:val="2D2D2D"/>
                <w:sz w:val="19"/>
                <w:szCs w:val="19"/>
              </w:rPr>
              <w:t xml:space="preserve">balanceador</w:t>
            </w:r>
            <w:r>
              <w:rPr>
                <w:rFonts w:ascii="Cambria" w:cs="Cambria" w:eastAsia="Cambria" w:hAnsi="Cambria"/>
                <w:color w:val="2D2D2D"/>
                <w:sz w:val="19"/>
                <w:szCs w:val="19"/>
              </w:rPr>
              <w:t xml:space="preserve">: condicionar en ese escalar elimina el sesgo de todas las covariables observadas incluidas. </w:t>
            </w:r>
            <w:r>
              <w:rPr>
                <w:rFonts w:ascii="Cambria" w:cs="Cambria" w:eastAsia="Cambria" w:hAnsi="Cambria"/>
                <w:b/>
                <w:bCs/>
                <w:color w:val="2D2D2D"/>
                <w:sz w:val="19"/>
                <w:szCs w:val="19"/>
              </w:rPr>
              <w:t xml:space="preserve">LaLonde (1986)</w:t>
            </w:r>
            <w:r>
              <w:rPr>
                <w:rFonts w:ascii="Cambria" w:cs="Cambria" w:eastAsia="Cambria" w:hAnsi="Cambria"/>
                <w:color w:val="2D2D2D"/>
                <w:sz w:val="19"/>
                <w:szCs w:val="19"/>
              </w:rPr>
              <w:t xml:space="preserve"> había mostrado que los métodos observacionales de la época </w:t>
            </w:r>
            <w:r>
              <w:rPr>
                <w:rFonts w:ascii="Cambria" w:cs="Cambria" w:eastAsia="Cambria" w:hAnsi="Cambria"/>
                <w:b/>
                <w:bCs/>
                <w:color w:val="2D2D2D"/>
                <w:sz w:val="19"/>
                <w:szCs w:val="19"/>
              </w:rPr>
              <w:t xml:space="preserve">no</w:t>
            </w:r>
            <w:r>
              <w:rPr>
                <w:rFonts w:ascii="Cambria" w:cs="Cambria" w:eastAsia="Cambria" w:hAnsi="Cambria"/>
                <w:color w:val="2D2D2D"/>
                <w:sz w:val="19"/>
                <w:szCs w:val="19"/>
              </w:rPr>
              <w:t xml:space="preserve"> reproducían el efecto experimental del programa de empleo </w:t>
            </w:r>
            <w:r>
              <w:rPr>
                <w:rFonts w:ascii="Cambria" w:cs="Cambria" w:eastAsia="Cambria" w:hAnsi="Cambria"/>
                <w:b/>
                <w:bCs/>
                <w:color w:val="2D2D2D"/>
                <w:sz w:val="19"/>
                <w:szCs w:val="19"/>
              </w:rPr>
              <w:t xml:space="preserve">NSW</w:t>
            </w:r>
            <w:r>
              <w:rPr>
                <w:rFonts w:ascii="Cambria" w:cs="Cambria" w:eastAsia="Cambria" w:hAnsi="Cambria"/>
                <w:color w:val="2D2D2D"/>
                <w:sz w:val="19"/>
                <w:szCs w:val="19"/>
              </w:rPr>
              <w:t xml:space="preserve">; </w:t>
            </w:r>
            <w:r>
              <w:rPr>
                <w:rFonts w:ascii="Cambria" w:cs="Cambria" w:eastAsia="Cambria" w:hAnsi="Cambria"/>
                <w:b/>
                <w:bCs/>
                <w:color w:val="2D2D2D"/>
                <w:sz w:val="19"/>
                <w:szCs w:val="19"/>
              </w:rPr>
              <w:t xml:space="preserve">Dehejia &amp; Wahba (2002)</w:t>
            </w:r>
            <w:r>
              <w:rPr>
                <w:rFonts w:ascii="Cambria" w:cs="Cambria" w:eastAsia="Cambria" w:hAnsi="Cambria"/>
                <w:color w:val="2D2D2D"/>
                <w:sz w:val="19"/>
                <w:szCs w:val="19"/>
              </w:rPr>
              <w:t xml:space="preserve"> demostraron que el </w:t>
            </w:r>
            <w:r>
              <w:rPr>
                <w:rFonts w:ascii="Cambria" w:cs="Cambria" w:eastAsia="Cambria" w:hAnsi="Cambria"/>
                <w:b/>
                <w:bCs/>
                <w:color w:val="2D2D2D"/>
                <w:sz w:val="19"/>
                <w:szCs w:val="19"/>
              </w:rPr>
              <w:t xml:space="preserve">matching por propensity sí lo recupera</w:t>
            </w:r>
            <w:r>
              <w:rPr>
                <w:rFonts w:ascii="Cambria" w:cs="Cambria" w:eastAsia="Cambria" w:hAnsi="Cambria"/>
                <w:color w:val="2D2D2D"/>
                <w:sz w:val="19"/>
                <w:szCs w:val="19"/>
              </w:rPr>
              <w:t xml:space="preserve"> a partir de controles no experimentales (CPS), donde el naive está fuertemente sesgado. Es el banco de pruebas estándar de la inferencia causal: se conoce la «verdad» (el efecto experimental) y se prueba si un método observacional la recupera. </w:t>
            </w:r>
            <w:r>
              <w:rPr>
                <w:rFonts w:ascii="Cambria" w:cs="Cambria" w:eastAsia="Cambria" w:hAnsi="Cambria"/>
                <w:b/>
                <w:bCs/>
                <w:color w:val="2D2D2D"/>
                <w:sz w:val="19"/>
                <w:szCs w:val="19"/>
              </w:rPr>
              <w:t xml:space="preserve">ATT experimental (target #2).</w:t>
            </w:r>
            <w:r>
              <w:rPr>
                <w:rFonts w:ascii="Cambria" w:cs="Cambria" w:eastAsia="Cambria" w:hAnsi="Cambria"/>
                <w:color w:val="2D2D2D"/>
                <w:sz w:val="19"/>
                <w:szCs w:val="19"/>
              </w:rPr>
              <w:t xml:space="preserve"> Sobre </w:t>
            </w:r>
            <w:r>
              <w:rPr>
                <w:rFonts w:ascii="Consolas" w:cs="Consolas" w:eastAsia="Consolas" w:hAnsi="Consolas"/>
                <w:color w:val="7A1526"/>
                <w:sz w:val="17"/>
                <w:szCs w:val="17"/>
              </w:rPr>
              <w:t xml:space="preserve">nsw_mixtape</w:t>
            </w:r>
            <w:r>
              <w:rPr>
                <w:rFonts w:ascii="Cambria" w:cs="Cambria" w:eastAsia="Cambria" w:hAnsi="Cambria"/>
                <w:color w:val="2D2D2D"/>
                <w:sz w:val="19"/>
                <w:szCs w:val="19"/>
              </w:rPr>
              <w:t xml:space="preserve"> (</w:t>
            </w:r>
            <w:r>
              <w:rPr>
                <w:rFonts w:ascii="Cambria" w:cs="Cambria" w:eastAsia="Cambria" w:hAnsi="Cambria"/>
                <w:b/>
                <w:bCs/>
                <w:color w:val="2D2D2D"/>
                <w:sz w:val="19"/>
                <w:szCs w:val="19"/>
              </w:rPr>
              <w:t xml:space="preserve">445 obs</w:t>
            </w:r>
            <w:r>
              <w:rPr>
                <w:rFonts w:ascii="Cambria" w:cs="Cambria" w:eastAsia="Cambria" w:hAnsi="Cambria"/>
                <w:color w:val="2D2D2D"/>
                <w:sz w:val="19"/>
                <w:szCs w:val="19"/>
              </w:rPr>
              <w:t xml:space="preserve">: 185 tratados + 260 controles) el ATT es la diferencia de medias de </w:t>
            </w:r>
            <w:r>
              <w:rPr>
                <w:rFonts w:ascii="Consolas" w:cs="Consolas" w:eastAsia="Consolas" w:hAnsi="Consolas"/>
                <w:color w:val="7A1526"/>
                <w:sz w:val="17"/>
                <w:szCs w:val="17"/>
              </w:rPr>
              <w:t xml:space="preserve">re78</w:t>
            </w:r>
            <w:r>
              <w:rPr>
                <w:rFonts w:ascii="Cambria" w:cs="Cambria" w:eastAsia="Cambria" w:hAnsi="Cambria"/>
                <w:color w:val="2D2D2D"/>
                <w:sz w:val="19"/>
                <w:szCs w:val="19"/>
              </w:rPr>
              <w:t xml:space="preserve"> (ingreso 1978) entre tratados y controles: </w:t>
            </w:r>
            <w:r>
              <w:rPr>
                <w:rFonts w:ascii="Cambria" w:cs="Cambria" w:eastAsia="Cambria" w:hAnsi="Cambria"/>
                <w:b/>
                <w:bCs/>
                <w:color w:val="2D2D2D"/>
                <w:sz w:val="19"/>
                <w:szCs w:val="19"/>
              </w:rPr>
              <w:t xml:space="preserve">+1 794,34 USD</w:t>
            </w:r>
            <w:r>
              <w:rPr>
                <w:rFonts w:ascii="Cambria" w:cs="Cambria" w:eastAsia="Cambria" w:hAnsi="Cambria"/>
                <w:color w:val="2D2D2D"/>
                <w:sz w:val="19"/>
                <w:szCs w:val="19"/>
              </w:rPr>
              <w:t xml:space="preserve"> (determinista). Como el experimento fue </w:t>
            </w:r>
            <w:r>
              <w:rPr>
                <w:rFonts w:ascii="Cambria" w:cs="Cambria" w:eastAsia="Cambria" w:hAnsi="Cambria"/>
                <w:b/>
                <w:bCs/>
                <w:color w:val="2D2D2D"/>
                <w:sz w:val="19"/>
                <w:szCs w:val="19"/>
              </w:rPr>
              <w:t xml:space="preserve">aleatorizado</w:t>
            </w:r>
            <w:r>
              <w:rPr>
                <w:rFonts w:ascii="Cambria" w:cs="Cambria" w:eastAsia="Cambria" w:hAnsi="Cambria"/>
                <w:color w:val="2D2D2D"/>
                <w:sz w:val="19"/>
                <w:szCs w:val="19"/>
              </w:rPr>
              <w:t xml:space="preserve">, este número es la </w:t>
            </w:r>
            <w:r>
              <w:rPr>
                <w:rFonts w:ascii="Cambria" w:cs="Cambria" w:eastAsia="Cambria" w:hAnsi="Cambria"/>
                <w:b/>
                <w:bCs/>
                <w:color w:val="2D2D2D"/>
                <w:sz w:val="19"/>
                <w:szCs w:val="19"/>
              </w:rPr>
              <w:t xml:space="preserve">verdad</w:t>
            </w:r>
            <w:r>
              <w:rPr>
                <w:rFonts w:ascii="Cambria" w:cs="Cambria" w:eastAsia="Cambria" w:hAnsi="Cambria"/>
                <w:color w:val="2D2D2D"/>
                <w:sz w:val="19"/>
                <w:szCs w:val="19"/>
              </w:rPr>
              <w:t xml:space="preserve"> contra la que se validará el ajuste observacional. </w:t>
            </w:r>
            <w:r>
              <w:rPr>
                <w:rFonts w:ascii="Cambria" w:cs="Cambria" w:eastAsia="Cambria" w:hAnsi="Cambria"/>
                <w:b/>
                <w:bCs/>
                <w:color w:val="2D2D2D"/>
                <w:sz w:val="19"/>
                <w:szCs w:val="19"/>
              </w:rPr>
              <w:t xml:space="preserve">Estimador naive observacional (target #3).</w:t>
            </w:r>
            <w:r>
              <w:rPr>
                <w:rFonts w:ascii="Cambria" w:cs="Cambria" w:eastAsia="Cambria" w:hAnsi="Cambria"/>
                <w:color w:val="2D2D2D"/>
                <w:sz w:val="19"/>
                <w:szCs w:val="19"/>
              </w:rPr>
              <w:t xml:space="preserve"> Construir la muestra observacional = </w:t>
            </w:r>
            <w:r>
              <w:rPr>
                <w:rFonts w:ascii="Cambria" w:cs="Cambria" w:eastAsia="Cambria" w:hAnsi="Cambria"/>
                <w:b/>
                <w:bCs/>
                <w:color w:val="2D2D2D"/>
                <w:sz w:val="19"/>
                <w:szCs w:val="19"/>
              </w:rPr>
              <w:t xml:space="preserve">tratados de NSW</w:t>
            </w:r>
            <w:r>
              <w:rPr>
                <w:rFonts w:ascii="Cambria" w:cs="Cambria" w:eastAsia="Cambria" w:hAnsi="Cambria"/>
                <w:color w:val="2D2D2D"/>
                <w:sz w:val="19"/>
                <w:szCs w:val="19"/>
              </w:rPr>
              <w:t xml:space="preserve"> (</w:t>
            </w:r>
            <w:r>
              <w:rPr>
                <w:rFonts w:ascii="Consolas" w:cs="Consolas" w:eastAsia="Consolas" w:hAnsi="Consolas"/>
                <w:color w:val="7A1526"/>
                <w:sz w:val="17"/>
                <w:szCs w:val="17"/>
              </w:rPr>
              <w:t xml:space="preserve">treat</w:t>
            </w:r>
            <w:r>
              <w:rPr>
                <w:rFonts w:ascii="Cambria" w:cs="Cambria" w:eastAsia="Cambria" w:hAnsi="Cambria"/>
                <w:color w:val="2D2D2D"/>
                <w:sz w:val="19"/>
                <w:szCs w:val="19"/>
              </w:rPr>
              <w:t xml:space="preserve">=1) + controles de la </w:t>
            </w:r>
            <w:r>
              <w:rPr>
                <w:rFonts w:ascii="Cambria" w:cs="Cambria" w:eastAsia="Cambria" w:hAnsi="Cambria"/>
                <w:b/>
                <w:bCs/>
                <w:color w:val="2D2D2D"/>
                <w:sz w:val="19"/>
                <w:szCs w:val="19"/>
              </w:rPr>
              <w:t xml:space="preserve">CPS</w:t>
            </w:r>
            <w:r>
              <w:rPr>
                <w:rFonts w:ascii="Cambria" w:cs="Cambria" w:eastAsia="Cambria" w:hAnsi="Cambria"/>
                <w:color w:val="2D2D2D"/>
                <w:sz w:val="19"/>
                <w:szCs w:val="19"/>
              </w:rPr>
              <w:t xml:space="preserve"> (</w:t>
            </w:r>
            <w:r>
              <w:rPr>
                <w:rFonts w:ascii="Consolas" w:cs="Consolas" w:eastAsia="Consolas" w:hAnsi="Consolas"/>
                <w:color w:val="7A1526"/>
                <w:sz w:val="17"/>
                <w:szCs w:val="17"/>
              </w:rPr>
              <w:t xml:space="preserve">cps_mixtape</w:t>
            </w:r>
            <w:r>
              <w:rPr>
                <w:rFonts w:ascii="Cambria" w:cs="Cambria" w:eastAsia="Cambria" w:hAnsi="Cambria"/>
                <w:color w:val="2D2D2D"/>
                <w:sz w:val="19"/>
                <w:szCs w:val="19"/>
              </w:rPr>
              <w:t xml:space="preserve">, 15 992). La diferencia de medias de </w:t>
            </w:r>
            <w:r>
              <w:rPr>
                <w:rFonts w:ascii="Consolas" w:cs="Consolas" w:eastAsia="Consolas" w:hAnsi="Consolas"/>
                <w:color w:val="7A1526"/>
                <w:sz w:val="17"/>
                <w:szCs w:val="17"/>
              </w:rPr>
              <w:t xml:space="preserve">re78</w:t>
            </w:r>
            <w:r>
              <w:rPr>
                <w:rFonts w:ascii="Cambria" w:cs="Cambria" w:eastAsia="Cambria" w:hAnsi="Cambria"/>
                <w:color w:val="2D2D2D"/>
                <w:sz w:val="19"/>
                <w:szCs w:val="19"/>
              </w:rPr>
              <w:t xml:space="preserve"> es </w:t>
            </w:r>
            <w:r>
              <w:rPr>
                <w:rFonts w:ascii="Cambria" w:cs="Cambria" w:eastAsia="Cambria" w:hAnsi="Cambria"/>
                <w:b/>
                <w:bCs/>
                <w:color w:val="2D2D2D"/>
                <w:sz w:val="19"/>
                <w:szCs w:val="19"/>
              </w:rPr>
              <w:t xml:space="preserve">fuertemente negativa: −8 497,52 USD</w:t>
            </w:r>
            <w:r>
              <w:rPr>
                <w:rFonts w:ascii="Cambria" w:cs="Cambria" w:eastAsia="Cambria" w:hAnsi="Cambria"/>
                <w:color w:val="2D2D2D"/>
                <w:sz w:val="19"/>
                <w:szCs w:val="19"/>
              </w:rPr>
              <w:t xml:space="preserve">. El signo cambia entero respecto al experimental (+1 794) por el </w:t>
            </w:r>
            <w:r>
              <w:rPr>
                <w:rFonts w:ascii="Cambria" w:cs="Cambria" w:eastAsia="Cambria" w:hAnsi="Cambria"/>
                <w:b/>
                <w:bCs/>
                <w:color w:val="2D2D2D"/>
                <w:sz w:val="19"/>
                <w:szCs w:val="19"/>
              </w:rPr>
              <w:t xml:space="preserve">sesgo de selección</w:t>
            </w:r>
            <w:r>
              <w:rPr>
                <w:rFonts w:ascii="Cambria" w:cs="Cambria" w:eastAsia="Cambria" w:hAnsi="Cambria"/>
                <w:color w:val="2D2D2D"/>
                <w:sz w:val="19"/>
                <w:szCs w:val="19"/>
              </w:rPr>
              <w:t xml:space="preserve">: los tratados eran mucho más desfavorecidos que la población general de la CPS. </w:t>
            </w:r>
            <w:r>
              <w:rPr>
                <w:rFonts w:ascii="Cambria" w:cs="Cambria" w:eastAsia="Cambria" w:hAnsi="Cambria"/>
                <w:b/>
                <w:bCs/>
                <w:color w:val="2D2D2D"/>
                <w:sz w:val="19"/>
                <w:szCs w:val="19"/>
              </w:rPr>
              <w:t xml:space="preserve">No</w:t>
            </w:r>
            <w:r>
              <w:rPr>
                <w:rFonts w:ascii="Cambria" w:cs="Cambria" w:eastAsia="Cambria" w:hAnsi="Cambria"/>
                <w:color w:val="2D2D2D"/>
                <w:sz w:val="19"/>
                <w:szCs w:val="19"/>
              </w:rPr>
              <w:t xml:space="preserve"> es un fallo del código: es confusión severa, y es exactamente lo que el PSM debe corregir. </w:t>
            </w:r>
            <w:r>
              <w:rPr>
                <w:rFonts w:ascii="Cambria" w:cs="Cambria" w:eastAsia="Cambria" w:hAnsi="Cambria"/>
                <w:b/>
                <w:bCs/>
                <w:color w:val="2D2D2D"/>
                <w:sz w:val="19"/>
                <w:szCs w:val="19"/>
              </w:rPr>
              <w:t xml:space="preserve">Estimar el propensity y mirar el solapamiento.</w:t>
            </w:r>
            <w:r>
              <w:rPr>
                <w:rFonts w:ascii="Cambria" w:cs="Cambria" w:eastAsia="Cambria" w:hAnsi="Cambria"/>
                <w:color w:val="2D2D2D"/>
                <w:sz w:val="19"/>
                <w:szCs w:val="19"/>
              </w:rPr>
              <w:t xml:space="preserve"> El </w:t>
            </w:r>
            <w:r>
              <w:rPr>
                <w:rFonts w:ascii="Cambria" w:cs="Cambria" w:eastAsia="Cambria" w:hAnsi="Cambria"/>
                <w:b/>
                <w:bCs/>
                <w:color w:val="2D2D2D"/>
                <w:sz w:val="19"/>
                <w:szCs w:val="19"/>
              </w:rPr>
              <w:t xml:space="preserve">propensity score</w:t>
            </w:r>
            <w:r>
              <w:rPr>
                <w:rFonts w:ascii="Cambria" w:cs="Cambria" w:eastAsia="Cambria" w:hAnsi="Cambria"/>
                <w:color w:val="2D2D2D"/>
                <w:sz w:val="19"/>
                <w:szCs w:val="19"/>
              </w:rPr>
              <w:t xml:space="preserve"> es la probabilidad de recibir el tratamiento dadas las covariables. Ajustar una logística de </w:t>
            </w:r>
            <w:r>
              <w:rPr>
                <w:rFonts w:ascii="Consolas" w:cs="Consolas" w:eastAsia="Consolas" w:hAnsi="Consolas"/>
                <w:color w:val="7A1526"/>
                <w:sz w:val="17"/>
                <w:szCs w:val="17"/>
              </w:rPr>
              <w:t xml:space="preserve">treat</w:t>
            </w:r>
            <w:r>
              <w:rPr>
                <w:rFonts w:ascii="Cambria" w:cs="Cambria" w:eastAsia="Cambria" w:hAnsi="Cambria"/>
                <w:color w:val="2D2D2D"/>
                <w:sz w:val="19"/>
                <w:szCs w:val="19"/>
              </w:rPr>
              <w:t xml:space="preserve"> sobre las covariables [age, educ, black, hisp, marr, nodegree, </w:t>
            </w:r>
            <w:r>
              <w:rPr>
                <w:rFonts w:ascii="Consolas" w:cs="Consolas" w:eastAsia="Consolas" w:hAnsi="Consolas"/>
                <w:color w:val="7A1526"/>
                <w:sz w:val="17"/>
                <w:szCs w:val="17"/>
              </w:rPr>
              <w:t xml:space="preserve">re74</w:t>
            </w:r>
            <w:r>
              <w:rPr>
                <w:rFonts w:ascii="Cambria" w:cs="Cambria" w:eastAsia="Cambria" w:hAnsi="Cambria"/>
                <w:color w:val="2D2D2D"/>
                <w:sz w:val="19"/>
                <w:szCs w:val="19"/>
              </w:rPr>
              <w:t xml:space="preserve">, </w:t>
            </w:r>
            <w:r>
              <w:rPr>
                <w:rFonts w:ascii="Consolas" w:cs="Consolas" w:eastAsia="Consolas" w:hAnsi="Consolas"/>
                <w:color w:val="7A1526"/>
                <w:sz w:val="17"/>
                <w:szCs w:val="17"/>
              </w:rPr>
              <w:t xml:space="preserve">re75</w:t>
            </w:r>
            <w:r>
              <w:rPr>
                <w:rFonts w:ascii="Cambria" w:cs="Cambria" w:eastAsia="Cambria" w:hAnsi="Cambria"/>
                <w:color w:val="2D2D2D"/>
                <w:sz w:val="19"/>
                <w:szCs w:val="19"/>
              </w:rPr>
              <w:t xml:space="preserve">] </w:t>
            </w:r>
            <w:r>
              <w:rPr>
                <w:rFonts w:ascii="Cambria" w:cs="Cambria" w:eastAsia="Cambria" w:hAnsi="Cambria"/>
                <w:b/>
                <w:bCs/>
                <w:color w:val="2D2D2D"/>
                <w:sz w:val="19"/>
                <w:szCs w:val="19"/>
              </w:rPr>
              <w:t xml:space="preserve">estandarizadas</w:t>
            </w:r>
            <w:r>
              <w:rPr>
                <w:rFonts w:ascii="Cambria" w:cs="Cambria" w:eastAsia="Cambria" w:hAnsi="Cambria"/>
                <w:color w:val="2D2D2D"/>
                <w:sz w:val="19"/>
                <w:szCs w:val="19"/>
              </w:rPr>
              <w:t xml:space="preserve"> (re74/re75 valen decenas de miles; sin estandarizar la logística converge mal). Graficar los histogramas de e(X) superpuestos de tratados y controles: la región donde ambas distribuciones tienen masa es el </w:t>
            </w:r>
            <w:r>
              <w:rPr>
                <w:rFonts w:ascii="Cambria" w:cs="Cambria" w:eastAsia="Cambria" w:hAnsi="Cambria"/>
                <w:b/>
                <w:bCs/>
                <w:color w:val="2D2D2D"/>
                <w:sz w:val="19"/>
                <w:szCs w:val="19"/>
              </w:rPr>
              <w:t xml:space="preserve">soporte común</w:t>
            </w:r>
            <w:r>
              <w:rPr>
                <w:rFonts w:ascii="Cambria" w:cs="Cambria" w:eastAsia="Cambria" w:hAnsi="Cambria"/>
                <w:color w:val="2D2D2D"/>
                <w:sz w:val="19"/>
                <w:szCs w:val="19"/>
              </w:rPr>
              <w:t xml:space="preserve">; zonas con tratados pero sin controles son </w:t>
            </w:r>
            <w:r>
              <w:rPr>
                <w:rFonts w:ascii="Cambria" w:cs="Cambria" w:eastAsia="Cambria" w:hAnsi="Cambria"/>
                <w:b/>
                <w:bCs/>
                <w:color w:val="2D2D2D"/>
                <w:sz w:val="19"/>
                <w:szCs w:val="19"/>
              </w:rPr>
              <w:t xml:space="preserve">violaciones de positividad</w:t>
            </w:r>
            <w:r>
              <w:rPr>
                <w:rFonts w:ascii="Cambria" w:cs="Cambria" w:eastAsia="Cambria" w:hAnsi="Cambria"/>
                <w:color w:val="2D2D2D"/>
                <w:sz w:val="19"/>
                <w:szCs w:val="19"/>
              </w:rPr>
              <w:t xml:space="preserve"> (efecto no identificable ahí). </w:t>
            </w:r>
            <w:r>
              <w:rPr>
                <w:rFonts w:ascii="Cambria" w:cs="Cambria" w:eastAsia="Cambria" w:hAnsi="Cambria"/>
                <w:b/>
                <w:bCs/>
                <w:color w:val="2D2D2D"/>
                <w:sz w:val="19"/>
                <w:szCs w:val="19"/>
              </w:rPr>
              <w:t xml:space="preserve">Recortar, emparejar y verificar el balance (A3).</w:t>
            </w:r>
            <w:r>
              <w:rPr>
                <w:rFonts w:ascii="Cambria" w:cs="Cambria" w:eastAsia="Cambria" w:hAnsi="Cambria"/>
                <w:color w:val="2D2D2D"/>
                <w:sz w:val="19"/>
                <w:szCs w:val="19"/>
              </w:rPr>
              <w:t xml:space="preserve"> Restringir al </w:t>
            </w:r>
            <w:r>
              <w:rPr>
                <w:rFonts w:ascii="Cambria" w:cs="Cambria" w:eastAsia="Cambria" w:hAnsi="Cambria"/>
                <w:b/>
                <w:bCs/>
                <w:color w:val="2D2D2D"/>
                <w:sz w:val="19"/>
                <w:szCs w:val="19"/>
              </w:rPr>
              <w:t xml:space="preserve">soporte común</w:t>
            </w:r>
            <w:r>
              <w:rPr>
                <w:rFonts w:ascii="Cambria" w:cs="Cambria" w:eastAsia="Cambria" w:hAnsi="Cambria"/>
                <w:color w:val="2D2D2D"/>
                <w:sz w:val="19"/>
                <w:szCs w:val="19"/>
              </w:rPr>
              <w:t xml:space="preserve"> (rango de e(X) de los tratados) y </w:t>
            </w:r>
            <w:r>
              <w:rPr>
                <w:rFonts w:ascii="Cambria" w:cs="Cambria" w:eastAsia="Cambria" w:hAnsi="Cambria"/>
                <w:b/>
                <w:bCs/>
                <w:color w:val="2D2D2D"/>
                <w:sz w:val="19"/>
                <w:szCs w:val="19"/>
              </w:rPr>
              <w:t xml:space="preserve">reportar cuántas unidades se descartan</w:t>
            </w:r>
            <w:r>
              <w:rPr>
                <w:rFonts w:ascii="Cambria" w:cs="Cambria" w:eastAsia="Cambria" w:hAnsi="Cambria"/>
                <w:color w:val="2D2D2D"/>
                <w:sz w:val="19"/>
                <w:szCs w:val="19"/>
              </w:rPr>
              <w:t xml:space="preserve">; emparejar cada tratado con su control más cercano en propensity (</w:t>
            </w:r>
            <w:r>
              <w:rPr>
                <w:rFonts w:ascii="Cambria" w:cs="Cambria" w:eastAsia="Cambria" w:hAnsi="Cambria"/>
                <w:b/>
                <w:bCs/>
                <w:color w:val="2D2D2D"/>
                <w:sz w:val="19"/>
                <w:szCs w:val="19"/>
              </w:rPr>
              <w:t xml:space="preserve">1-NN</w:t>
            </w:r>
            <w:r>
              <w:rPr>
                <w:rFonts w:ascii="Cambria" w:cs="Cambria" w:eastAsia="Cambria" w:hAnsi="Cambria"/>
                <w:color w:val="2D2D2D"/>
                <w:sz w:val="19"/>
                <w:szCs w:val="19"/>
              </w:rPr>
              <w:t xml:space="preserve">, </w:t>
            </w:r>
            <w:r>
              <w:rPr>
                <w:rFonts w:ascii="Consolas" w:cs="Consolas" w:eastAsia="Consolas" w:hAnsi="Consolas"/>
                <w:color w:val="7A1526"/>
                <w:sz w:val="17"/>
                <w:szCs w:val="17"/>
              </w:rPr>
              <w:t xml:space="preserve">random_state</w:t>
            </w:r>
            <w:r>
              <w:rPr>
                <w:rFonts w:ascii="Cambria" w:cs="Cambria" w:eastAsia="Cambria" w:hAnsi="Cambria"/>
                <w:color w:val="2D2D2D"/>
                <w:sz w:val="19"/>
                <w:szCs w:val="19"/>
              </w:rPr>
              <w:t xml:space="preserve">=12). El </w:t>
            </w:r>
            <w:r>
              <w:rPr>
                <w:rFonts w:ascii="Cambria" w:cs="Cambria" w:eastAsia="Cambria" w:hAnsi="Cambria"/>
                <w:b/>
                <w:bCs/>
                <w:color w:val="2D2D2D"/>
                <w:sz w:val="19"/>
                <w:szCs w:val="19"/>
              </w:rPr>
              <w:t xml:space="preserve">balance</w:t>
            </w:r>
            <w:r>
              <w:rPr>
                <w:rFonts w:ascii="Cambria" w:cs="Cambria" w:eastAsia="Cambria" w:hAnsi="Cambria"/>
                <w:color w:val="2D2D2D"/>
                <w:sz w:val="19"/>
                <w:szCs w:val="19"/>
              </w:rPr>
              <w:t xml:space="preserve"> se mide con la </w:t>
            </w:r>
            <w:r>
              <w:rPr>
                <w:rFonts w:ascii="Cambria" w:cs="Cambria" w:eastAsia="Cambria" w:hAnsi="Cambria"/>
                <w:b/>
                <w:bCs/>
                <w:color w:val="2D2D2D"/>
                <w:sz w:val="19"/>
                <w:szCs w:val="19"/>
              </w:rPr>
              <w:t xml:space="preserve">diferencia estandarizada de medias (SMD)</w:t>
            </w:r>
            <w:r>
              <w:rPr>
                <w:rFonts w:ascii="Cambria" w:cs="Cambria" w:eastAsia="Cambria" w:hAnsi="Cambria"/>
                <w:color w:val="2D2D2D"/>
                <w:sz w:val="19"/>
                <w:szCs w:val="19"/>
              </w:rPr>
              <w:t xml:space="preserve"> por covariable, con umbral |SMD| &lt; 0,1: antes de emparejar el SMD medio de las covariables es </w:t>
            </w:r>
            <w:r>
              <w:rPr>
                <w:rFonts w:ascii="Cambria" w:cs="Cambria" w:eastAsia="Cambria" w:hAnsi="Cambria"/>
                <w:b/>
                <w:bCs/>
                <w:color w:val="2D2D2D"/>
                <w:sz w:val="19"/>
                <w:szCs w:val="19"/>
              </w:rPr>
              <w:t xml:space="preserve">0,60</w:t>
            </w:r>
            <w:r>
              <w:rPr>
                <w:rFonts w:ascii="Cambria" w:cs="Cambria" w:eastAsia="Cambria" w:hAnsi="Cambria"/>
                <w:color w:val="2D2D2D"/>
                <w:sz w:val="19"/>
                <w:szCs w:val="19"/>
              </w:rPr>
              <w:t xml:space="preserve"> y tras el matching cae a </w:t>
            </w:r>
            <w:r>
              <w:rPr>
                <w:rFonts w:ascii="Cambria" w:cs="Cambria" w:eastAsia="Cambria" w:hAnsi="Cambria"/>
                <w:b/>
                <w:bCs/>
                <w:color w:val="2D2D2D"/>
                <w:sz w:val="19"/>
                <w:szCs w:val="19"/>
              </w:rPr>
              <w:t xml:space="preserve">0,06</w:t>
            </w:r>
            <w:r>
              <w:rPr>
                <w:rFonts w:ascii="Cambria" w:cs="Cambria" w:eastAsia="Cambria" w:hAnsi="Cambria"/>
                <w:color w:val="2D2D2D"/>
                <w:sz w:val="19"/>
                <w:szCs w:val="19"/>
              </w:rPr>
              <w:t xml:space="preserve"> (apoyo </w:t>
            </w:r>
            <w:r>
              <w:rPr>
                <w:rFonts w:ascii="Cambria" w:cs="Cambria" w:eastAsia="Cambria" w:hAnsi="Cambria"/>
                <w:b/>
                <w:bCs/>
                <w:color w:val="2D2D2D"/>
                <w:sz w:val="19"/>
                <w:szCs w:val="19"/>
              </w:rPr>
              <w:t xml:space="preserve">A3</w:t>
            </w:r>
            <w:r>
              <w:rPr>
                <w:rFonts w:ascii="Cambria" w:cs="Cambria" w:eastAsia="Cambria" w:hAnsi="Cambria"/>
                <w:color w:val="2D2D2D"/>
                <w:sz w:val="19"/>
                <w:szCs w:val="19"/>
              </w:rPr>
              <w:t xml:space="preserve">). El balance es el </w:t>
            </w:r>
            <w:r>
              <w:rPr>
                <w:rFonts w:ascii="Cambria" w:cs="Cambria" w:eastAsia="Cambria" w:hAnsi="Cambria"/>
                <w:b/>
                <w:bCs/>
                <w:color w:val="2D2D2D"/>
                <w:sz w:val="19"/>
                <w:szCs w:val="19"/>
              </w:rPr>
              <w:t xml:space="preserve">diagnóstico de que el matching funcionó</w:t>
            </w:r>
            <w:r>
              <w:rPr>
                <w:rFonts w:ascii="Cambria" w:cs="Cambria" w:eastAsia="Cambria" w:hAnsi="Cambria"/>
                <w:color w:val="2D2D2D"/>
                <w:sz w:val="19"/>
                <w:szCs w:val="19"/>
              </w:rPr>
              <w:t xml:space="preserve">: sin él, el ATT no es creíble. </w:t>
            </w:r>
            <w:r>
              <w:rPr>
                <w:rFonts w:ascii="Cambria" w:cs="Cambria" w:eastAsia="Cambria" w:hAnsi="Cambria"/>
                <w:b/>
                <w:bCs/>
                <w:color w:val="2D2D2D"/>
                <w:sz w:val="19"/>
                <w:szCs w:val="19"/>
              </w:rPr>
              <w:t xml:space="preserve">ATT del PSM (target #4).</w:t>
            </w:r>
            <w:r>
              <w:rPr>
                <w:rFonts w:ascii="Cambria" w:cs="Cambria" w:eastAsia="Cambria" w:hAnsi="Cambria"/>
                <w:color w:val="2D2D2D"/>
                <w:sz w:val="19"/>
                <w:szCs w:val="19"/>
              </w:rPr>
              <w:t xml:space="preserve"> El ATT es la media de (y tratado − y emparejado): </w:t>
            </w:r>
            <w:r>
              <w:rPr>
                <w:rFonts w:ascii="Cambria" w:cs="Cambria" w:eastAsia="Cambria" w:hAnsi="Cambria"/>
                <w:b/>
                <w:bCs/>
                <w:color w:val="2D2D2D"/>
                <w:sz w:val="19"/>
                <w:szCs w:val="19"/>
              </w:rPr>
              <w:t xml:space="preserve">+1 745,09 USD</w:t>
            </w:r>
            <w:r>
              <w:rPr>
                <w:rFonts w:ascii="Cambria" w:cs="Cambria" w:eastAsia="Cambria" w:hAnsi="Cambria"/>
                <w:color w:val="2D2D2D"/>
                <w:sz w:val="19"/>
                <w:szCs w:val="19"/>
              </w:rPr>
              <w:t xml:space="preserve">, </w:t>
            </w:r>
            <w:r>
              <w:rPr>
                <w:rFonts w:ascii="Cambria" w:cs="Cambria" w:eastAsia="Cambria" w:hAnsi="Cambria"/>
                <w:b/>
                <w:bCs/>
                <w:color w:val="2D2D2D"/>
                <w:sz w:val="19"/>
                <w:szCs w:val="19"/>
              </w:rPr>
              <w:t xml:space="preserve">positivo</w:t>
            </w:r>
            <w:r>
              <w:rPr>
                <w:rFonts w:ascii="Cambria" w:cs="Cambria" w:eastAsia="Cambria" w:hAnsi="Cambria"/>
                <w:color w:val="2D2D2D"/>
                <w:sz w:val="19"/>
                <w:szCs w:val="19"/>
              </w:rPr>
              <w:t xml:space="preserve"> y </w:t>
            </w:r>
            <w:r>
              <w:rPr>
                <w:rFonts w:ascii="Cambria" w:cs="Cambria" w:eastAsia="Cambria" w:hAnsi="Cambria"/>
                <w:b/>
                <w:bCs/>
                <w:color w:val="2D2D2D"/>
                <w:sz w:val="19"/>
                <w:szCs w:val="19"/>
              </w:rPr>
              <w:t xml:space="preserve">cercano al experimental</w:t>
            </w:r>
            <w:r>
              <w:rPr>
                <w:rFonts w:ascii="Cambria" w:cs="Cambria" w:eastAsia="Cambria" w:hAnsi="Cambria"/>
                <w:color w:val="2D2D2D"/>
                <w:sz w:val="19"/>
                <w:szCs w:val="19"/>
              </w:rPr>
              <w:t xml:space="preserve"> (+1 794), muy lejos del naive (−8 498). El PSM «pasó la prueba»: recuperó el orden de magnitud y el signo del experimento a partir de controles observacionales. Se juzga por </w:t>
            </w:r>
            <w:r>
              <w:rPr>
                <w:rFonts w:ascii="Cambria" w:cs="Cambria" w:eastAsia="Cambria" w:hAnsi="Cambria"/>
                <w:b/>
                <w:bCs/>
                <w:color w:val="2D2D2D"/>
                <w:sz w:val="19"/>
                <w:szCs w:val="19"/>
              </w:rPr>
              <w:t xml:space="preserve">cercanía al benchmark experimental</w:t>
            </w:r>
            <w:r>
              <w:rPr>
                <w:rFonts w:ascii="Cambria" w:cs="Cambria" w:eastAsia="Cambria" w:hAnsi="Cambria"/>
                <w:color w:val="2D2D2D"/>
                <w:sz w:val="19"/>
                <w:szCs w:val="19"/>
              </w:rPr>
              <w:t xml:space="preserve">, no por coincidencia decimal exacta. Actividad en parejas (drill 3): calcular el ATT experimental (+1 794) y el naive observacional (−8 498), estimar el propensity con covariables estandarizadas, recortar a soporte común, emparejar 1-NN, verificar que el SMD medio baja de 0,60 a 0,06 y obtener el ATT del PSM (+1 745); escribir una frase que </w:t>
            </w:r>
            <w:r>
              <w:rPr>
                <w:rFonts w:ascii="Cambria" w:cs="Cambria" w:eastAsia="Cambria" w:hAnsi="Cambria"/>
                <w:b/>
                <w:bCs/>
                <w:color w:val="2D2D2D"/>
                <w:sz w:val="19"/>
                <w:szCs w:val="19"/>
              </w:rPr>
              <w:t xml:space="preserve">explique la diferencia</w:t>
            </w:r>
            <w:r>
              <w:rPr>
                <w:rFonts w:ascii="Cambria" w:cs="Cambria" w:eastAsia="Cambria" w:hAnsi="Cambria"/>
                <w:color w:val="2D2D2D"/>
                <w:sz w:val="19"/>
                <w:szCs w:val="19"/>
              </w:rPr>
              <w:t xml:space="preserve"> naive vs. PSM (sesgo de selección corregido por el balance).</w:t>
            </w:r>
          </w:p>
        </w:tc>
        <w:tc>
          <w:tcPr>
            <w:tcW w:type="dxa" w:w="3000"/>
            <w:tcBorders>
              <w:top w:val="single" w:color="DFE2E6" w:sz="4"/>
              <w:left w:val="single" w:color="E4002B" w:sz="12"/>
              <w:bottom w:val="single" w:color="DFE2E6" w:sz="4"/>
              <w:right w:val="none" w:color="FFFFFF" w:sz="0"/>
            </w:tcBorders>
            <w:shd w:fill="F2F3F5" w:color="auto" w:val="clear"/>
            <w:tcMar>
              <w:top w:type="dxa" w:w="110"/>
              <w:left w:type="dxa" w:w="150"/>
              <w:bottom w:type="dxa" w:w="110"/>
              <w:right w:type="dxa" w:w="150"/>
            </w:tcMar>
            <w:vAlign w:val="top"/>
          </w:tcPr>
          <w:p>
            <w:pPr>
              <w:spacing w:line="265"/>
            </w:pPr>
            <w:r>
              <w:rPr>
                <w:rFonts w:ascii="Calibri" w:cs="Calibri" w:eastAsia="Calibri" w:hAnsi="Calibri"/>
                <w:b/>
                <w:bCs/>
                <w:color w:val="7A1526"/>
                <w:sz w:val="19"/>
                <w:szCs w:val="19"/>
              </w:rPr>
              <w:t xml:space="preserve">▸ </w:t>
            </w:r>
            <w:r>
              <w:rPr>
                <w:rFonts w:ascii="Cambria" w:cs="Cambria" w:eastAsia="Cambria" w:hAnsi="Cambria"/>
                <w:color w:val="2D2D2D"/>
                <w:sz w:val="19"/>
                <w:szCs w:val="19"/>
              </w:rPr>
              <w:t xml:space="preserve">el </w:t>
            </w:r>
            <w:r>
              <w:rPr>
                <w:rFonts w:ascii="Cambria" w:cs="Cambria" w:eastAsia="Cambria" w:hAnsi="Cambria"/>
                <w:b/>
                <w:bCs/>
                <w:color w:val="2D2D2D"/>
                <w:sz w:val="19"/>
                <w:szCs w:val="19"/>
              </w:rPr>
              <w:t xml:space="preserve">ATT experimental (+1 794, #2)</w:t>
            </w:r>
            <w:r>
              <w:rPr>
                <w:rFonts w:ascii="Cambria" w:cs="Cambria" w:eastAsia="Cambria" w:hAnsi="Cambria"/>
                <w:color w:val="2D2D2D"/>
                <w:sz w:val="19"/>
                <w:szCs w:val="19"/>
              </w:rPr>
              <w:t xml:space="preserve">, el </w:t>
            </w:r>
            <w:r>
              <w:rPr>
                <w:rFonts w:ascii="Cambria" w:cs="Cambria" w:eastAsia="Cambria" w:hAnsi="Cambria"/>
                <w:b/>
                <w:bCs/>
                <w:color w:val="2D2D2D"/>
                <w:sz w:val="19"/>
                <w:szCs w:val="19"/>
              </w:rPr>
              <w:t xml:space="preserve">naive observacional (−8 498, #3)</w:t>
            </w:r>
            <w:r>
              <w:rPr>
                <w:rFonts w:ascii="Cambria" w:cs="Cambria" w:eastAsia="Cambria" w:hAnsi="Cambria"/>
                <w:color w:val="2D2D2D"/>
                <w:sz w:val="19"/>
                <w:szCs w:val="19"/>
              </w:rPr>
              <w:t xml:space="preserve">, el gráfico de solapamiento del propensity, el </w:t>
            </w:r>
            <w:r>
              <w:rPr>
                <w:rFonts w:ascii="Cambria" w:cs="Cambria" w:eastAsia="Cambria" w:hAnsi="Cambria"/>
                <w:b/>
                <w:bCs/>
                <w:color w:val="2D2D2D"/>
                <w:sz w:val="19"/>
                <w:szCs w:val="19"/>
              </w:rPr>
              <w:t xml:space="preserve">balance antes/después (SMD 0,60 </w:t>
            </w:r>
            <w:r>
              <w:rPr>
                <w:rFonts w:ascii="Calibri" w:cs="Calibri" w:eastAsia="Calibri" w:hAnsi="Calibri"/>
                <w:b/>
                <w:bCs/>
                <w:color w:val="2D2D2D"/>
                <w:sz w:val="19"/>
                <w:szCs w:val="19"/>
              </w:rPr>
              <w:t xml:space="preserve">→</w:t>
            </w:r>
            <w:r>
              <w:rPr>
                <w:rFonts w:ascii="Cambria" w:cs="Cambria" w:eastAsia="Cambria" w:hAnsi="Cambria"/>
                <w:b/>
                <w:bCs/>
                <w:color w:val="2D2D2D"/>
                <w:sz w:val="19"/>
                <w:szCs w:val="19"/>
              </w:rPr>
              <w:t xml:space="preserve"> 0,06, A3)</w:t>
            </w:r>
            <w:r>
              <w:rPr>
                <w:rFonts w:ascii="Cambria" w:cs="Cambria" w:eastAsia="Cambria" w:hAnsi="Cambria"/>
                <w:color w:val="2D2D2D"/>
                <w:sz w:val="19"/>
                <w:szCs w:val="19"/>
              </w:rPr>
              <w:t xml:space="preserve"> y el </w:t>
            </w:r>
            <w:r>
              <w:rPr>
                <w:rFonts w:ascii="Cambria" w:cs="Cambria" w:eastAsia="Cambria" w:hAnsi="Cambria"/>
                <w:b/>
                <w:bCs/>
                <w:color w:val="2D2D2D"/>
                <w:sz w:val="19"/>
                <w:szCs w:val="19"/>
              </w:rPr>
              <w:t xml:space="preserve">ATT recuperado por PSM (+1 745, #4)</w:t>
            </w:r>
            <w:r>
              <w:rPr>
                <w:rFonts w:ascii="Cambria" w:cs="Cambria" w:eastAsia="Cambria" w:hAnsi="Cambria"/>
                <w:color w:val="2D2D2D"/>
                <w:sz w:val="19"/>
                <w:szCs w:val="19"/>
              </w:rPr>
              <w:t xml:space="preserve">, con la explicación de por qué naive y PSM difieren tanto.</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single" w:color="E4002B" w:sz="14"/>
              <w:left w:val="none" w:color="FFFFFF" w:sz="0"/>
              <w:bottom w:val="single" w:color="D9D9D9" w:sz="4"/>
              <w:right w:val="none" w:color="FFFFFF" w:sz="0"/>
            </w:tcBorders>
            <w:shd w:fill="F2F3F5" w:color="auto" w:val="clear"/>
            <w:tcMar>
              <w:top w:type="dxa" w:w="110"/>
              <w:left w:type="dxa" w:w="150"/>
              <w:bottom w:type="dxa" w:w="110"/>
              <w:right w:type="dxa" w:w="150"/>
            </w:tcMar>
          </w:tcPr>
          <w:p>
            <w:pPr>
              <w:keepNext/>
              <w:spacing w:after="80"/>
            </w:pPr>
            <w:r>
              <w:rPr>
                <w:rFonts w:ascii="Calibri" w:cs="Calibri" w:eastAsia="Calibri" w:hAnsi="Calibri"/>
                <w:b/>
                <w:bCs/>
                <w:color w:val="7A1526"/>
                <w:sz w:val="15"/>
                <w:szCs w:val="15"/>
              </w:rPr>
              <w:t xml:space="preserve">NOTA TÉCNICA 1.7   </w:t>
            </w:r>
            <w:r>
              <w:rPr>
                <w:rFonts w:ascii="Calibri" w:cs="Calibri" w:eastAsia="Calibri" w:hAnsi="Calibri"/>
                <w:b/>
                <w:bCs/>
                <w:color w:val="7A1526"/>
                <w:sz w:val="19"/>
                <w:szCs w:val="19"/>
              </w:rPr>
              <w:t xml:space="preserve">Errores de lectura a evitar y convención Excel — Paso 3</w:t>
            </w:r>
          </w:p>
          <w:p>
            <w:pPr>
              <w:spacing w:after="70" w:line="265"/>
            </w:pPr>
            <w:r>
              <w:rPr>
                <w:rFonts w:ascii="Cambria" w:cs="Cambria" w:eastAsia="Cambria" w:hAnsi="Cambria"/>
                <w:b/>
                <w:bCs/>
                <w:color w:val="3A3A3A"/>
                <w:sz w:val="18"/>
                <w:szCs w:val="18"/>
              </w:rPr>
              <w:t xml:space="preserve">Errores de lectura a evitar</w:t>
            </w:r>
            <w:r>
              <w:rPr>
                <w:rFonts w:ascii="Cambria" w:cs="Cambria" w:eastAsia="Cambria" w:hAnsi="Cambria"/>
                <w:color w:val="3A3A3A"/>
                <w:sz w:val="18"/>
                <w:szCs w:val="18"/>
              </w:rPr>
              <w:t xml:space="preserve">: (a) tomar el naive como «el efecto» porque «los datos son muchos»: más datos </w:t>
            </w:r>
            <w:r>
              <w:rPr>
                <w:rFonts w:ascii="Cambria" w:cs="Cambria" w:eastAsia="Cambria" w:hAnsi="Cambria"/>
                <w:b/>
                <w:bCs/>
                <w:color w:val="3A3A3A"/>
                <w:sz w:val="18"/>
                <w:szCs w:val="18"/>
              </w:rPr>
              <w:t xml:space="preserve">no</w:t>
            </w:r>
            <w:r>
              <w:rPr>
                <w:rFonts w:ascii="Cambria" w:cs="Cambria" w:eastAsia="Cambria" w:hAnsi="Cambria"/>
                <w:color w:val="3A3A3A"/>
                <w:sz w:val="18"/>
                <w:szCs w:val="18"/>
              </w:rPr>
              <w:t xml:space="preserve"> corrigen el sesgo de selección, solo estrechan el IC alrededor del número equivocado. (b) Estimar sobre toda la muestra sin considerar el soporte común (se extrapola, se inventa el contrafactual). (c) Mirar solo el p-valor de una t de diferencia de medias en vez del </w:t>
            </w:r>
            <w:r>
              <w:rPr>
                <w:rFonts w:ascii="Cambria" w:cs="Cambria" w:eastAsia="Cambria" w:hAnsi="Cambria"/>
                <w:b/>
                <w:bCs/>
                <w:color w:val="3A3A3A"/>
                <w:sz w:val="18"/>
                <w:szCs w:val="18"/>
              </w:rPr>
              <w:t xml:space="preserve">SMD</w:t>
            </w:r>
            <w:r>
              <w:rPr>
                <w:rFonts w:ascii="Cambria" w:cs="Cambria" w:eastAsia="Cambria" w:hAnsi="Cambria"/>
                <w:color w:val="3A3A3A"/>
                <w:sz w:val="18"/>
                <w:szCs w:val="18"/>
              </w:rPr>
              <w:t xml:space="preserve"> (estandarizado, sin unidades). (d) Reportar el ATT sin mostrar el balance logrado.</w:t>
            </w:r>
          </w:p>
          <w:p>
            <w:pPr>
              <w:spacing w:after="70" w:line="265"/>
            </w:pPr>
            <w:r>
              <w:rPr>
                <w:rFonts w:ascii="Cambria" w:cs="Cambria" w:eastAsia="Cambria" w:hAnsi="Cambria"/>
                <w:b/>
                <w:bCs/>
                <w:color w:val="3A3A3A"/>
                <w:sz w:val="18"/>
                <w:szCs w:val="18"/>
              </w:rPr>
              <w:t xml:space="preserve">Convención Excel del curso</w:t>
            </w:r>
            <w:r>
              <w:rPr>
                <w:rFonts w:ascii="Cambria" w:cs="Cambria" w:eastAsia="Cambria" w:hAnsi="Cambria"/>
                <w:color w:val="3A3A3A"/>
                <w:sz w:val="18"/>
                <w:szCs w:val="18"/>
              </w:rPr>
              <w:t xml:space="preserve">: el ATT experimental (</w:t>
            </w:r>
            <w:r>
              <w:rPr>
                <w:rFonts w:ascii="Consolas" w:cs="Consolas" w:eastAsia="Consolas" w:hAnsi="Consolas"/>
                <w:color w:val="7A1526"/>
                <w:sz w:val="16"/>
                <w:szCs w:val="16"/>
              </w:rPr>
              <w:t xml:space="preserve">causal_did</w:t>
            </w:r>
            <w:r>
              <w:rPr>
                <w:rFonts w:ascii="Cambria" w:cs="Cambria" w:eastAsia="Cambria" w:hAnsi="Cambria"/>
                <w:color w:val="3A3A3A"/>
                <w:sz w:val="18"/>
                <w:szCs w:val="18"/>
              </w:rPr>
              <w:t xml:space="preserve">!B3), el naive (B4), el ATT del PSM (B5), el SMD medio pre/post (A3), los puntos del solapamiento y la tabla de balance por covariable se exportan al Excel; el love plot del balance y el histograma del solapamiento se generan </w:t>
            </w:r>
            <w:r>
              <w:rPr>
                <w:rFonts w:ascii="Cambria" w:cs="Cambria" w:eastAsia="Cambria" w:hAnsi="Cambria"/>
                <w:b/>
                <w:bCs/>
                <w:color w:val="3A3A3A"/>
                <w:sz w:val="18"/>
                <w:szCs w:val="18"/>
              </w:rPr>
              <w:t xml:space="preserve">al leer ese Excel</w:t>
            </w:r>
            <w:r>
              <w:rPr>
                <w:rFonts w:ascii="Cambria" w:cs="Cambria" w:eastAsia="Cambria" w:hAnsi="Cambria"/>
                <w:color w:val="3A3A3A"/>
                <w:sz w:val="18"/>
                <w:szCs w:val="18"/>
              </w:rPr>
              <w:t xml:space="preserve">.</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0"/>
        <w:gridCol w:w="6080"/>
        <w:gridCol w:w="3000"/>
      </w:tblGrid>
      <w:tr>
        <w:trPr>
          <w:tblHeader/>
        </w:trPr>
        <w:tc>
          <w:tcPr>
            <w:tcW w:type="dxa" w:w="1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TIEMPO</w:t>
            </w:r>
          </w:p>
        </w:tc>
        <w:tc>
          <w:tcPr>
            <w:tcW w:type="dxa" w:w="608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QUÉ HACER</w:t>
            </w:r>
          </w:p>
        </w:tc>
        <w:tc>
          <w:tcPr>
            <w:tcW w:type="dxa" w:w="3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PRODUCTO (lo que queda escrito)</w:t>
            </w:r>
          </w:p>
        </w:tc>
      </w:tr>
      <w:tr>
        <w:tc>
          <w:tcPr>
            <w:tcW w:type="dxa" w:w="10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r>
              <w:rPr>
                <w:rFonts w:ascii="Calibri" w:cs="Calibri" w:eastAsia="Calibri" w:hAnsi="Calibri"/>
                <w:color w:val="6E6E6E"/>
                <w:sz w:val="17"/>
                <w:szCs w:val="17"/>
              </w:rPr>
              <w:t xml:space="preserve">12 min</w:t>
            </w:r>
          </w:p>
        </w:tc>
        <w:tc>
          <w:tcPr>
            <w:tcW w:type="dxa" w:w="60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pPr>
              <w:spacing w:after="70"/>
            </w:pPr>
            <w:r>
              <w:rPr>
                <w:rFonts w:ascii="Calibri" w:cs="Calibri" w:eastAsia="Calibri" w:hAnsi="Calibri"/>
                <w:b/>
                <w:bCs/>
                <w:color w:val="7A1526"/>
                <w:sz w:val="22"/>
                <w:szCs w:val="22"/>
              </w:rPr>
              <w:t xml:space="preserve">P4   </w:t>
            </w:r>
            <w:r>
              <w:rPr>
                <w:rFonts w:ascii="Calibri" w:cs="Calibri" w:eastAsia="Calibri" w:hAnsi="Calibri"/>
                <w:b/>
                <w:bCs/>
                <w:color w:val="7A1526"/>
                <w:sz w:val="19"/>
                <w:szCs w:val="19"/>
              </w:rPr>
              <w:t xml:space="preserve">Contraste con los benchmarks etiquetados</w:t>
            </w:r>
          </w:p>
          <w:p>
            <w:pPr>
              <w:spacing w:line="265"/>
            </w:pPr>
            <w:r>
              <w:rPr>
                <w:rFonts w:ascii="Cambria" w:cs="Cambria" w:eastAsia="Cambria" w:hAnsi="Cambria"/>
                <w:color w:val="2D2D2D"/>
                <w:sz w:val="19"/>
                <w:szCs w:val="19"/>
              </w:rPr>
              <w:t xml:space="preserve">Aplicar la </w:t>
            </w:r>
            <w:r>
              <w:rPr>
                <w:rFonts w:ascii="Cambria" w:cs="Cambria" w:eastAsia="Cambria" w:hAnsi="Cambria"/>
                <w:b/>
                <w:bCs/>
                <w:color w:val="2D2D2D"/>
                <w:sz w:val="19"/>
                <w:szCs w:val="19"/>
              </w:rPr>
              <w:t xml:space="preserve">regla de oro</w:t>
            </w:r>
            <w:r>
              <w:rPr>
                <w:rFonts w:ascii="Cambria" w:cs="Cambria" w:eastAsia="Cambria" w:hAnsi="Cambria"/>
                <w:color w:val="2D2D2D"/>
                <w:sz w:val="19"/>
                <w:szCs w:val="19"/>
              </w:rPr>
              <w:t xml:space="preserve"> de la sesión: los números del laboratorio son los del venv; las cifras de la literatura van en columna aparte, </w:t>
            </w:r>
            <w:r>
              <w:rPr>
                <w:rFonts w:ascii="Cambria" w:cs="Cambria" w:eastAsia="Cambria" w:hAnsi="Cambria"/>
                <w:b/>
                <w:bCs/>
                <w:color w:val="2D2D2D"/>
                <w:sz w:val="19"/>
                <w:szCs w:val="19"/>
              </w:rPr>
              <w:t xml:space="preserve">rotuladas</w:t>
            </w:r>
            <w:r>
              <w:rPr>
                <w:rFonts w:ascii="Cambria" w:cs="Cambria" w:eastAsia="Cambria" w:hAnsi="Cambria"/>
                <w:color w:val="2D2D2D"/>
                <w:sz w:val="19"/>
                <w:szCs w:val="19"/>
              </w:rPr>
              <w:t xml:space="preserve"> como </w:t>
            </w:r>
            <w:r>
              <w:rPr>
                <w:rFonts w:ascii="Cambria" w:cs="Cambria" w:eastAsia="Cambria" w:hAnsi="Cambria"/>
                <w:i/>
                <w:iCs/>
                <w:color w:val="2D2D2D"/>
                <w:sz w:val="19"/>
                <w:szCs w:val="19"/>
              </w:rPr>
              <w:t xml:space="preserve">benchmark publicado (otro pipeline)</w:t>
            </w:r>
            <w:r>
              <w:rPr>
                <w:rFonts w:ascii="Cambria" w:cs="Cambria" w:eastAsia="Cambria" w:hAnsi="Cambria"/>
                <w:color w:val="2D2D2D"/>
                <w:sz w:val="19"/>
                <w:szCs w:val="19"/>
              </w:rPr>
              <w:t xml:space="preserve">, nunca mezcladas como resultado propio. Confrontar los cuatro resultados de la réplica (tabla adjunta) con sus benchmarks publicados. La lectura: el venv </w:t>
            </w:r>
            <w:r>
              <w:rPr>
                <w:rFonts w:ascii="Cambria" w:cs="Cambria" w:eastAsia="Cambria" w:hAnsi="Cambria"/>
                <w:b/>
                <w:bCs/>
                <w:color w:val="2D2D2D"/>
                <w:sz w:val="19"/>
                <w:szCs w:val="19"/>
              </w:rPr>
              <w:t xml:space="preserve">reproduce</w:t>
            </w:r>
            <w:r>
              <w:rPr>
                <w:rFonts w:ascii="Cambria" w:cs="Cambria" w:eastAsia="Cambria" w:hAnsi="Cambria"/>
                <w:color w:val="2D2D2D"/>
                <w:sz w:val="19"/>
                <w:szCs w:val="19"/>
              </w:rPr>
              <w:t xml:space="preserve"> los papers dentro de tolerancia (el DiD positivo de Card &amp; Krueger, el cambio de signo naive</w:t>
            </w:r>
            <w:r>
              <w:rPr>
                <w:rFonts w:ascii="Calibri" w:cs="Calibri" w:eastAsia="Calibri" w:hAnsi="Calibri"/>
                <w:color w:val="2D2D2D"/>
                <w:sz w:val="19"/>
                <w:szCs w:val="19"/>
              </w:rPr>
              <w:t xml:space="preserve">→</w:t>
            </w:r>
            <w:r>
              <w:rPr>
                <w:rFonts w:ascii="Cambria" w:cs="Cambria" w:eastAsia="Cambria" w:hAnsi="Cambria"/>
                <w:color w:val="2D2D2D"/>
                <w:sz w:val="19"/>
                <w:szCs w:val="19"/>
              </w:rPr>
              <w:t xml:space="preserve">experimental de LaLonde y la recuperación del PSM). Que el decimal del PSM (#4) no coincida exactamente con el benchmark es </w:t>
            </w:r>
            <w:r>
              <w:rPr>
                <w:rFonts w:ascii="Cambria" w:cs="Cambria" w:eastAsia="Cambria" w:hAnsi="Cambria"/>
                <w:b/>
                <w:bCs/>
                <w:color w:val="2D2D2D"/>
                <w:sz w:val="19"/>
                <w:szCs w:val="19"/>
              </w:rPr>
              <w:t xml:space="preserve">esperado</w:t>
            </w:r>
            <w:r>
              <w:rPr>
                <w:rFonts w:ascii="Cambria" w:cs="Cambria" w:eastAsia="Cambria" w:hAnsi="Cambria"/>
                <w:color w:val="2D2D2D"/>
                <w:sz w:val="19"/>
                <w:szCs w:val="19"/>
              </w:rPr>
              <w:t xml:space="preserve">: el ATT del matching depende de la especificación del propensity, el escalado y el algoritmo (1-NN, con/sin reemplazo, caliper); lo anclado es que sea </w:t>
            </w:r>
            <w:r>
              <w:rPr>
                <w:rFonts w:ascii="Cambria" w:cs="Cambria" w:eastAsia="Cambria" w:hAnsi="Cambria"/>
                <w:b/>
                <w:bCs/>
                <w:color w:val="2D2D2D"/>
                <w:sz w:val="19"/>
                <w:szCs w:val="19"/>
              </w:rPr>
              <w:t xml:space="preserve">positivo, del orden del experimental y que bata con holgura al naive</w:t>
            </w:r>
            <w:r>
              <w:rPr>
                <w:rFonts w:ascii="Cambria" w:cs="Cambria" w:eastAsia="Cambria" w:hAnsi="Cambria"/>
                <w:color w:val="2D2D2D"/>
                <w:sz w:val="19"/>
                <w:szCs w:val="19"/>
              </w:rPr>
              <w:t xml:space="preserve">. Actividad en parejas: completar la tabla de contraste con los valores obtenidos y, al lado de cada uno, su benchmark publicado </w:t>
            </w:r>
            <w:r>
              <w:rPr>
                <w:rFonts w:ascii="Cambria" w:cs="Cambria" w:eastAsia="Cambria" w:hAnsi="Cambria"/>
                <w:b/>
                <w:bCs/>
                <w:color w:val="2D2D2D"/>
                <w:sz w:val="19"/>
                <w:szCs w:val="19"/>
              </w:rPr>
              <w:t xml:space="preserve">rotulado</w:t>
            </w:r>
            <w:r>
              <w:rPr>
                <w:rFonts w:ascii="Cambria" w:cs="Cambria" w:eastAsia="Cambria" w:hAnsi="Cambria"/>
                <w:color w:val="2D2D2D"/>
                <w:sz w:val="19"/>
                <w:szCs w:val="19"/>
              </w:rPr>
              <w:t xml:space="preserve">; escribir una frase que explique por qué el decimal del PSM puede diferir del benchmark y por qué eso </w:t>
            </w:r>
            <w:r>
              <w:rPr>
                <w:rFonts w:ascii="Cambria" w:cs="Cambria" w:eastAsia="Cambria" w:hAnsi="Cambria"/>
                <w:b/>
                <w:bCs/>
                <w:color w:val="2D2D2D"/>
                <w:sz w:val="19"/>
                <w:szCs w:val="19"/>
              </w:rPr>
              <w:t xml:space="preserve">no</w:t>
            </w:r>
            <w:r>
              <w:rPr>
                <w:rFonts w:ascii="Cambria" w:cs="Cambria" w:eastAsia="Cambria" w:hAnsi="Cambria"/>
                <w:color w:val="2D2D2D"/>
                <w:sz w:val="19"/>
                <w:szCs w:val="19"/>
              </w:rPr>
              <w:t xml:space="preserve"> invalida la réplica.</w:t>
            </w:r>
          </w:p>
        </w:tc>
        <w:tc>
          <w:tcPr>
            <w:tcW w:type="dxa" w:w="3000"/>
            <w:tcBorders>
              <w:top w:val="single" w:color="DFE2E6" w:sz="4"/>
              <w:left w:val="single" w:color="E4002B" w:sz="12"/>
              <w:bottom w:val="single" w:color="DFE2E6" w:sz="4"/>
              <w:right w:val="none" w:color="FFFFFF" w:sz="0"/>
            </w:tcBorders>
            <w:shd w:fill="F2F3F5" w:color="auto" w:val="clear"/>
            <w:tcMar>
              <w:top w:type="dxa" w:w="110"/>
              <w:left w:type="dxa" w:w="150"/>
              <w:bottom w:type="dxa" w:w="110"/>
              <w:right w:type="dxa" w:w="150"/>
            </w:tcMar>
            <w:vAlign w:val="top"/>
          </w:tcPr>
          <w:p>
            <w:pPr>
              <w:spacing w:line="265"/>
            </w:pPr>
            <w:r>
              <w:rPr>
                <w:rFonts w:ascii="Calibri" w:cs="Calibri" w:eastAsia="Calibri" w:hAnsi="Calibri"/>
                <w:b/>
                <w:bCs/>
                <w:color w:val="7A1526"/>
                <w:sz w:val="19"/>
                <w:szCs w:val="19"/>
              </w:rPr>
              <w:t xml:space="preserve">▸ </w:t>
            </w:r>
            <w:r>
              <w:rPr>
                <w:rFonts w:ascii="Cambria" w:cs="Cambria" w:eastAsia="Cambria" w:hAnsi="Cambria"/>
                <w:color w:val="2D2D2D"/>
                <w:sz w:val="19"/>
                <w:szCs w:val="19"/>
              </w:rPr>
              <w:t xml:space="preserve">una tabla que confronte los valores OPERATIVOS del venv con los valores </w:t>
            </w:r>
            <w:r>
              <w:rPr>
                <w:rFonts w:ascii="Cambria" w:cs="Cambria" w:eastAsia="Cambria" w:hAnsi="Cambria"/>
                <w:b/>
                <w:bCs/>
                <w:color w:val="2D2D2D"/>
                <w:sz w:val="19"/>
                <w:szCs w:val="19"/>
              </w:rPr>
              <w:t xml:space="preserve">publicados</w:t>
            </w:r>
            <w:r>
              <w:rPr>
                <w:rFonts w:ascii="Cambria" w:cs="Cambria" w:eastAsia="Cambria" w:hAnsi="Cambria"/>
                <w:color w:val="2D2D2D"/>
                <w:sz w:val="19"/>
                <w:szCs w:val="19"/>
              </w:rPr>
              <w:t xml:space="preserve"> de los papers, cada uno rotulado como benchmark de otro pipeline.</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2520"/>
        <w:gridCol w:w="2520"/>
        <w:gridCol w:w="2520"/>
        <w:gridCol w:w="2520"/>
      </w:tblGrid>
      <w:tr>
        <w:trPr>
          <w:tblHeader/>
        </w:trPr>
        <w:tc>
          <w:tcPr>
            <w:tcW w:type="dxa" w:w="252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w:t>
            </w:r>
          </w:p>
        </w:tc>
        <w:tc>
          <w:tcPr>
            <w:tcW w:type="dxa" w:w="252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Resultado</w:t>
            </w:r>
          </w:p>
        </w:tc>
        <w:tc>
          <w:tcPr>
            <w:tcW w:type="dxa" w:w="252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Valor OPERATIVO (venv)</w:t>
            </w:r>
          </w:p>
        </w:tc>
        <w:tc>
          <w:tcPr>
            <w:tcW w:type="dxa" w:w="252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Benchmark publicado (etiquetado)</w:t>
            </w:r>
          </w:p>
        </w:tc>
      </w:tr>
      <w:tr>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8"/>
                <w:szCs w:val="18"/>
              </w:rPr>
              <w:t xml:space="preserve">1</w:t>
            </w:r>
          </w:p>
        </w:tc>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DiD Card &amp; Krueger (</w:t>
            </w:r>
            <w:r>
              <w:rPr>
                <w:rFonts w:ascii="Consolas" w:cs="Consolas" w:eastAsia="Consolas" w:hAnsi="Consolas"/>
                <w:b w:val="false"/>
                <w:bCs w:val="false"/>
                <w:color w:val="7A1526"/>
                <w:sz w:val="16"/>
                <w:szCs w:val="16"/>
              </w:rPr>
              <w:t xml:space="preserve">FTE</w:t>
            </w:r>
            <w:r>
              <w:rPr>
                <w:rFonts w:ascii="Calibri" w:cs="Calibri" w:eastAsia="Calibri" w:hAnsi="Calibri"/>
                <w:b w:val="false"/>
                <w:bCs w:val="false"/>
                <w:color w:val="2D2D2D"/>
                <w:sz w:val="18"/>
                <w:szCs w:val="18"/>
              </w:rPr>
              <w:t xml:space="preserve">)</w:t>
            </w:r>
          </w:p>
        </w:tc>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2D2D2D"/>
                <w:sz w:val="18"/>
                <w:szCs w:val="18"/>
              </w:rPr>
              <w:t xml:space="preserve">+2,75</w:t>
            </w:r>
            <w:r>
              <w:rPr>
                <w:rFonts w:ascii="Calibri" w:cs="Calibri" w:eastAsia="Calibri" w:hAnsi="Calibri"/>
                <w:b w:val="false"/>
                <w:bCs w:val="false"/>
                <w:color w:val="2D2D2D"/>
                <w:sz w:val="18"/>
                <w:szCs w:val="18"/>
              </w:rPr>
              <w:t xml:space="preserve"> (positivo)</w:t>
            </w:r>
          </w:p>
        </w:tc>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2D2D2D"/>
                <w:sz w:val="18"/>
                <w:szCs w:val="18"/>
              </w:rPr>
              <w:t xml:space="preserve">+2,76 (SE 1,36)</w:t>
            </w:r>
            <w:r>
              <w:rPr>
                <w:rFonts w:ascii="Calibri" w:cs="Calibri" w:eastAsia="Calibri" w:hAnsi="Calibri"/>
                <w:b w:val="false"/>
                <w:bCs w:val="false"/>
                <w:color w:val="2D2D2D"/>
                <w:sz w:val="18"/>
                <w:szCs w:val="18"/>
              </w:rPr>
              <w:t xml:space="preserve"> — Card &amp; Krueger (1994), Tabla 3</w:t>
            </w:r>
          </w:p>
        </w:tc>
      </w:tr>
      <w:tr>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8"/>
                <w:szCs w:val="18"/>
              </w:rPr>
              <w:t xml:space="preserve">2</w:t>
            </w:r>
          </w:p>
        </w:tc>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ATT experimental LaLonde</w:t>
            </w:r>
          </w:p>
        </w:tc>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2D2D2D"/>
                <w:sz w:val="18"/>
                <w:szCs w:val="18"/>
              </w:rPr>
              <w:t xml:space="preserve">+1 794,34 USD</w:t>
            </w:r>
          </w:p>
        </w:tc>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2D2D2D"/>
                <w:sz w:val="18"/>
                <w:szCs w:val="18"/>
              </w:rPr>
              <w:t xml:space="preserve">+1 794,34 USD</w:t>
            </w:r>
            <w:r>
              <w:rPr>
                <w:rFonts w:ascii="Calibri" w:cs="Calibri" w:eastAsia="Calibri" w:hAnsi="Calibri"/>
                <w:b w:val="false"/>
                <w:bCs w:val="false"/>
                <w:color w:val="2D2D2D"/>
                <w:sz w:val="18"/>
                <w:szCs w:val="18"/>
              </w:rPr>
              <w:t xml:space="preserve"> — </w:t>
            </w:r>
            <w:r>
              <w:rPr>
                <w:rFonts w:ascii="Calibri" w:cs="Calibri" w:eastAsia="Calibri" w:hAnsi="Calibri"/>
                <w:b w:val="false"/>
                <w:bCs w:val="false"/>
                <w:i/>
                <w:iCs/>
                <w:color w:val="2D2D2D"/>
                <w:sz w:val="18"/>
                <w:szCs w:val="18"/>
              </w:rPr>
              <w:t xml:space="preserve">The Mixtape</w:t>
            </w:r>
            <w:r>
              <w:rPr>
                <w:rFonts w:ascii="Calibri" w:cs="Calibri" w:eastAsia="Calibri" w:hAnsi="Calibri"/>
                <w:b w:val="false"/>
                <w:bCs w:val="false"/>
                <w:color w:val="2D2D2D"/>
                <w:sz w:val="18"/>
                <w:szCs w:val="18"/>
              </w:rPr>
              <w:t xml:space="preserve"> (Cunningham 2021)</w:t>
            </w:r>
          </w:p>
        </w:tc>
      </w:tr>
      <w:tr>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8"/>
                <w:szCs w:val="18"/>
              </w:rPr>
              <w:t xml:space="preserve">3</w:t>
            </w:r>
          </w:p>
        </w:tc>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Naive observacional (CPS)</w:t>
            </w:r>
          </w:p>
        </w:tc>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2D2D2D"/>
                <w:sz w:val="18"/>
                <w:szCs w:val="18"/>
              </w:rPr>
              <w:t xml:space="preserve">−8 497,52 USD</w:t>
            </w:r>
          </w:p>
        </w:tc>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2D2D2D"/>
                <w:sz w:val="18"/>
                <w:szCs w:val="18"/>
              </w:rPr>
              <w:t xml:space="preserve">≈ −8 498 (SE 712)</w:t>
            </w:r>
            <w:r>
              <w:rPr>
                <w:rFonts w:ascii="Calibri" w:cs="Calibri" w:eastAsia="Calibri" w:hAnsi="Calibri"/>
                <w:b w:val="false"/>
                <w:bCs w:val="false"/>
                <w:color w:val="2D2D2D"/>
                <w:sz w:val="18"/>
                <w:szCs w:val="18"/>
              </w:rPr>
              <w:t xml:space="preserve"> — </w:t>
            </w:r>
            <w:r>
              <w:rPr>
                <w:rFonts w:ascii="Calibri" w:cs="Calibri" w:eastAsia="Calibri" w:hAnsi="Calibri"/>
                <w:b w:val="false"/>
                <w:bCs w:val="false"/>
                <w:i/>
                <w:iCs/>
                <w:color w:val="2D2D2D"/>
                <w:sz w:val="18"/>
                <w:szCs w:val="18"/>
              </w:rPr>
              <w:t xml:space="preserve">The Mixtape</w:t>
            </w:r>
            <w:r>
              <w:rPr>
                <w:rFonts w:ascii="Calibri" w:cs="Calibri" w:eastAsia="Calibri" w:hAnsi="Calibri"/>
                <w:b w:val="false"/>
                <w:bCs w:val="false"/>
                <w:color w:val="2D2D2D"/>
                <w:sz w:val="18"/>
                <w:szCs w:val="18"/>
              </w:rPr>
              <w:t xml:space="preserve">, Tabla 5.11</w:t>
            </w:r>
          </w:p>
        </w:tc>
      </w:tr>
      <w:tr>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8"/>
                <w:szCs w:val="18"/>
              </w:rPr>
              <w:t xml:space="preserve">4</w:t>
            </w:r>
          </w:p>
        </w:tc>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PSM recupera el ATT</w:t>
            </w:r>
          </w:p>
        </w:tc>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2D2D2D"/>
                <w:sz w:val="18"/>
                <w:szCs w:val="18"/>
              </w:rPr>
              <w:t xml:space="preserve">+1 745,09 USD</w:t>
            </w:r>
          </w:p>
        </w:tc>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2D2D2D"/>
                <w:sz w:val="18"/>
                <w:szCs w:val="18"/>
              </w:rPr>
              <w:t xml:space="preserve">≈ 1 640</w:t>
            </w:r>
            <w:r>
              <w:rPr>
                <w:rFonts w:ascii="Calibri" w:cs="Calibri" w:eastAsia="Calibri" w:hAnsi="Calibri"/>
                <w:b w:val="false"/>
                <w:bCs w:val="false"/>
                <w:color w:val="2D2D2D"/>
                <w:sz w:val="18"/>
                <w:szCs w:val="18"/>
              </w:rPr>
              <w:t xml:space="preserve"> (DoWhy IPW) / </w:t>
            </w:r>
            <w:r>
              <w:rPr>
                <w:rFonts w:ascii="Calibri" w:cs="Calibri" w:eastAsia="Calibri" w:hAnsi="Calibri"/>
                <w:b/>
                <w:bCs/>
                <w:color w:val="2D2D2D"/>
                <w:sz w:val="18"/>
                <w:szCs w:val="18"/>
              </w:rPr>
              <w:t xml:space="preserve">1 582–1 774</w:t>
            </w:r>
            <w:r>
              <w:rPr>
                <w:rFonts w:ascii="Calibri" w:cs="Calibri" w:eastAsia="Calibri" w:hAnsi="Calibri"/>
                <w:b w:val="false"/>
                <w:bCs w:val="false"/>
                <w:color w:val="2D2D2D"/>
                <w:sz w:val="18"/>
                <w:szCs w:val="18"/>
              </w:rPr>
              <w:t xml:space="preserve"> (PSM Mixtape)</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single" w:color="E4002B" w:sz="14"/>
              <w:left w:val="none" w:color="FFFFFF" w:sz="0"/>
              <w:bottom w:val="single" w:color="D9D9D9" w:sz="4"/>
              <w:right w:val="none" w:color="FFFFFF" w:sz="0"/>
            </w:tcBorders>
            <w:shd w:fill="F2F3F5" w:color="auto" w:val="clear"/>
            <w:tcMar>
              <w:top w:type="dxa" w:w="110"/>
              <w:left w:type="dxa" w:w="150"/>
              <w:bottom w:type="dxa" w:w="110"/>
              <w:right w:type="dxa" w:w="150"/>
            </w:tcMar>
          </w:tcPr>
          <w:p>
            <w:pPr>
              <w:keepNext/>
              <w:spacing w:after="80"/>
            </w:pPr>
            <w:r>
              <w:rPr>
                <w:rFonts w:ascii="Calibri" w:cs="Calibri" w:eastAsia="Calibri" w:hAnsi="Calibri"/>
                <w:b/>
                <w:bCs/>
                <w:color w:val="7A1526"/>
                <w:sz w:val="15"/>
                <w:szCs w:val="15"/>
              </w:rPr>
              <w:t xml:space="preserve">NOTA TÉCNICA 1.8   </w:t>
            </w:r>
            <w:r>
              <w:rPr>
                <w:rFonts w:ascii="Calibri" w:cs="Calibri" w:eastAsia="Calibri" w:hAnsi="Calibri"/>
                <w:b/>
                <w:bCs/>
                <w:color w:val="7A1526"/>
                <w:sz w:val="19"/>
                <w:szCs w:val="19"/>
              </w:rPr>
              <w:t xml:space="preserve">Errores de lectura a evitar — Paso 4</w:t>
            </w:r>
          </w:p>
          <w:p>
            <w:pPr>
              <w:spacing w:after="70" w:line="265"/>
            </w:pPr>
            <w:r>
              <w:rPr>
                <w:rFonts w:ascii="Cambria" w:cs="Cambria" w:eastAsia="Cambria" w:hAnsi="Cambria"/>
                <w:color w:val="3A3A3A"/>
                <w:sz w:val="18"/>
                <w:szCs w:val="18"/>
              </w:rPr>
              <w:t xml:space="preserve">(a) Presentar el benchmark del paper como «el resultado del notebook»: se rotula siempre como otro pipeline. (b) Exigir coincidencia decimal exacta con el paper (distinta muestra, versión de librería, tratamiento de faltantes). (c) «Corregir» el coeficiente de regresión para que iguale al DiD de medias: pueden diferir unas décimas y se </w:t>
            </w:r>
            <w:r>
              <w:rPr>
                <w:rFonts w:ascii="Cambria" w:cs="Cambria" w:eastAsia="Cambria" w:hAnsi="Cambria"/>
                <w:b/>
                <w:bCs/>
                <w:color w:val="3A3A3A"/>
                <w:sz w:val="18"/>
                <w:szCs w:val="18"/>
              </w:rPr>
              <w:t xml:space="preserve">documenta</w:t>
            </w:r>
            <w:r>
              <w:rPr>
                <w:rFonts w:ascii="Cambria" w:cs="Cambria" w:eastAsia="Cambria" w:hAnsi="Cambria"/>
                <w:color w:val="3A3A3A"/>
                <w:sz w:val="18"/>
                <w:szCs w:val="18"/>
              </w:rPr>
              <w:t xml:space="preserve">, no se fuerza.</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rPr>
          <w:cantSplit/>
        </w:trPr>
        <w:tc>
          <w:tcPr>
            <w:tcW w:type="dxa" w:w="10080"/>
            <w:tcBorders>
              <w:top w:val="none" w:color="FFFFFF" w:sz="0"/>
              <w:left w:val="single" w:color="E4002B" w:sz="18"/>
              <w:bottom w:val="none" w:color="FFFFFF" w:sz="0"/>
              <w:right w:val="none" w:color="FFFFFF" w:sz="0"/>
            </w:tcBorders>
            <w:shd w:fill="FBEFF1" w:color="auto" w:val="clear"/>
            <w:tcMar>
              <w:top w:type="dxa" w:w="110"/>
              <w:left w:type="dxa" w:w="150"/>
              <w:bottom w:type="dxa" w:w="110"/>
              <w:right w:type="dxa" w:w="150"/>
            </w:tcMar>
          </w:tcPr>
          <w:p>
            <w:pPr>
              <w:spacing w:after="90"/>
            </w:pPr>
            <w:r>
              <w:rPr>
                <w:rFonts w:ascii="Calibri" w:cs="Calibri" w:eastAsia="Calibri" w:hAnsi="Calibri"/>
                <w:b/>
                <w:bCs/>
                <w:color w:val="7A1526"/>
                <w:spacing w:val="20"/>
                <w:sz w:val="16"/>
                <w:szCs w:val="16"/>
              </w:rPr>
              <w:t xml:space="preserve">AUTOEVALUACIÓN BLOQUE 1</w:t>
            </w:r>
          </w:p>
          <w:p>
            <w:pPr>
              <w:spacing w:after="60"/>
            </w:pPr>
            <w:r>
              <w:rPr>
                <w:rFonts w:ascii="Calibri" w:cs="Calibri" w:eastAsia="Calibri" w:hAnsi="Calibri"/>
                <w:color w:val="7A1526"/>
                <w:sz w:val="20"/>
                <w:szCs w:val="20"/>
              </w:rPr>
              <w:t xml:space="preserve">☐   </w:t>
            </w:r>
            <w:r>
              <w:rPr>
                <w:rFonts w:ascii="Cambria" w:cs="Cambria" w:eastAsia="Cambria" w:hAnsi="Cambria"/>
                <w:color w:val="2D2D2D"/>
                <w:sz w:val="19"/>
                <w:szCs w:val="19"/>
              </w:rPr>
              <w:t xml:space="preserve">¿Se formuló el contrafactual (Y(0), Y(1), ATT) y se explicó por qué la aleatorización es el patrón oro?</w:t>
            </w:r>
          </w:p>
          <w:p>
            <w:pPr>
              <w:spacing w:after="60"/>
            </w:pPr>
            <w:r>
              <w:rPr>
                <w:rFonts w:ascii="Calibri" w:cs="Calibri" w:eastAsia="Calibri" w:hAnsi="Calibri"/>
                <w:color w:val="7A1526"/>
                <w:sz w:val="20"/>
                <w:szCs w:val="20"/>
              </w:rPr>
              <w:t xml:space="preserve">☐   </w:t>
            </w:r>
            <w:r>
              <w:rPr>
                <w:rFonts w:ascii="Cambria" w:cs="Cambria" w:eastAsia="Cambria" w:hAnsi="Cambria"/>
                <w:color w:val="2D2D2D"/>
                <w:sz w:val="19"/>
                <w:szCs w:val="19"/>
              </w:rPr>
              <w:t xml:space="preserve">¿Se dibujó el DAG del negocio y se derivó el conjunto de ajuste {</w:t>
            </w:r>
            <w:r>
              <w:rPr>
                <w:rFonts w:ascii="Consolas" w:cs="Consolas" w:eastAsia="Consolas" w:hAnsi="Consolas"/>
                <w:color w:val="7A1526"/>
                <w:sz w:val="17"/>
                <w:szCs w:val="17"/>
              </w:rPr>
              <w:t xml:space="preserve">engagement</w:t>
            </w:r>
            <w:r>
              <w:rPr>
                <w:rFonts w:ascii="Cambria" w:cs="Cambria" w:eastAsia="Cambria" w:hAnsi="Cambria"/>
                <w:color w:val="2D2D2D"/>
                <w:sz w:val="19"/>
                <w:szCs w:val="19"/>
              </w:rPr>
              <w:t xml:space="preserve">}, argumentando por qué no se controlan mediadores ni el collider?</w:t>
            </w:r>
          </w:p>
          <w:p>
            <w:pPr>
              <w:spacing w:after="60"/>
            </w:pPr>
            <w:r>
              <w:rPr>
                <w:rFonts w:ascii="Calibri" w:cs="Calibri" w:eastAsia="Calibri" w:hAnsi="Calibri"/>
                <w:color w:val="7A1526"/>
                <w:sz w:val="20"/>
                <w:szCs w:val="20"/>
              </w:rPr>
              <w:t xml:space="preserve">☐   </w:t>
            </w:r>
            <w:r>
              <w:rPr>
                <w:rFonts w:ascii="Cambria" w:cs="Cambria" w:eastAsia="Cambria" w:hAnsi="Cambria"/>
                <w:color w:val="2D2D2D"/>
                <w:sz w:val="19"/>
                <w:szCs w:val="19"/>
              </w:rPr>
              <w:t xml:space="preserve">¿Se verificaron los 410 restaurantes de Card &amp; Krueger y la tabla 2×2 con el DiD +2,75, declarando la limitación de dos olas?</w:t>
            </w:r>
          </w:p>
          <w:p>
            <w:pPr>
              <w:spacing w:after="60"/>
            </w:pPr>
            <w:r>
              <w:rPr>
                <w:rFonts w:ascii="Calibri" w:cs="Calibri" w:eastAsia="Calibri" w:hAnsi="Calibri"/>
                <w:color w:val="7A1526"/>
                <w:sz w:val="20"/>
                <w:szCs w:val="20"/>
              </w:rPr>
              <w:t xml:space="preserve">☐   </w:t>
            </w:r>
            <w:r>
              <w:rPr>
                <w:rFonts w:ascii="Cambria" w:cs="Cambria" w:eastAsia="Cambria" w:hAnsi="Cambria"/>
                <w:color w:val="2D2D2D"/>
                <w:sz w:val="19"/>
                <w:szCs w:val="19"/>
              </w:rPr>
              <w:t xml:space="preserve">¿Se calcularon el ATT experimental (+1 794) y el naive observacional (−8 498), explicando el sesgo de selección?</w:t>
            </w:r>
          </w:p>
          <w:p>
            <w:pPr>
              <w:spacing w:after="60"/>
            </w:pPr>
            <w:r>
              <w:rPr>
                <w:rFonts w:ascii="Calibri" w:cs="Calibri" w:eastAsia="Calibri" w:hAnsi="Calibri"/>
                <w:color w:val="7A1526"/>
                <w:sz w:val="20"/>
                <w:szCs w:val="20"/>
              </w:rPr>
              <w:t xml:space="preserve">☐   </w:t>
            </w:r>
            <w:r>
              <w:rPr>
                <w:rFonts w:ascii="Cambria" w:cs="Cambria" w:eastAsia="Cambria" w:hAnsi="Cambria"/>
                <w:color w:val="2D2D2D"/>
                <w:sz w:val="19"/>
                <w:szCs w:val="19"/>
              </w:rPr>
              <w:t xml:space="preserve">¿Se verificó el soporte común y el balance (SMD 0,60 </w:t>
            </w:r>
            <w:r>
              <w:rPr>
                <w:rFonts w:ascii="Calibri" w:cs="Calibri" w:eastAsia="Calibri" w:hAnsi="Calibri"/>
                <w:color w:val="2D2D2D"/>
                <w:sz w:val="19"/>
                <w:szCs w:val="19"/>
              </w:rPr>
              <w:t xml:space="preserve">→</w:t>
            </w:r>
            <w:r>
              <w:rPr>
                <w:rFonts w:ascii="Cambria" w:cs="Cambria" w:eastAsia="Cambria" w:hAnsi="Cambria"/>
                <w:color w:val="2D2D2D"/>
                <w:sz w:val="19"/>
                <w:szCs w:val="19"/>
              </w:rPr>
              <w:t xml:space="preserve"> 0,06) antes de leer el ATT del PSM (+1 745)?</w:t>
            </w:r>
          </w:p>
          <w:p>
            <w:pPr>
              <w:spacing w:after="60"/>
            </w:pPr>
            <w:r>
              <w:rPr>
                <w:rFonts w:ascii="Calibri" w:cs="Calibri" w:eastAsia="Calibri" w:hAnsi="Calibri"/>
                <w:color w:val="7A1526"/>
                <w:sz w:val="20"/>
                <w:szCs w:val="20"/>
              </w:rPr>
              <w:t xml:space="preserve">☐   </w:t>
            </w:r>
            <w:r>
              <w:rPr>
                <w:rFonts w:ascii="Cambria" w:cs="Cambria" w:eastAsia="Cambria" w:hAnsi="Cambria"/>
                <w:color w:val="2D2D2D"/>
                <w:sz w:val="19"/>
                <w:szCs w:val="19"/>
              </w:rPr>
              <w:t xml:space="preserve">¿Se contrastaron los cuatro resultados con sus benchmarks publicados, rotulados en columna aparte?</w:t>
            </w:r>
          </w:p>
        </w:tc>
      </w:tr>
    </w:tbl>
    <w:p>
      <w:r>
        <w:br w:type="page"/>
      </w:r>
    </w:p>
    <w:p>
      <w:pPr>
        <w:keepNext/>
        <w:spacing w:after="60" w:before="120"/>
      </w:pPr>
      <w:r>
        <w:rPr>
          <w:rFonts w:ascii="Calibri" w:cs="Calibri" w:eastAsia="Calibri" w:hAnsi="Calibri"/>
          <w:b/>
          <w:bCs/>
          <w:color w:val="7A1526"/>
          <w:sz w:val="24"/>
          <w:szCs w:val="24"/>
        </w:rPr>
        <w:t xml:space="preserve">2.  </w:t>
      </w:r>
      <w:r>
        <w:rPr>
          <w:rFonts w:ascii="Calibri" w:cs="Calibri" w:eastAsia="Calibri" w:hAnsi="Calibri"/>
          <w:b/>
          <w:bCs/>
          <w:color w:val="7A1526"/>
          <w:spacing w:val="20"/>
          <w:sz w:val="24"/>
          <w:szCs w:val="24"/>
        </w:rPr>
        <w:t xml:space="preserve">DOWHY END-TO-END SOBRE EL NEGOCIO: NAIVE, AJUSTADO Y REFUTACIONES</w:t>
      </w:r>
    </w:p>
    <w:p>
      <w:pPr>
        <w:keepNext/>
        <w:pBdr>
          <w:bottom w:val="single" w:color="E4002B" w:sz="14" w:space="8"/>
        </w:pBdr>
        <w:spacing w:after="140"/>
      </w:pPr>
      <w:r>
        <w:rPr>
          <w:rFonts w:ascii="Cambria" w:cs="Cambria" w:eastAsia="Cambria" w:hAnsi="Cambria"/>
          <w:i/>
          <w:iCs/>
          <w:color w:val="6E6E6E"/>
          <w:sz w:val="19"/>
          <w:szCs w:val="19"/>
        </w:rPr>
        <w:t xml:space="preserve">Sección 5 del cuaderno (paso 5, entregable) — jueves, cap. 12.5</w:t>
      </w:r>
      <w:r>
        <w:rPr>
          <w:rFonts w:ascii="Cambria" w:cs="Cambria" w:eastAsia="Cambria" w:hAnsi="Cambria"/>
          <w:b/>
          <w:bCs/>
          <w:color w:val="7A1526"/>
          <w:sz w:val="19"/>
          <w:szCs w:val="19"/>
        </w:rPr>
        <w:t xml:space="preserve">   |   ~34 min</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0"/>
        <w:gridCol w:w="6080"/>
        <w:gridCol w:w="3000"/>
      </w:tblGrid>
      <w:tr>
        <w:trPr>
          <w:tblHeader/>
        </w:trPr>
        <w:tc>
          <w:tcPr>
            <w:tcW w:type="dxa" w:w="1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TIEMPO</w:t>
            </w:r>
          </w:p>
        </w:tc>
        <w:tc>
          <w:tcPr>
            <w:tcW w:type="dxa" w:w="608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QUÉ HACER</w:t>
            </w:r>
          </w:p>
        </w:tc>
        <w:tc>
          <w:tcPr>
            <w:tcW w:type="dxa" w:w="3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PRODUCTO (lo que queda escrito)</w:t>
            </w:r>
          </w:p>
        </w:tc>
      </w:tr>
      <w:tr>
        <w:tc>
          <w:tcPr>
            <w:tcW w:type="dxa" w:w="10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r>
              <w:rPr>
                <w:rFonts w:ascii="Calibri" w:cs="Calibri" w:eastAsia="Calibri" w:hAnsi="Calibri"/>
                <w:color w:val="6E6E6E"/>
                <w:sz w:val="17"/>
                <w:szCs w:val="17"/>
              </w:rPr>
              <w:t xml:space="preserve">34 min</w:t>
            </w:r>
          </w:p>
        </w:tc>
        <w:tc>
          <w:tcPr>
            <w:tcW w:type="dxa" w:w="60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pPr>
              <w:spacing w:after="70"/>
            </w:pPr>
            <w:r>
              <w:rPr>
                <w:rFonts w:ascii="Calibri" w:cs="Calibri" w:eastAsia="Calibri" w:hAnsi="Calibri"/>
                <w:b/>
                <w:bCs/>
                <w:color w:val="7A1526"/>
                <w:sz w:val="22"/>
                <w:szCs w:val="22"/>
              </w:rPr>
              <w:t xml:space="preserve">P5   </w:t>
            </w:r>
            <w:r>
              <w:rPr>
                <w:rFonts w:ascii="Calibri" w:cs="Calibri" w:eastAsia="Calibri" w:hAnsi="Calibri"/>
                <w:b/>
                <w:bCs/>
                <w:color w:val="7A1526"/>
                <w:sz w:val="19"/>
                <w:szCs w:val="19"/>
              </w:rPr>
              <w:t xml:space="preserve">DoWhy end-to-end sobre el negocio (entregable)</w:t>
            </w:r>
          </w:p>
          <w:p>
            <w:pPr>
              <w:spacing w:line="265"/>
            </w:pPr>
            <w:r>
              <w:rPr>
                <w:rFonts w:ascii="Cambria" w:cs="Cambria" w:eastAsia="Cambria" w:hAnsi="Cambria"/>
                <w:color w:val="2D2D2D"/>
                <w:sz w:val="19"/>
                <w:szCs w:val="19"/>
              </w:rPr>
              <w:t xml:space="preserve">Este es el paso del </w:t>
            </w:r>
            <w:r>
              <w:rPr>
                <w:rFonts w:ascii="Cambria" w:cs="Cambria" w:eastAsia="Cambria" w:hAnsi="Cambria"/>
                <w:b/>
                <w:bCs/>
                <w:color w:val="2D2D2D"/>
                <w:sz w:val="19"/>
                <w:szCs w:val="19"/>
              </w:rPr>
              <w:t xml:space="preserve">paper al negocio</w:t>
            </w:r>
            <w:r>
              <w:rPr>
                <w:rFonts w:ascii="Cambria" w:cs="Cambria" w:eastAsia="Cambria" w:hAnsi="Cambria"/>
                <w:color w:val="2D2D2D"/>
                <w:sz w:val="19"/>
                <w:szCs w:val="19"/>
              </w:rPr>
              <w:t xml:space="preserve">: la campaña de retención observacional con un </w:t>
            </w:r>
            <w:r>
              <w:rPr>
                <w:rFonts w:ascii="Cambria" w:cs="Cambria" w:eastAsia="Cambria" w:hAnsi="Cambria"/>
                <w:b/>
                <w:bCs/>
                <w:color w:val="2D2D2D"/>
                <w:sz w:val="19"/>
                <w:szCs w:val="19"/>
              </w:rPr>
              <w:t xml:space="preserve">efecto verdadero conocido por diseño</w:t>
            </w:r>
            <w:r>
              <w:rPr>
                <w:rFonts w:ascii="Cambria" w:cs="Cambria" w:eastAsia="Cambria" w:hAnsi="Cambria"/>
                <w:color w:val="2D2D2D"/>
                <w:sz w:val="19"/>
                <w:szCs w:val="19"/>
              </w:rPr>
              <w:t xml:space="preserve"> (ATE = 8,0, constante del DGP ⇒ ATE = ATT). Permite comparar el estimador </w:t>
            </w:r>
            <w:r>
              <w:rPr>
                <w:rFonts w:ascii="Cambria" w:cs="Cambria" w:eastAsia="Cambria" w:hAnsi="Cambria"/>
                <w:b/>
                <w:bCs/>
                <w:color w:val="2D2D2D"/>
                <w:sz w:val="19"/>
                <w:szCs w:val="19"/>
              </w:rPr>
              <w:t xml:space="preserve">naive</w:t>
            </w:r>
            <w:r>
              <w:rPr>
                <w:rFonts w:ascii="Cambria" w:cs="Cambria" w:eastAsia="Cambria" w:hAnsi="Cambria"/>
                <w:color w:val="2D2D2D"/>
                <w:sz w:val="19"/>
                <w:szCs w:val="19"/>
              </w:rPr>
              <w:t xml:space="preserve"> (sesgado), el </w:t>
            </w:r>
            <w:r>
              <w:rPr>
                <w:rFonts w:ascii="Cambria" w:cs="Cambria" w:eastAsia="Cambria" w:hAnsi="Cambria"/>
                <w:b/>
                <w:bCs/>
                <w:color w:val="2D2D2D"/>
                <w:sz w:val="19"/>
                <w:szCs w:val="19"/>
              </w:rPr>
              <w:t xml:space="preserve">ajustado</w:t>
            </w:r>
            <w:r>
              <w:rPr>
                <w:rFonts w:ascii="Cambria" w:cs="Cambria" w:eastAsia="Cambria" w:hAnsi="Cambria"/>
                <w:color w:val="2D2D2D"/>
                <w:sz w:val="19"/>
                <w:szCs w:val="19"/>
              </w:rPr>
              <w:t xml:space="preserve"> (puerta trasera / DoWhy) y la </w:t>
            </w:r>
            <w:r>
              <w:rPr>
                <w:rFonts w:ascii="Cambria" w:cs="Cambria" w:eastAsia="Cambria" w:hAnsi="Cambria"/>
                <w:b/>
                <w:bCs/>
                <w:color w:val="2D2D2D"/>
                <w:sz w:val="19"/>
                <w:szCs w:val="19"/>
              </w:rPr>
              <w:t xml:space="preserve">verdad</w:t>
            </w:r>
            <w:r>
              <w:rPr>
                <w:rFonts w:ascii="Cambria" w:cs="Cambria" w:eastAsia="Cambria" w:hAnsi="Cambria"/>
                <w:color w:val="2D2D2D"/>
                <w:sz w:val="19"/>
                <w:szCs w:val="19"/>
              </w:rPr>
              <w:t xml:space="preserve">, y ejecutar </w:t>
            </w:r>
            <w:r>
              <w:rPr>
                <w:rFonts w:ascii="Cambria" w:cs="Cambria" w:eastAsia="Cambria" w:hAnsi="Cambria"/>
                <w:b/>
                <w:bCs/>
                <w:color w:val="2D2D2D"/>
                <w:sz w:val="19"/>
                <w:szCs w:val="19"/>
              </w:rPr>
              <w:t xml:space="preserve">refutaciones</w:t>
            </w:r>
            <w:r>
              <w:rPr>
                <w:rFonts w:ascii="Cambria" w:cs="Cambria" w:eastAsia="Cambria" w:hAnsi="Cambria"/>
                <w:color w:val="2D2D2D"/>
                <w:sz w:val="19"/>
                <w:szCs w:val="19"/>
              </w:rPr>
              <w:t xml:space="preserve">. Es el entregable de la sesión y retoma el churn de S09. </w:t>
            </w:r>
            <w:r>
              <w:rPr>
                <w:rFonts w:ascii="Cambria" w:cs="Cambria" w:eastAsia="Cambria" w:hAnsi="Cambria"/>
                <w:b/>
                <w:bCs/>
                <w:color w:val="2D2D2D"/>
                <w:sz w:val="19"/>
                <w:szCs w:val="19"/>
              </w:rPr>
              <w:t xml:space="preserve">Generar el DGP (semilla fija, protocolo al pie)</w:t>
            </w:r>
            <w:r>
              <w:rPr>
                <w:rFonts w:ascii="Cambria" w:cs="Cambria" w:eastAsia="Cambria" w:hAnsi="Cambria"/>
                <w:color w:val="2D2D2D"/>
                <w:sz w:val="19"/>
                <w:szCs w:val="19"/>
              </w:rPr>
              <w:t xml:space="preserve"> (ver nota 2.1). </w:t>
            </w:r>
            <w:r>
              <w:rPr>
                <w:rFonts w:ascii="Cambria" w:cs="Cambria" w:eastAsia="Cambria" w:hAnsi="Cambria"/>
                <w:b/>
                <w:bCs/>
                <w:color w:val="2D2D2D"/>
                <w:sz w:val="19"/>
                <w:szCs w:val="19"/>
              </w:rPr>
              <w:t xml:space="preserve">Estimar el naive (sesgado al alza).</w:t>
            </w:r>
            <w:r>
              <w:rPr>
                <w:rFonts w:ascii="Cambria" w:cs="Cambria" w:eastAsia="Cambria" w:hAnsi="Cambria"/>
                <w:color w:val="2D2D2D"/>
                <w:sz w:val="19"/>
                <w:szCs w:val="19"/>
              </w:rPr>
              <w:t xml:space="preserve"> La diferencia de medias de </w:t>
            </w:r>
            <w:r>
              <w:rPr>
                <w:rFonts w:ascii="Consolas" w:cs="Consolas" w:eastAsia="Consolas" w:hAnsi="Consolas"/>
                <w:color w:val="7A1526"/>
                <w:sz w:val="17"/>
                <w:szCs w:val="17"/>
              </w:rPr>
              <w:t xml:space="preserve">value</w:t>
            </w:r>
            <w:r>
              <w:rPr>
                <w:rFonts w:ascii="Cambria" w:cs="Cambria" w:eastAsia="Cambria" w:hAnsi="Cambria"/>
                <w:color w:val="2D2D2D"/>
                <w:sz w:val="19"/>
                <w:szCs w:val="19"/>
              </w:rPr>
              <w:t xml:space="preserve"> entre </w:t>
            </w:r>
            <w:r>
              <w:rPr>
                <w:rFonts w:ascii="Consolas" w:cs="Consolas" w:eastAsia="Consolas" w:hAnsi="Consolas"/>
                <w:color w:val="7A1526"/>
                <w:sz w:val="17"/>
                <w:szCs w:val="17"/>
              </w:rPr>
              <w:t xml:space="preserve">campaign</w:t>
            </w:r>
            <w:r>
              <w:rPr>
                <w:rFonts w:ascii="Cambria" w:cs="Cambria" w:eastAsia="Cambria" w:hAnsi="Cambria"/>
                <w:color w:val="2D2D2D"/>
                <w:sz w:val="19"/>
                <w:szCs w:val="19"/>
              </w:rPr>
              <w:t xml:space="preserve">=1 y </w:t>
            </w:r>
            <w:r>
              <w:rPr>
                <w:rFonts w:ascii="Consolas" w:cs="Consolas" w:eastAsia="Consolas" w:hAnsi="Consolas"/>
                <w:color w:val="7A1526"/>
                <w:sz w:val="17"/>
                <w:szCs w:val="17"/>
              </w:rPr>
              <w:t xml:space="preserve">campaign</w:t>
            </w:r>
            <w:r>
              <w:rPr>
                <w:rFonts w:ascii="Cambria" w:cs="Cambria" w:eastAsia="Cambria" w:hAnsi="Cambria"/>
                <w:color w:val="2D2D2D"/>
                <w:sz w:val="19"/>
                <w:szCs w:val="19"/>
              </w:rPr>
              <w:t xml:space="preserve">=0 da </w:t>
            </w:r>
            <w:r>
              <w:rPr>
                <w:rFonts w:ascii="Cambria" w:cs="Cambria" w:eastAsia="Cambria" w:hAnsi="Cambria"/>
                <w:b/>
                <w:bCs/>
                <w:color w:val="2D2D2D"/>
                <w:sz w:val="19"/>
                <w:szCs w:val="19"/>
              </w:rPr>
              <w:t xml:space="preserve">+23,6</w:t>
            </w:r>
            <w:r>
              <w:rPr>
                <w:rFonts w:ascii="Cambria" w:cs="Cambria" w:eastAsia="Cambria" w:hAnsi="Cambria"/>
                <w:color w:val="2D2D2D"/>
                <w:sz w:val="19"/>
                <w:szCs w:val="19"/>
              </w:rPr>
              <w:t xml:space="preserve"> (venv), claramente </w:t>
            </w:r>
            <w:r>
              <w:rPr>
                <w:rFonts w:ascii="Cambria" w:cs="Cambria" w:eastAsia="Cambria" w:hAnsi="Cambria"/>
                <w:b/>
                <w:bCs/>
                <w:color w:val="2D2D2D"/>
                <w:sz w:val="19"/>
                <w:szCs w:val="19"/>
              </w:rPr>
              <w:t xml:space="preserve">mayor</w:t>
            </w:r>
            <w:r>
              <w:rPr>
                <w:rFonts w:ascii="Cambria" w:cs="Cambria" w:eastAsia="Cambria" w:hAnsi="Cambria"/>
                <w:color w:val="2D2D2D"/>
                <w:sz w:val="19"/>
                <w:szCs w:val="19"/>
              </w:rPr>
              <w:t xml:space="preserve"> que 8,0. El sesgo es al alza porque los clientes ya buenos (alto </w:t>
            </w:r>
            <w:r>
              <w:rPr>
                <w:rFonts w:ascii="Consolas" w:cs="Consolas" w:eastAsia="Consolas" w:hAnsi="Consolas"/>
                <w:color w:val="7A1526"/>
                <w:sz w:val="17"/>
                <w:szCs w:val="17"/>
              </w:rPr>
              <w:t xml:space="preserve">engagement</w:t>
            </w:r>
            <w:r>
              <w:rPr>
                <w:rFonts w:ascii="Cambria" w:cs="Cambria" w:eastAsia="Cambria" w:hAnsi="Cambria"/>
                <w:color w:val="2D2D2D"/>
                <w:sz w:val="19"/>
                <w:szCs w:val="19"/>
              </w:rPr>
              <w:t xml:space="preserve">) fueron los más contactados. </w:t>
            </w:r>
            <w:r>
              <w:rPr>
                <w:rFonts w:ascii="Cambria" w:cs="Cambria" w:eastAsia="Cambria" w:hAnsi="Cambria"/>
                <w:b/>
                <w:bCs/>
                <w:color w:val="2D2D2D"/>
                <w:sz w:val="19"/>
                <w:szCs w:val="19"/>
              </w:rPr>
              <w:t xml:space="preserve">Estimar el ajustado por puerta trasera (recupera la verdad).</w:t>
            </w:r>
            <w:r>
              <w:rPr>
                <w:rFonts w:ascii="Cambria" w:cs="Cambria" w:eastAsia="Cambria" w:hAnsi="Cambria"/>
                <w:color w:val="2D2D2D"/>
                <w:sz w:val="19"/>
                <w:szCs w:val="19"/>
              </w:rPr>
              <w:t xml:space="preserve"> Con </w:t>
            </w:r>
            <w:r>
              <w:rPr>
                <w:rFonts w:ascii="Consolas" w:cs="Consolas" w:eastAsia="Consolas" w:hAnsi="Consolas"/>
                <w:color w:val="7A1526"/>
                <w:sz w:val="17"/>
                <w:szCs w:val="17"/>
              </w:rPr>
              <w:t xml:space="preserve">CausalModel</w:t>
            </w:r>
            <w:r>
              <w:rPr>
                <w:rFonts w:ascii="Cambria" w:cs="Cambria" w:eastAsia="Cambria" w:hAnsi="Cambria"/>
                <w:color w:val="2D2D2D"/>
                <w:sz w:val="19"/>
                <w:szCs w:val="19"/>
              </w:rPr>
              <w:t xml:space="preserve"> de DoWhy y el DAG del paso 1, </w:t>
            </w:r>
            <w:r>
              <w:rPr>
                <w:rFonts w:ascii="Consolas" w:cs="Consolas" w:eastAsia="Consolas" w:hAnsi="Consolas"/>
                <w:color w:val="7A1526"/>
                <w:sz w:val="17"/>
                <w:szCs w:val="17"/>
              </w:rPr>
              <w:t xml:space="preserve">identify_effect</w:t>
            </w:r>
            <w:r>
              <w:rPr>
                <w:rFonts w:ascii="Cambria" w:cs="Cambria" w:eastAsia="Cambria" w:hAnsi="Cambria"/>
                <w:color w:val="2D2D2D"/>
                <w:sz w:val="19"/>
                <w:szCs w:val="19"/>
              </w:rPr>
              <w:t xml:space="preserve"> encuentra el conjunto de puerta trasera </w:t>
            </w:r>
            <w:r>
              <w:rPr>
                <w:rFonts w:ascii="Cambria" w:cs="Cambria" w:eastAsia="Cambria" w:hAnsi="Cambria"/>
                <w:b/>
                <w:bCs/>
                <w:color w:val="2D2D2D"/>
                <w:sz w:val="19"/>
                <w:szCs w:val="19"/>
              </w:rPr>
              <w:t xml:space="preserve">{</w:t>
            </w:r>
            <w:r>
              <w:rPr>
                <w:rFonts w:ascii="Consolas" w:cs="Consolas" w:eastAsia="Consolas" w:hAnsi="Consolas"/>
                <w:b/>
                <w:bCs/>
                <w:color w:val="7A1526"/>
                <w:sz w:val="17"/>
                <w:szCs w:val="17"/>
              </w:rPr>
              <w:t xml:space="preserve">engagement</w:t>
            </w:r>
            <w:r>
              <w:rPr>
                <w:rFonts w:ascii="Cambria" w:cs="Cambria" w:eastAsia="Cambria" w:hAnsi="Cambria"/>
                <w:b/>
                <w:bCs/>
                <w:color w:val="2D2D2D"/>
                <w:sz w:val="19"/>
                <w:szCs w:val="19"/>
              </w:rPr>
              <w:t xml:space="preserve">}</w:t>
            </w:r>
            <w:r>
              <w:rPr>
                <w:rFonts w:ascii="Cambria" w:cs="Cambria" w:eastAsia="Cambria" w:hAnsi="Cambria"/>
                <w:color w:val="2D2D2D"/>
                <w:sz w:val="19"/>
                <w:szCs w:val="19"/>
              </w:rPr>
              <w:t xml:space="preserve"> y </w:t>
            </w:r>
            <w:r>
              <w:rPr>
                <w:rFonts w:ascii="Consolas" w:cs="Consolas" w:eastAsia="Consolas" w:hAnsi="Consolas"/>
                <w:color w:val="7A1526"/>
                <w:sz w:val="17"/>
                <w:szCs w:val="17"/>
              </w:rPr>
              <w:t xml:space="preserve">estimate_effect</w:t>
            </w:r>
            <w:r>
              <w:rPr>
                <w:rFonts w:ascii="Cambria" w:cs="Cambria" w:eastAsia="Cambria" w:hAnsi="Cambria"/>
                <w:color w:val="2D2D2D"/>
                <w:sz w:val="19"/>
                <w:szCs w:val="19"/>
              </w:rPr>
              <w:t xml:space="preserve"> con el método </w:t>
            </w:r>
            <w:r>
              <w:rPr>
                <w:rFonts w:ascii="Consolas" w:cs="Consolas" w:eastAsia="Consolas" w:hAnsi="Consolas"/>
                <w:color w:val="7A1526"/>
                <w:sz w:val="17"/>
                <w:szCs w:val="17"/>
              </w:rPr>
              <w:t xml:space="preserve">backdoor.linear_regression</w:t>
            </w:r>
            <w:r>
              <w:rPr>
                <w:rFonts w:ascii="Cambria" w:cs="Cambria" w:eastAsia="Cambria" w:hAnsi="Cambria"/>
                <w:color w:val="2D2D2D"/>
                <w:sz w:val="19"/>
                <w:szCs w:val="19"/>
              </w:rPr>
              <w:t xml:space="preserve"> devuelve </w:t>
            </w:r>
            <w:r>
              <w:rPr>
                <w:rFonts w:ascii="Cambria" w:cs="Cambria" w:eastAsia="Cambria" w:hAnsi="Cambria"/>
                <w:b/>
                <w:bCs/>
                <w:color w:val="2D2D2D"/>
                <w:sz w:val="19"/>
                <w:szCs w:val="19"/>
              </w:rPr>
              <w:t xml:space="preserve">+7,95</w:t>
            </w:r>
            <w:r>
              <w:rPr>
                <w:rFonts w:ascii="Cambria" w:cs="Cambria" w:eastAsia="Cambria" w:hAnsi="Cambria"/>
                <w:color w:val="2D2D2D"/>
                <w:sz w:val="19"/>
                <w:szCs w:val="19"/>
              </w:rPr>
              <w:t xml:space="preserve"> (venv): recupera el efecto verdadero (8,0) casi exacto. Equivale a la regresión </w:t>
            </w:r>
            <w:r>
              <w:rPr>
                <w:rFonts w:ascii="Consolas" w:cs="Consolas" w:eastAsia="Consolas" w:hAnsi="Consolas"/>
                <w:color w:val="7A1526"/>
                <w:sz w:val="17"/>
                <w:szCs w:val="17"/>
              </w:rPr>
              <w:t xml:space="preserve">value ~ campaign + engagement (+ tenure)</w:t>
            </w:r>
            <w:r>
              <w:rPr>
                <w:rFonts w:ascii="Cambria" w:cs="Cambria" w:eastAsia="Cambria" w:hAnsi="Cambria"/>
                <w:color w:val="2D2D2D"/>
                <w:sz w:val="19"/>
                <w:szCs w:val="19"/>
              </w:rPr>
              <w:t xml:space="preserve"> con el coeficiente de </w:t>
            </w:r>
            <w:r>
              <w:rPr>
                <w:rFonts w:ascii="Consolas" w:cs="Consolas" w:eastAsia="Consolas" w:hAnsi="Consolas"/>
                <w:color w:val="7A1526"/>
                <w:sz w:val="17"/>
                <w:szCs w:val="17"/>
              </w:rPr>
              <w:t xml:space="preserve">campaign</w:t>
            </w:r>
            <w:r>
              <w:rPr>
                <w:rFonts w:ascii="Cambria" w:cs="Cambria" w:eastAsia="Cambria" w:hAnsi="Cambria"/>
                <w:color w:val="2D2D2D"/>
                <w:sz w:val="19"/>
                <w:szCs w:val="19"/>
              </w:rPr>
              <w:t xml:space="preserve">. Controlar </w:t>
            </w:r>
            <w:r>
              <w:rPr>
                <w:rFonts w:ascii="Cambria" w:cs="Cambria" w:eastAsia="Cambria" w:hAnsi="Cambria"/>
                <w:b/>
                <w:bCs/>
                <w:color w:val="2D2D2D"/>
                <w:sz w:val="19"/>
                <w:szCs w:val="19"/>
              </w:rPr>
              <w:t xml:space="preserve">solo el confusor</w:t>
            </w:r>
            <w:r>
              <w:rPr>
                <w:rFonts w:ascii="Cambria" w:cs="Cambria" w:eastAsia="Cambria" w:hAnsi="Cambria"/>
                <w:color w:val="2D2D2D"/>
                <w:sz w:val="19"/>
                <w:szCs w:val="19"/>
              </w:rPr>
              <w:t xml:space="preserve"> basta para identificar. </w:t>
            </w:r>
            <w:r>
              <w:rPr>
                <w:rFonts w:ascii="Cambria" w:cs="Cambria" w:eastAsia="Cambria" w:hAnsi="Cambria"/>
                <w:b/>
                <w:bCs/>
                <w:color w:val="2D2D2D"/>
                <w:sz w:val="19"/>
                <w:szCs w:val="19"/>
              </w:rPr>
              <w:t xml:space="preserve">Refutar (pruebas de robustez, A4 y A5).</w:t>
            </w:r>
            <w:r>
              <w:rPr>
                <w:rFonts w:ascii="Cambria" w:cs="Cambria" w:eastAsia="Cambria" w:hAnsi="Cambria"/>
                <w:color w:val="2D2D2D"/>
                <w:sz w:val="19"/>
                <w:szCs w:val="19"/>
              </w:rPr>
              <w:t xml:space="preserve"> Como un efecto causal observacional </w:t>
            </w:r>
            <w:r>
              <w:rPr>
                <w:rFonts w:ascii="Cambria" w:cs="Cambria" w:eastAsia="Cambria" w:hAnsi="Cambria"/>
                <w:b/>
                <w:bCs/>
                <w:color w:val="2D2D2D"/>
                <w:sz w:val="19"/>
                <w:szCs w:val="19"/>
              </w:rPr>
              <w:t xml:space="preserve">no puede probarse</w:t>
            </w:r>
            <w:r>
              <w:rPr>
                <w:rFonts w:ascii="Cambria" w:cs="Cambria" w:eastAsia="Cambria" w:hAnsi="Cambria"/>
                <w:color w:val="2D2D2D"/>
                <w:sz w:val="19"/>
                <w:szCs w:val="19"/>
              </w:rPr>
              <w:t xml:space="preserve">, se somete a pruebas que </w:t>
            </w:r>
            <w:r>
              <w:rPr>
                <w:rFonts w:ascii="Cambria" w:cs="Cambria" w:eastAsia="Cambria" w:hAnsi="Cambria"/>
                <w:b/>
                <w:bCs/>
                <w:color w:val="2D2D2D"/>
                <w:sz w:val="19"/>
                <w:szCs w:val="19"/>
              </w:rPr>
              <w:t xml:space="preserve">debería pasar</w:t>
            </w:r>
            <w:r>
              <w:rPr>
                <w:rFonts w:ascii="Cambria" w:cs="Cambria" w:eastAsia="Cambria" w:hAnsi="Cambria"/>
                <w:color w:val="2D2D2D"/>
                <w:sz w:val="19"/>
                <w:szCs w:val="19"/>
              </w:rPr>
              <w:t xml:space="preserve"> si es válido — </w:t>
            </w:r>
            <w:r>
              <w:rPr>
                <w:rFonts w:ascii="Consolas" w:cs="Consolas" w:eastAsia="Consolas" w:hAnsi="Consolas"/>
                <w:b/>
                <w:bCs/>
                <w:color w:val="7A1526"/>
                <w:sz w:val="17"/>
                <w:szCs w:val="17"/>
              </w:rPr>
              <w:t xml:space="preserve">placebo_treatment_refuter</w:t>
            </w:r>
            <w:r>
              <w:rPr>
                <w:rFonts w:ascii="Cambria" w:cs="Cambria" w:eastAsia="Cambria" w:hAnsi="Cambria"/>
                <w:color w:val="2D2D2D"/>
                <w:sz w:val="19"/>
                <w:szCs w:val="19"/>
              </w:rPr>
              <w:t xml:space="preserve"> (permuta el tratamiento por uno falso): el nuevo efecto debe caer a </w:t>
            </w:r>
            <w:r>
              <w:rPr>
                <w:rFonts w:ascii="Cambria" w:cs="Cambria" w:eastAsia="Cambria" w:hAnsi="Cambria"/>
                <w:b/>
                <w:bCs/>
                <w:color w:val="2D2D2D"/>
                <w:sz w:val="19"/>
                <w:szCs w:val="19"/>
              </w:rPr>
              <w:t xml:space="preserve">≈ 0</w:t>
            </w:r>
            <w:r>
              <w:rPr>
                <w:rFonts w:ascii="Cambria" w:cs="Cambria" w:eastAsia="Cambria" w:hAnsi="Cambria"/>
                <w:color w:val="2D2D2D"/>
                <w:sz w:val="19"/>
                <w:szCs w:val="19"/>
              </w:rPr>
              <w:t xml:space="preserve"> (venv: </w:t>
            </w:r>
            <w:r>
              <w:rPr>
                <w:rFonts w:ascii="Cambria" w:cs="Cambria" w:eastAsia="Cambria" w:hAnsi="Cambria"/>
                <w:b/>
                <w:bCs/>
                <w:color w:val="2D2D2D"/>
                <w:sz w:val="19"/>
                <w:szCs w:val="19"/>
              </w:rPr>
              <w:t xml:space="preserve">−0,03</w:t>
            </w:r>
            <w:r>
              <w:rPr>
                <w:rFonts w:ascii="Cambria" w:cs="Cambria" w:eastAsia="Cambria" w:hAnsi="Cambria"/>
                <w:color w:val="2D2D2D"/>
                <w:sz w:val="19"/>
                <w:szCs w:val="19"/>
              </w:rPr>
              <w:t xml:space="preserve">, apoyo </w:t>
            </w:r>
            <w:r>
              <w:rPr>
                <w:rFonts w:ascii="Cambria" w:cs="Cambria" w:eastAsia="Cambria" w:hAnsi="Cambria"/>
                <w:b/>
                <w:bCs/>
                <w:color w:val="2D2D2D"/>
                <w:sz w:val="19"/>
                <w:szCs w:val="19"/>
              </w:rPr>
              <w:t xml:space="preserve">A4</w:t>
            </w:r>
            <w:r>
              <w:rPr>
                <w:rFonts w:ascii="Cambria" w:cs="Cambria" w:eastAsia="Cambria" w:hAnsi="Cambria"/>
                <w:color w:val="2D2D2D"/>
                <w:sz w:val="19"/>
                <w:szCs w:val="19"/>
              </w:rPr>
              <w:t xml:space="preserve">); si el valor fuera aún grande, la estimación captaría una asociación espuria y la refutación </w:t>
            </w:r>
            <w:r>
              <w:rPr>
                <w:rFonts w:ascii="Cambria" w:cs="Cambria" w:eastAsia="Cambria" w:hAnsi="Cambria"/>
                <w:b/>
                <w:bCs/>
                <w:color w:val="2D2D2D"/>
                <w:sz w:val="19"/>
                <w:szCs w:val="19"/>
              </w:rPr>
              <w:t xml:space="preserve">falla</w:t>
            </w:r>
            <w:r>
              <w:rPr>
                <w:rFonts w:ascii="Cambria" w:cs="Cambria" w:eastAsia="Cambria" w:hAnsi="Cambria"/>
                <w:color w:val="2D2D2D"/>
                <w:sz w:val="19"/>
                <w:szCs w:val="19"/>
              </w:rPr>
              <w:t xml:space="preserve">. </w:t>
            </w:r>
            <w:r>
              <w:rPr>
                <w:rFonts w:ascii="Consolas" w:cs="Consolas" w:eastAsia="Consolas" w:hAnsi="Consolas"/>
                <w:b/>
                <w:bCs/>
                <w:color w:val="7A1526"/>
                <w:sz w:val="17"/>
                <w:szCs w:val="17"/>
              </w:rPr>
              <w:t xml:space="preserve">random_common_cause</w:t>
            </w:r>
            <w:r>
              <w:rPr>
                <w:rFonts w:ascii="Cambria" w:cs="Cambria" w:eastAsia="Cambria" w:hAnsi="Cambria"/>
                <w:color w:val="2D2D2D"/>
                <w:sz w:val="19"/>
                <w:szCs w:val="19"/>
              </w:rPr>
              <w:t xml:space="preserve"> (añade un confusor aleatorio): el nuevo efecto debe quedar </w:t>
            </w:r>
            <w:r>
              <w:rPr>
                <w:rFonts w:ascii="Cambria" w:cs="Cambria" w:eastAsia="Cambria" w:hAnsi="Cambria"/>
                <w:b/>
                <w:bCs/>
                <w:color w:val="2D2D2D"/>
                <w:sz w:val="19"/>
                <w:szCs w:val="19"/>
              </w:rPr>
              <w:t xml:space="preserve">casi inalterado</w:t>
            </w:r>
            <w:r>
              <w:rPr>
                <w:rFonts w:ascii="Cambria" w:cs="Cambria" w:eastAsia="Cambria" w:hAnsi="Cambria"/>
                <w:color w:val="2D2D2D"/>
                <w:sz w:val="19"/>
                <w:szCs w:val="19"/>
              </w:rPr>
              <w:t xml:space="preserve"> (venv: </w:t>
            </w:r>
            <w:r>
              <w:rPr>
                <w:rFonts w:ascii="Cambria" w:cs="Cambria" w:eastAsia="Cambria" w:hAnsi="Cambria"/>
                <w:b/>
                <w:bCs/>
                <w:color w:val="2D2D2D"/>
                <w:sz w:val="19"/>
                <w:szCs w:val="19"/>
              </w:rPr>
              <w:t xml:space="preserve">≈ +7,95</w:t>
            </w:r>
            <w:r>
              <w:rPr>
                <w:rFonts w:ascii="Cambria" w:cs="Cambria" w:eastAsia="Cambria" w:hAnsi="Cambria"/>
                <w:color w:val="2D2D2D"/>
                <w:sz w:val="19"/>
                <w:szCs w:val="19"/>
              </w:rPr>
              <w:t xml:space="preserve">, apoyo </w:t>
            </w:r>
            <w:r>
              <w:rPr>
                <w:rFonts w:ascii="Cambria" w:cs="Cambria" w:eastAsia="Cambria" w:hAnsi="Cambria"/>
                <w:b/>
                <w:bCs/>
                <w:color w:val="2D2D2D"/>
                <w:sz w:val="19"/>
                <w:szCs w:val="19"/>
              </w:rPr>
              <w:t xml:space="preserve">A5</w:t>
            </w:r>
            <w:r>
              <w:rPr>
                <w:rFonts w:ascii="Cambria" w:cs="Cambria" w:eastAsia="Cambria" w:hAnsi="Cambria"/>
                <w:color w:val="2D2D2D"/>
                <w:sz w:val="19"/>
                <w:szCs w:val="19"/>
              </w:rPr>
              <w:t xml:space="preserve">); si cambiara mucho, la estimación sería frágil y la refutación </w:t>
            </w:r>
            <w:r>
              <w:rPr>
                <w:rFonts w:ascii="Cambria" w:cs="Cambria" w:eastAsia="Cambria" w:hAnsi="Cambria"/>
                <w:b/>
                <w:bCs/>
                <w:color w:val="2D2D2D"/>
                <w:sz w:val="19"/>
                <w:szCs w:val="19"/>
              </w:rPr>
              <w:t xml:space="preserve">falla</w:t>
            </w:r>
            <w:r>
              <w:rPr>
                <w:rFonts w:ascii="Cambria" w:cs="Cambria" w:eastAsia="Cambria" w:hAnsi="Cambria"/>
                <w:color w:val="2D2D2D"/>
                <w:sz w:val="19"/>
                <w:szCs w:val="19"/>
              </w:rPr>
              <w:t xml:space="preserve">. </w:t>
            </w:r>
            <w:r>
              <w:rPr>
                <w:rFonts w:ascii="Cambria" w:cs="Cambria" w:eastAsia="Cambria" w:hAnsi="Cambria"/>
                <w:b/>
                <w:bCs/>
                <w:color w:val="2D2D2D"/>
                <w:sz w:val="19"/>
                <w:szCs w:val="19"/>
              </w:rPr>
              <w:t xml:space="preserve">Traducir a decisión con incertidumbre (entregable).</w:t>
            </w:r>
            <w:r>
              <w:rPr>
                <w:rFonts w:ascii="Cambria" w:cs="Cambria" w:eastAsia="Cambria" w:hAnsi="Cambria"/>
                <w:color w:val="2D2D2D"/>
                <w:sz w:val="19"/>
                <w:szCs w:val="19"/>
              </w:rPr>
              <w:t xml:space="preserve"> La recomendación combina tres piezas — </w:t>
            </w:r>
            <w:r>
              <w:rPr>
                <w:rFonts w:ascii="Cambria" w:cs="Cambria" w:eastAsia="Cambria" w:hAnsi="Cambria"/>
                <w:b/>
                <w:bCs/>
                <w:color w:val="2D2D2D"/>
                <w:sz w:val="19"/>
                <w:szCs w:val="19"/>
              </w:rPr>
              <w:t xml:space="preserve">magnitud</w:t>
            </w:r>
            <w:r>
              <w:rPr>
                <w:rFonts w:ascii="Cambria" w:cs="Cambria" w:eastAsia="Cambria" w:hAnsi="Cambria"/>
                <w:color w:val="2D2D2D"/>
                <w:sz w:val="19"/>
                <w:szCs w:val="19"/>
              </w:rPr>
              <w:t xml:space="preserve"> del efecto frente al umbral de rentabilidad (¿el ATT supera el costo por cliente?), </w:t>
            </w:r>
            <w:r>
              <w:rPr>
                <w:rFonts w:ascii="Cambria" w:cs="Cambria" w:eastAsia="Cambria" w:hAnsi="Cambria"/>
                <w:b/>
                <w:bCs/>
                <w:color w:val="2D2D2D"/>
                <w:sz w:val="19"/>
                <w:szCs w:val="19"/>
              </w:rPr>
              <w:t xml:space="preserve">incertidumbre</w:t>
            </w:r>
            <w:r>
              <w:rPr>
                <w:rFonts w:ascii="Cambria" w:cs="Cambria" w:eastAsia="Cambria" w:hAnsi="Cambria"/>
                <w:color w:val="2D2D2D"/>
                <w:sz w:val="19"/>
                <w:szCs w:val="19"/>
              </w:rPr>
              <w:t xml:space="preserve"> (¿el IC 95 % excluye ese umbral?) y </w:t>
            </w:r>
            <w:r>
              <w:rPr>
                <w:rFonts w:ascii="Cambria" w:cs="Cambria" w:eastAsia="Cambria" w:hAnsi="Cambria"/>
                <w:b/>
                <w:bCs/>
                <w:color w:val="2D2D2D"/>
                <w:sz w:val="19"/>
                <w:szCs w:val="19"/>
              </w:rPr>
              <w:t xml:space="preserve">credibilidad causal</w:t>
            </w:r>
            <w:r>
              <w:rPr>
                <w:rFonts w:ascii="Cambria" w:cs="Cambria" w:eastAsia="Cambria" w:hAnsi="Cambria"/>
                <w:color w:val="2D2D2D"/>
                <w:sz w:val="19"/>
                <w:szCs w:val="19"/>
              </w:rPr>
              <w:t xml:space="preserve"> (soporte común, balance, refutaciones superadas). Solo si las tres se alinean se recomienda </w:t>
            </w:r>
            <w:r>
              <w:rPr>
                <w:rFonts w:ascii="Cambria" w:cs="Cambria" w:eastAsia="Cambria" w:hAnsi="Cambria"/>
                <w:b/>
                <w:bCs/>
                <w:color w:val="2D2D2D"/>
                <w:sz w:val="19"/>
                <w:szCs w:val="19"/>
              </w:rPr>
              <w:t xml:space="preserve">escalar</w:t>
            </w:r>
            <w:r>
              <w:rPr>
                <w:rFonts w:ascii="Cambria" w:cs="Cambria" w:eastAsia="Cambria" w:hAnsi="Cambria"/>
                <w:color w:val="2D2D2D"/>
                <w:sz w:val="19"/>
                <w:szCs w:val="19"/>
              </w:rPr>
              <w:t xml:space="preserve">; si el IC incluye el umbral, la acción prudente es un </w:t>
            </w:r>
            <w:r>
              <w:rPr>
                <w:rFonts w:ascii="Cambria" w:cs="Cambria" w:eastAsia="Cambria" w:hAnsi="Cambria"/>
                <w:b/>
                <w:bCs/>
                <w:color w:val="2D2D2D"/>
                <w:sz w:val="19"/>
                <w:szCs w:val="19"/>
              </w:rPr>
              <w:t xml:space="preserve">A/B confirmatorio</w:t>
            </w:r>
            <w:r>
              <w:rPr>
                <w:rFonts w:ascii="Cambria" w:cs="Cambria" w:eastAsia="Cambria" w:hAnsi="Cambria"/>
                <w:color w:val="2D2D2D"/>
                <w:sz w:val="19"/>
                <w:szCs w:val="19"/>
              </w:rPr>
              <w:t xml:space="preserve"> antes de invertir a escala. Actividad en parejas (entregable): generar el DGP con la semilla fija, obtener el naive (+23,6), estimar el ajustado con DoWhy (+7,95), ejecutar las dos refutaciones y verificar que placebo ≈ 0 y random-common-cause queda inalterado. Cada estudiante redacta </w:t>
            </w:r>
            <w:r>
              <w:rPr>
                <w:rFonts w:ascii="Cambria" w:cs="Cambria" w:eastAsia="Cambria" w:hAnsi="Cambria"/>
                <w:b/>
                <w:bCs/>
                <w:color w:val="2D2D2D"/>
                <w:sz w:val="19"/>
                <w:szCs w:val="19"/>
              </w:rPr>
              <w:t xml:space="preserve">su propia</w:t>
            </w:r>
            <w:r>
              <w:rPr>
                <w:rFonts w:ascii="Cambria" w:cs="Cambria" w:eastAsia="Cambria" w:hAnsi="Cambria"/>
                <w:color w:val="2D2D2D"/>
                <w:sz w:val="19"/>
                <w:szCs w:val="19"/>
              </w:rPr>
              <w:t xml:space="preserve"> recomendación con incertidumbre (la entrega es individual).</w:t>
            </w:r>
          </w:p>
        </w:tc>
        <w:tc>
          <w:tcPr>
            <w:tcW w:type="dxa" w:w="3000"/>
            <w:tcBorders>
              <w:top w:val="single" w:color="DFE2E6" w:sz="4"/>
              <w:left w:val="single" w:color="E4002B" w:sz="12"/>
              <w:bottom w:val="single" w:color="DFE2E6" w:sz="4"/>
              <w:right w:val="none" w:color="FFFFFF" w:sz="0"/>
            </w:tcBorders>
            <w:shd w:fill="F2F3F5" w:color="auto" w:val="clear"/>
            <w:tcMar>
              <w:top w:type="dxa" w:w="110"/>
              <w:left w:type="dxa" w:w="150"/>
              <w:bottom w:type="dxa" w:w="110"/>
              <w:right w:type="dxa" w:w="150"/>
            </w:tcMar>
            <w:vAlign w:val="top"/>
          </w:tcPr>
          <w:p>
            <w:pPr>
              <w:spacing w:line="265"/>
            </w:pPr>
            <w:r>
              <w:rPr>
                <w:rFonts w:ascii="Calibri" w:cs="Calibri" w:eastAsia="Calibri" w:hAnsi="Calibri"/>
                <w:b/>
                <w:bCs/>
                <w:color w:val="7A1526"/>
                <w:sz w:val="19"/>
                <w:szCs w:val="19"/>
              </w:rPr>
              <w:t xml:space="preserve">▸ </w:t>
            </w:r>
            <w:r>
              <w:rPr>
                <w:rFonts w:ascii="Cambria" w:cs="Cambria" w:eastAsia="Cambria" w:hAnsi="Cambria"/>
                <w:color w:val="2D2D2D"/>
                <w:sz w:val="19"/>
                <w:szCs w:val="19"/>
              </w:rPr>
              <w:t xml:space="preserve">el DGP generado con semilla fija, el trío </w:t>
            </w:r>
            <w:r>
              <w:rPr>
                <w:rFonts w:ascii="Cambria" w:cs="Cambria" w:eastAsia="Cambria" w:hAnsi="Cambria"/>
                <w:b/>
                <w:bCs/>
                <w:color w:val="2D2D2D"/>
                <w:sz w:val="19"/>
                <w:szCs w:val="19"/>
              </w:rPr>
              <w:t xml:space="preserve">naive +23,6 / ajustado +7,95 / verdadero 8,0 (target #5)</w:t>
            </w:r>
            <w:r>
              <w:rPr>
                <w:rFonts w:ascii="Cambria" w:cs="Cambria" w:eastAsia="Cambria" w:hAnsi="Cambria"/>
                <w:color w:val="2D2D2D"/>
                <w:sz w:val="19"/>
                <w:szCs w:val="19"/>
              </w:rPr>
              <w:t xml:space="preserve"> y las dos </w:t>
            </w:r>
            <w:r>
              <w:rPr>
                <w:rFonts w:ascii="Cambria" w:cs="Cambria" w:eastAsia="Cambria" w:hAnsi="Cambria"/>
                <w:b/>
                <w:bCs/>
                <w:color w:val="2D2D2D"/>
                <w:sz w:val="19"/>
                <w:szCs w:val="19"/>
              </w:rPr>
              <w:t xml:space="preserve">refutaciones</w:t>
            </w:r>
            <w:r>
              <w:rPr>
                <w:rFonts w:ascii="Cambria" w:cs="Cambria" w:eastAsia="Cambria" w:hAnsi="Cambria"/>
                <w:color w:val="2D2D2D"/>
                <w:sz w:val="19"/>
                <w:szCs w:val="19"/>
              </w:rPr>
              <w:t xml:space="preserve"> superadas (placebo ≈ 0 en A4, random-common-cause ≈ inalterado en A5) — el borrador del entregable evaluable.</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single" w:color="E4002B" w:sz="14"/>
              <w:left w:val="none" w:color="FFFFFF" w:sz="0"/>
              <w:bottom w:val="single" w:color="D9D9D9" w:sz="4"/>
              <w:right w:val="none" w:color="FFFFFF" w:sz="0"/>
            </w:tcBorders>
            <w:shd w:fill="F2F3F5" w:color="auto" w:val="clear"/>
            <w:tcMar>
              <w:top w:type="dxa" w:w="110"/>
              <w:left w:type="dxa" w:w="150"/>
              <w:bottom w:type="dxa" w:w="110"/>
              <w:right w:type="dxa" w:w="150"/>
            </w:tcMar>
          </w:tcPr>
          <w:p>
            <w:pPr>
              <w:keepNext/>
              <w:spacing w:after="80"/>
            </w:pPr>
            <w:r>
              <w:rPr>
                <w:rFonts w:ascii="Calibri" w:cs="Calibri" w:eastAsia="Calibri" w:hAnsi="Calibri"/>
                <w:b/>
                <w:bCs/>
                <w:color w:val="7A1526"/>
                <w:sz w:val="15"/>
                <w:szCs w:val="15"/>
              </w:rPr>
              <w:t xml:space="preserve">NOTA TÉCNICA 2.1   </w:t>
            </w:r>
            <w:r>
              <w:rPr>
                <w:rFonts w:ascii="Calibri" w:cs="Calibri" w:eastAsia="Calibri" w:hAnsi="Calibri"/>
                <w:b/>
                <w:bCs/>
                <w:color w:val="7A1526"/>
                <w:sz w:val="19"/>
                <w:szCs w:val="19"/>
              </w:rPr>
              <w:t xml:space="preserve">El DGP de la campaña de retención</w:t>
            </w:r>
          </w:p>
          <w:p>
            <w:pPr>
              <w:spacing w:after="70" w:line="265"/>
            </w:pPr>
            <w:r>
              <w:rPr>
                <w:rFonts w:ascii="Cambria" w:cs="Cambria" w:eastAsia="Cambria" w:hAnsi="Cambria"/>
                <w:color w:val="3A3A3A"/>
                <w:sz w:val="18"/>
                <w:szCs w:val="18"/>
              </w:rPr>
              <w:t xml:space="preserve">El DGP se genera con la semilla fija del curso (20260719, N=5000): </w:t>
            </w:r>
            <w:r>
              <w:rPr>
                <w:rFonts w:ascii="Consolas" w:cs="Consolas" w:eastAsia="Consolas" w:hAnsi="Consolas"/>
                <w:color w:val="7A1526"/>
                <w:sz w:val="16"/>
                <w:szCs w:val="16"/>
              </w:rPr>
              <w:t xml:space="preserve">engagement</w:t>
            </w:r>
            <w:r>
              <w:rPr>
                <w:rFonts w:ascii="Cambria" w:cs="Cambria" w:eastAsia="Cambria" w:hAnsi="Cambria"/>
                <w:color w:val="3A3A3A"/>
                <w:sz w:val="18"/>
                <w:szCs w:val="18"/>
              </w:rPr>
              <w:t xml:space="preserve"> (confusor, actividad previa del cliente, en z-score) y </w:t>
            </w:r>
            <w:r>
              <w:rPr>
                <w:rFonts w:ascii="Consolas" w:cs="Consolas" w:eastAsia="Consolas" w:hAnsi="Consolas"/>
                <w:color w:val="7A1526"/>
                <w:sz w:val="16"/>
                <w:szCs w:val="16"/>
              </w:rPr>
              <w:t xml:space="preserve">tenure</w:t>
            </w:r>
            <w:r>
              <w:rPr>
                <w:rFonts w:ascii="Cambria" w:cs="Cambria" w:eastAsia="Cambria" w:hAnsi="Cambria"/>
                <w:color w:val="3A3A3A"/>
                <w:sz w:val="18"/>
                <w:szCs w:val="18"/>
              </w:rPr>
              <w:t xml:space="preserve"> (antigüedad en meses, con media 24 y desviación 6) se simulan de forma independiente; la probabilidad de recibir la campaña sigue una logística de </w:t>
            </w:r>
            <w:r>
              <w:rPr>
                <w:rFonts w:ascii="Consolas" w:cs="Consolas" w:eastAsia="Consolas" w:hAnsi="Consolas"/>
                <w:color w:val="7A1526"/>
                <w:sz w:val="16"/>
                <w:szCs w:val="16"/>
              </w:rPr>
              <w:t xml:space="preserve">engagement</w:t>
            </w:r>
            <w:r>
              <w:rPr>
                <w:rFonts w:ascii="Cambria" w:cs="Cambria" w:eastAsia="Cambria" w:hAnsi="Cambria"/>
                <w:color w:val="3A3A3A"/>
                <w:sz w:val="18"/>
                <w:szCs w:val="18"/>
              </w:rPr>
              <w:t xml:space="preserve">, </w:t>
            </w:r>
            <w:r>
              <w:rPr>
                <w:rFonts w:ascii="Consolas" w:cs="Consolas" w:eastAsia="Consolas" w:hAnsi="Consolas"/>
                <w:color w:val="7A1526"/>
                <w:sz w:val="16"/>
                <w:szCs w:val="16"/>
              </w:rPr>
              <w:t xml:space="preserve">p_treat</w:t>
            </w:r>
            <w:r>
              <w:rPr>
                <w:rFonts w:ascii="Cambria" w:cs="Cambria" w:eastAsia="Cambria" w:hAnsi="Cambria"/>
                <w:color w:val="3A3A3A"/>
                <w:sz w:val="18"/>
                <w:szCs w:val="18"/>
              </w:rPr>
              <w:t xml:space="preserve"> = 1,0 / (1,0 + exp(−(0,9 · </w:t>
            </w:r>
            <w:r>
              <w:rPr>
                <w:rFonts w:ascii="Consolas" w:cs="Consolas" w:eastAsia="Consolas" w:hAnsi="Consolas"/>
                <w:color w:val="7A1526"/>
                <w:sz w:val="16"/>
                <w:szCs w:val="16"/>
              </w:rPr>
              <w:t xml:space="preserve">engagement</w:t>
            </w:r>
            <w:r>
              <w:rPr>
                <w:rFonts w:ascii="Cambria" w:cs="Cambria" w:eastAsia="Cambria" w:hAnsi="Cambria"/>
                <w:color w:val="3A3A3A"/>
                <w:sz w:val="18"/>
                <w:szCs w:val="18"/>
              </w:rPr>
              <w:t xml:space="preserve"> − 0,3))), de modo que los clientes de mayor </w:t>
            </w:r>
            <w:r>
              <w:rPr>
                <w:rFonts w:ascii="Consolas" w:cs="Consolas" w:eastAsia="Consolas" w:hAnsi="Consolas"/>
                <w:color w:val="7A1526"/>
                <w:sz w:val="16"/>
                <w:szCs w:val="16"/>
              </w:rPr>
              <w:t xml:space="preserve">engagement</w:t>
            </w:r>
            <w:r>
              <w:rPr>
                <w:rFonts w:ascii="Cambria" w:cs="Cambria" w:eastAsia="Cambria" w:hAnsi="Cambria"/>
                <w:color w:val="3A3A3A"/>
                <w:sz w:val="18"/>
                <w:szCs w:val="18"/>
              </w:rPr>
              <w:t xml:space="preserve"> son también los más contactados. El efecto verdadero es una constante de diseño, </w:t>
            </w:r>
            <w:r>
              <w:rPr>
                <w:rFonts w:ascii="Consolas" w:cs="Consolas" w:eastAsia="Consolas" w:hAnsi="Consolas"/>
                <w:color w:val="7A1526"/>
                <w:sz w:val="16"/>
                <w:szCs w:val="16"/>
              </w:rPr>
              <w:t xml:space="preserve">TRUE_ATE</w:t>
            </w:r>
            <w:r>
              <w:rPr>
                <w:rFonts w:ascii="Cambria" w:cs="Cambria" w:eastAsia="Cambria" w:hAnsi="Cambria"/>
                <w:color w:val="3A3A3A"/>
                <w:sz w:val="18"/>
                <w:szCs w:val="18"/>
              </w:rPr>
              <w:t xml:space="preserve"> = 8,0, y el valor futuro se genera como una función lineal de </w:t>
            </w:r>
            <w:r>
              <w:rPr>
                <w:rFonts w:ascii="Consolas" w:cs="Consolas" w:eastAsia="Consolas" w:hAnsi="Consolas"/>
                <w:color w:val="7A1526"/>
                <w:sz w:val="16"/>
                <w:szCs w:val="16"/>
              </w:rPr>
              <w:t xml:space="preserve">campaign</w:t>
            </w:r>
            <w:r>
              <w:rPr>
                <w:rFonts w:ascii="Cambria" w:cs="Cambria" w:eastAsia="Cambria" w:hAnsi="Cambria"/>
                <w:color w:val="3A3A3A"/>
                <w:sz w:val="18"/>
                <w:szCs w:val="18"/>
              </w:rPr>
              <w:t xml:space="preserve">, </w:t>
            </w:r>
            <w:r>
              <w:rPr>
                <w:rFonts w:ascii="Consolas" w:cs="Consolas" w:eastAsia="Consolas" w:hAnsi="Consolas"/>
                <w:color w:val="7A1526"/>
                <w:sz w:val="16"/>
                <w:szCs w:val="16"/>
              </w:rPr>
              <w:t xml:space="preserve">engagement</w:t>
            </w:r>
            <w:r>
              <w:rPr>
                <w:rFonts w:ascii="Cambria" w:cs="Cambria" w:eastAsia="Cambria" w:hAnsi="Cambria"/>
                <w:color w:val="3A3A3A"/>
                <w:sz w:val="18"/>
                <w:szCs w:val="18"/>
              </w:rPr>
              <w:t xml:space="preserve"> y </w:t>
            </w:r>
            <w:r>
              <w:rPr>
                <w:rFonts w:ascii="Consolas" w:cs="Consolas" w:eastAsia="Consolas" w:hAnsi="Consolas"/>
                <w:color w:val="7A1526"/>
                <w:sz w:val="16"/>
                <w:szCs w:val="16"/>
              </w:rPr>
              <w:t xml:space="preserve">tenure</w:t>
            </w:r>
            <w:r>
              <w:rPr>
                <w:rFonts w:ascii="Cambria" w:cs="Cambria" w:eastAsia="Cambria" w:hAnsi="Cambria"/>
                <w:color w:val="3A3A3A"/>
                <w:sz w:val="18"/>
                <w:szCs w:val="18"/>
              </w:rPr>
              <w:t xml:space="preserve"> más ruido: </w:t>
            </w:r>
            <w:r>
              <w:rPr>
                <w:rFonts w:ascii="Consolas" w:cs="Consolas" w:eastAsia="Consolas" w:hAnsi="Consolas"/>
                <w:color w:val="7A1526"/>
                <w:sz w:val="16"/>
                <w:szCs w:val="16"/>
              </w:rPr>
              <w:t xml:space="preserve">value</w:t>
            </w:r>
            <w:r>
              <w:rPr>
                <w:rFonts w:ascii="Cambria" w:cs="Cambria" w:eastAsia="Cambria" w:hAnsi="Cambria"/>
                <w:color w:val="3A3A3A"/>
                <w:sz w:val="18"/>
                <w:szCs w:val="18"/>
              </w:rPr>
              <w:t xml:space="preserve"> = 50,0 + 8,0 · </w:t>
            </w:r>
            <w:r>
              <w:rPr>
                <w:rFonts w:ascii="Consolas" w:cs="Consolas" w:eastAsia="Consolas" w:hAnsi="Consolas"/>
                <w:color w:val="7A1526"/>
                <w:sz w:val="16"/>
                <w:szCs w:val="16"/>
              </w:rPr>
              <w:t xml:space="preserve">campaign</w:t>
            </w:r>
            <w:r>
              <w:rPr>
                <w:rFonts w:ascii="Cambria" w:cs="Cambria" w:eastAsia="Cambria" w:hAnsi="Cambria"/>
                <w:color w:val="3A3A3A"/>
                <w:sz w:val="18"/>
                <w:szCs w:val="18"/>
              </w:rPr>
              <w:t xml:space="preserve"> + 20,0 · </w:t>
            </w:r>
            <w:r>
              <w:rPr>
                <w:rFonts w:ascii="Consolas" w:cs="Consolas" w:eastAsia="Consolas" w:hAnsi="Consolas"/>
                <w:color w:val="7A1526"/>
                <w:sz w:val="16"/>
                <w:szCs w:val="16"/>
              </w:rPr>
              <w:t xml:space="preserve">engagement</w:t>
            </w:r>
            <w:r>
              <w:rPr>
                <w:rFonts w:ascii="Cambria" w:cs="Cambria" w:eastAsia="Cambria" w:hAnsi="Cambria"/>
                <w:color w:val="3A3A3A"/>
                <w:sz w:val="18"/>
                <w:szCs w:val="18"/>
              </w:rPr>
              <w:t xml:space="preserve"> + 3,0 · </w:t>
            </w:r>
            <w:r>
              <w:rPr>
                <w:rFonts w:ascii="Consolas" w:cs="Consolas" w:eastAsia="Consolas" w:hAnsi="Consolas"/>
                <w:color w:val="7A1526"/>
                <w:sz w:val="16"/>
                <w:szCs w:val="16"/>
              </w:rPr>
              <w:t xml:space="preserve">tenure</w:t>
            </w:r>
            <w:r>
              <w:rPr>
                <w:rFonts w:ascii="Cambria" w:cs="Cambria" w:eastAsia="Cambria" w:hAnsi="Cambria"/>
                <w:color w:val="3A3A3A"/>
                <w:sz w:val="18"/>
                <w:szCs w:val="18"/>
              </w:rPr>
              <w:t xml:space="preserve"> + ruido — </w:t>
            </w:r>
            <w:r>
              <w:rPr>
                <w:rFonts w:ascii="Consolas" w:cs="Consolas" w:eastAsia="Consolas" w:hAnsi="Consolas"/>
                <w:color w:val="7A1526"/>
                <w:sz w:val="16"/>
                <w:szCs w:val="16"/>
              </w:rPr>
              <w:t xml:space="preserve">engagement</w:t>
            </w:r>
            <w:r>
              <w:rPr>
                <w:rFonts w:ascii="Cambria" w:cs="Cambria" w:eastAsia="Cambria" w:hAnsi="Cambria"/>
                <w:color w:val="3A3A3A"/>
                <w:sz w:val="18"/>
                <w:szCs w:val="18"/>
              </w:rPr>
              <w:t xml:space="preserve"> entra tanto en la asignación (</w:t>
            </w:r>
            <w:r>
              <w:rPr>
                <w:rFonts w:ascii="Consolas" w:cs="Consolas" w:eastAsia="Consolas" w:hAnsi="Consolas"/>
                <w:color w:val="7A1526"/>
                <w:sz w:val="16"/>
                <w:szCs w:val="16"/>
              </w:rPr>
              <w:t xml:space="preserve">campaign</w:t>
            </w:r>
            <w:r>
              <w:rPr>
                <w:rFonts w:ascii="Cambria" w:cs="Cambria" w:eastAsia="Cambria" w:hAnsi="Cambria"/>
                <w:color w:val="3A3A3A"/>
                <w:sz w:val="18"/>
                <w:szCs w:val="18"/>
              </w:rPr>
              <w:t xml:space="preserve">) como en el resultado (</w:t>
            </w:r>
            <w:r>
              <w:rPr>
                <w:rFonts w:ascii="Consolas" w:cs="Consolas" w:eastAsia="Consolas" w:hAnsi="Consolas"/>
                <w:color w:val="7A1526"/>
                <w:sz w:val="16"/>
                <w:szCs w:val="16"/>
              </w:rPr>
              <w:t xml:space="preserve">value</w:t>
            </w:r>
            <w:r>
              <w:rPr>
                <w:rFonts w:ascii="Cambria" w:cs="Cambria" w:eastAsia="Cambria" w:hAnsi="Cambria"/>
                <w:color w:val="3A3A3A"/>
                <w:sz w:val="18"/>
                <w:szCs w:val="18"/>
              </w:rPr>
              <w:t xml:space="preserve">), por lo que es exactamente el confusor que el DAG del paso 1 identificó.</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single" w:color="E4002B" w:sz="14"/>
              <w:left w:val="none" w:color="FFFFFF" w:sz="0"/>
              <w:bottom w:val="single" w:color="D9D9D9" w:sz="4"/>
              <w:right w:val="none" w:color="FFFFFF" w:sz="0"/>
            </w:tcBorders>
            <w:shd w:fill="F2F3F5" w:color="auto" w:val="clear"/>
            <w:tcMar>
              <w:top w:type="dxa" w:w="110"/>
              <w:left w:type="dxa" w:w="150"/>
              <w:bottom w:type="dxa" w:w="110"/>
              <w:right w:type="dxa" w:w="150"/>
            </w:tcMar>
          </w:tcPr>
          <w:p>
            <w:pPr>
              <w:keepNext/>
              <w:spacing w:after="80"/>
            </w:pPr>
            <w:r>
              <w:rPr>
                <w:rFonts w:ascii="Calibri" w:cs="Calibri" w:eastAsia="Calibri" w:hAnsi="Calibri"/>
                <w:b/>
                <w:bCs/>
                <w:color w:val="7A1526"/>
                <w:sz w:val="15"/>
                <w:szCs w:val="15"/>
              </w:rPr>
              <w:t xml:space="preserve">NOTA TÉCNICA 2.2   </w:t>
            </w:r>
            <w:r>
              <w:rPr>
                <w:rFonts w:ascii="Calibri" w:cs="Calibri" w:eastAsia="Calibri" w:hAnsi="Calibri"/>
                <w:b/>
                <w:bCs/>
                <w:color w:val="7A1526"/>
                <w:sz w:val="19"/>
                <w:szCs w:val="19"/>
              </w:rPr>
              <w:t xml:space="preserve">Refutar no es probar: la idea que hay que llevarse</w:t>
            </w:r>
          </w:p>
          <w:p>
            <w:pPr>
              <w:spacing w:after="70" w:line="265"/>
            </w:pPr>
            <w:r>
              <w:rPr>
                <w:rFonts w:ascii="Cambria" w:cs="Cambria" w:eastAsia="Cambria" w:hAnsi="Cambria"/>
                <w:color w:val="3A3A3A"/>
                <w:sz w:val="18"/>
                <w:szCs w:val="18"/>
              </w:rPr>
              <w:t xml:space="preserve">Pasar placebo y random-common-cause </w:t>
            </w:r>
            <w:r>
              <w:rPr>
                <w:rFonts w:ascii="Cambria" w:cs="Cambria" w:eastAsia="Cambria" w:hAnsi="Cambria"/>
                <w:b/>
                <w:bCs/>
                <w:color w:val="3A3A3A"/>
                <w:sz w:val="18"/>
                <w:szCs w:val="18"/>
              </w:rPr>
              <w:t xml:space="preserve">sube la confianza</w:t>
            </w:r>
            <w:r>
              <w:rPr>
                <w:rFonts w:ascii="Cambria" w:cs="Cambria" w:eastAsia="Cambria" w:hAnsi="Cambria"/>
                <w:color w:val="3A3A3A"/>
                <w:sz w:val="18"/>
                <w:szCs w:val="18"/>
              </w:rPr>
              <w:t xml:space="preserve">, no demuestra causalidad — no existe tal prueba con datos observacionales. Al revés: un análisis que </w:t>
            </w:r>
            <w:r>
              <w:rPr>
                <w:rFonts w:ascii="Cambria" w:cs="Cambria" w:eastAsia="Cambria" w:hAnsi="Cambria"/>
                <w:b/>
                <w:bCs/>
                <w:color w:val="3A3A3A"/>
                <w:sz w:val="18"/>
                <w:szCs w:val="18"/>
              </w:rPr>
              <w:t xml:space="preserve">falla cualquier</w:t>
            </w:r>
            <w:r>
              <w:rPr>
                <w:rFonts w:ascii="Cambria" w:cs="Cambria" w:eastAsia="Cambria" w:hAnsi="Cambria"/>
                <w:color w:val="3A3A3A"/>
                <w:sz w:val="18"/>
                <w:szCs w:val="18"/>
              </w:rPr>
              <w:t xml:space="preserve"> refutación es incorrecto y hay que arreglarlo (revisar el DAG, las covariables, la positividad). Y «placebo con nuevo efecto ≈ 0» es la señal </w:t>
            </w:r>
            <w:r>
              <w:rPr>
                <w:rFonts w:ascii="Cambria" w:cs="Cambria" w:eastAsia="Cambria" w:hAnsi="Cambria"/>
                <w:b/>
                <w:bCs/>
                <w:color w:val="3A3A3A"/>
                <w:sz w:val="18"/>
                <w:szCs w:val="18"/>
              </w:rPr>
              <w:t xml:space="preserve">buena</w:t>
            </w:r>
            <w:r>
              <w:rPr>
                <w:rFonts w:ascii="Cambria" w:cs="Cambria" w:eastAsia="Cambria" w:hAnsi="Cambria"/>
                <w:color w:val="3A3A3A"/>
                <w:sz w:val="18"/>
                <w:szCs w:val="18"/>
              </w:rPr>
              <w:t xml:space="preserve"> (el efecto real desaparece cuando el tratamiento es falso), no «no hay efecto».</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single" w:color="E4002B" w:sz="14"/>
              <w:left w:val="none" w:color="FFFFFF" w:sz="0"/>
              <w:bottom w:val="single" w:color="D9D9D9" w:sz="4"/>
              <w:right w:val="none" w:color="FFFFFF" w:sz="0"/>
            </w:tcBorders>
            <w:shd w:fill="F2F3F5" w:color="auto" w:val="clear"/>
            <w:tcMar>
              <w:top w:type="dxa" w:w="110"/>
              <w:left w:type="dxa" w:w="150"/>
              <w:bottom w:type="dxa" w:w="110"/>
              <w:right w:type="dxa" w:w="150"/>
            </w:tcMar>
          </w:tcPr>
          <w:p>
            <w:pPr>
              <w:keepNext/>
              <w:spacing w:after="80"/>
            </w:pPr>
            <w:r>
              <w:rPr>
                <w:rFonts w:ascii="Calibri" w:cs="Calibri" w:eastAsia="Calibri" w:hAnsi="Calibri"/>
                <w:b/>
                <w:bCs/>
                <w:color w:val="7A1526"/>
                <w:sz w:val="15"/>
                <w:szCs w:val="15"/>
              </w:rPr>
              <w:t xml:space="preserve">NOTA TÉCNICA 2.3   </w:t>
            </w:r>
            <w:r>
              <w:rPr>
                <w:rFonts w:ascii="Calibri" w:cs="Calibri" w:eastAsia="Calibri" w:hAnsi="Calibri"/>
                <w:b/>
                <w:bCs/>
                <w:color w:val="7A1526"/>
                <w:sz w:val="19"/>
                <w:szCs w:val="19"/>
              </w:rPr>
              <w:t xml:space="preserve">Fallback declarado y convención Excel — Paso 5</w:t>
            </w:r>
          </w:p>
          <w:p>
            <w:pPr>
              <w:spacing w:after="70" w:line="265"/>
            </w:pPr>
            <w:r>
              <w:rPr>
                <w:rFonts w:ascii="Cambria" w:cs="Cambria" w:eastAsia="Cambria" w:hAnsi="Cambria"/>
                <w:b/>
                <w:bCs/>
                <w:color w:val="3A3A3A"/>
                <w:sz w:val="18"/>
                <w:szCs w:val="18"/>
              </w:rPr>
              <w:t xml:space="preserve">Fallback declarado</w:t>
            </w:r>
            <w:r>
              <w:rPr>
                <w:rFonts w:ascii="Cambria" w:cs="Cambria" w:eastAsia="Cambria" w:hAnsi="Cambria"/>
                <w:color w:val="3A3A3A"/>
                <w:sz w:val="18"/>
                <w:szCs w:val="18"/>
              </w:rPr>
              <w:t xml:space="preserve">: DoWhy 0.14 y EconML 0.16.0 están instalados y funcionan en el venv 3.13. Si DoWhy fallara, el bloque de negocio se resuelve con statsmodels (regresión de puerta trasera) más la refutación placebo implementada sin DoWhy (permutar el tratamiento); el target #5 </w:t>
            </w:r>
            <w:r>
              <w:rPr>
                <w:rFonts w:ascii="Cambria" w:cs="Cambria" w:eastAsia="Cambria" w:hAnsi="Cambria"/>
                <w:b/>
                <w:bCs/>
                <w:color w:val="3A3A3A"/>
                <w:sz w:val="18"/>
                <w:szCs w:val="18"/>
              </w:rPr>
              <w:t xml:space="preserve">no</w:t>
            </w:r>
            <w:r>
              <w:rPr>
                <w:rFonts w:ascii="Cambria" w:cs="Cambria" w:eastAsia="Cambria" w:hAnsi="Cambria"/>
                <w:color w:val="3A3A3A"/>
                <w:sz w:val="18"/>
                <w:szCs w:val="18"/>
              </w:rPr>
              <w:t xml:space="preserve"> se bloquea.</w:t>
            </w:r>
          </w:p>
          <w:p>
            <w:pPr>
              <w:spacing w:after="70" w:line="265"/>
            </w:pPr>
            <w:r>
              <w:rPr>
                <w:rFonts w:ascii="Cambria" w:cs="Cambria" w:eastAsia="Cambria" w:hAnsi="Cambria"/>
                <w:b/>
                <w:bCs/>
                <w:color w:val="3A3A3A"/>
                <w:sz w:val="18"/>
                <w:szCs w:val="18"/>
              </w:rPr>
              <w:t xml:space="preserve">Convención Excel del curso</w:t>
            </w:r>
            <w:r>
              <w:rPr>
                <w:rFonts w:ascii="Cambria" w:cs="Cambria" w:eastAsia="Cambria" w:hAnsi="Cambria"/>
                <w:color w:val="3A3A3A"/>
                <w:sz w:val="18"/>
                <w:szCs w:val="18"/>
              </w:rPr>
              <w:t xml:space="preserve">: el naive (</w:t>
            </w:r>
            <w:r>
              <w:rPr>
                <w:rFonts w:ascii="Consolas" w:cs="Consolas" w:eastAsia="Consolas" w:hAnsi="Consolas"/>
                <w:color w:val="7A1526"/>
                <w:sz w:val="16"/>
                <w:szCs w:val="16"/>
              </w:rPr>
              <w:t xml:space="preserve">causal_did</w:t>
            </w:r>
            <w:r>
              <w:rPr>
                <w:rFonts w:ascii="Cambria" w:cs="Cambria" w:eastAsia="Cambria" w:hAnsi="Cambria"/>
                <w:color w:val="3A3A3A"/>
                <w:sz w:val="18"/>
                <w:szCs w:val="18"/>
              </w:rPr>
              <w:t xml:space="preserve">!B6), el ajustado (B7), el verdadero (B8) y las refutaciones (A4 placebo, A5 random-common-cause) se exportan al Excel; la gráfica que compara naive vs. ajustado vs. verdadero se genera </w:t>
            </w:r>
            <w:r>
              <w:rPr>
                <w:rFonts w:ascii="Cambria" w:cs="Cambria" w:eastAsia="Cambria" w:hAnsi="Cambria"/>
                <w:b/>
                <w:bCs/>
                <w:color w:val="3A3A3A"/>
                <w:sz w:val="18"/>
                <w:szCs w:val="18"/>
              </w:rPr>
              <w:t xml:space="preserve">al leer ese Excel</w:t>
            </w:r>
            <w:r>
              <w:rPr>
                <w:rFonts w:ascii="Cambria" w:cs="Cambria" w:eastAsia="Cambria" w:hAnsi="Cambria"/>
                <w:color w:val="3A3A3A"/>
                <w:sz w:val="18"/>
                <w:szCs w:val="18"/>
              </w:rPr>
              <w:t xml:space="preserve">. El EDA del dataset de negocio (distribución de </w:t>
            </w:r>
            <w:r>
              <w:rPr>
                <w:rFonts w:ascii="Consolas" w:cs="Consolas" w:eastAsia="Consolas" w:hAnsi="Consolas"/>
                <w:color w:val="7A1526"/>
                <w:sz w:val="16"/>
                <w:szCs w:val="16"/>
              </w:rPr>
              <w:t xml:space="preserve">value</w:t>
            </w:r>
            <w:r>
              <w:rPr>
                <w:rFonts w:ascii="Cambria" w:cs="Cambria" w:eastAsia="Cambria" w:hAnsi="Cambria"/>
                <w:color w:val="3A3A3A"/>
                <w:sz w:val="18"/>
                <w:szCs w:val="18"/>
              </w:rPr>
              <w:t xml:space="preserve">, </w:t>
            </w:r>
            <w:r>
              <w:rPr>
                <w:rFonts w:ascii="Consolas" w:cs="Consolas" w:eastAsia="Consolas" w:hAnsi="Consolas"/>
                <w:color w:val="7A1526"/>
                <w:sz w:val="16"/>
                <w:szCs w:val="16"/>
              </w:rPr>
              <w:t xml:space="preserve">engagement</w:t>
            </w:r>
            <w:r>
              <w:rPr>
                <w:rFonts w:ascii="Cambria" w:cs="Cambria" w:eastAsia="Cambria" w:hAnsi="Cambria"/>
                <w:color w:val="3A3A3A"/>
                <w:sz w:val="18"/>
                <w:szCs w:val="18"/>
              </w:rPr>
              <w:t xml:space="preserve"> por grupo) se traza directamente de los datos.</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rPr>
          <w:cantSplit/>
        </w:trPr>
        <w:tc>
          <w:tcPr>
            <w:tcW w:type="dxa" w:w="10080"/>
            <w:tcBorders>
              <w:top w:val="none" w:color="FFFFFF" w:sz="0"/>
              <w:left w:val="single" w:color="E4002B" w:sz="18"/>
              <w:bottom w:val="none" w:color="FFFFFF" w:sz="0"/>
              <w:right w:val="none" w:color="FFFFFF" w:sz="0"/>
            </w:tcBorders>
            <w:shd w:fill="FBEFF1" w:color="auto" w:val="clear"/>
            <w:tcMar>
              <w:top w:type="dxa" w:w="110"/>
              <w:left w:type="dxa" w:w="150"/>
              <w:bottom w:type="dxa" w:w="110"/>
              <w:right w:type="dxa" w:w="150"/>
            </w:tcMar>
          </w:tcPr>
          <w:p>
            <w:pPr>
              <w:spacing w:after="90"/>
            </w:pPr>
            <w:r>
              <w:rPr>
                <w:rFonts w:ascii="Calibri" w:cs="Calibri" w:eastAsia="Calibri" w:hAnsi="Calibri"/>
                <w:b/>
                <w:bCs/>
                <w:color w:val="7A1526"/>
                <w:spacing w:val="20"/>
                <w:sz w:val="16"/>
                <w:szCs w:val="16"/>
              </w:rPr>
              <w:t xml:space="preserve">AUTOEVALUACIÓN BLOQUE 2</w:t>
            </w:r>
          </w:p>
          <w:p>
            <w:pPr>
              <w:spacing w:after="60"/>
            </w:pPr>
            <w:r>
              <w:rPr>
                <w:rFonts w:ascii="Calibri" w:cs="Calibri" w:eastAsia="Calibri" w:hAnsi="Calibri"/>
                <w:color w:val="7A1526"/>
                <w:sz w:val="20"/>
                <w:szCs w:val="20"/>
              </w:rPr>
              <w:t xml:space="preserve">☐   </w:t>
            </w:r>
            <w:r>
              <w:rPr>
                <w:rFonts w:ascii="Cambria" w:cs="Cambria" w:eastAsia="Cambria" w:hAnsi="Cambria"/>
                <w:color w:val="2D2D2D"/>
                <w:sz w:val="19"/>
                <w:szCs w:val="19"/>
              </w:rPr>
              <w:t xml:space="preserve">¿Se generó el DGP con la semilla fija (20260719, N=5000, ATE=8,0) y se identificó a </w:t>
            </w:r>
            <w:r>
              <w:rPr>
                <w:rFonts w:ascii="Consolas" w:cs="Consolas" w:eastAsia="Consolas" w:hAnsi="Consolas"/>
                <w:color w:val="7A1526"/>
                <w:sz w:val="17"/>
                <w:szCs w:val="17"/>
              </w:rPr>
              <w:t xml:space="preserve">engagement</w:t>
            </w:r>
            <w:r>
              <w:rPr>
                <w:rFonts w:ascii="Cambria" w:cs="Cambria" w:eastAsia="Cambria" w:hAnsi="Cambria"/>
                <w:color w:val="2D2D2D"/>
                <w:sz w:val="19"/>
                <w:szCs w:val="19"/>
              </w:rPr>
              <w:t xml:space="preserve"> como el confusor?</w:t>
            </w:r>
          </w:p>
          <w:p>
            <w:pPr>
              <w:spacing w:after="60"/>
            </w:pPr>
            <w:r>
              <w:rPr>
                <w:rFonts w:ascii="Calibri" w:cs="Calibri" w:eastAsia="Calibri" w:hAnsi="Calibri"/>
                <w:color w:val="7A1526"/>
                <w:sz w:val="20"/>
                <w:szCs w:val="20"/>
              </w:rPr>
              <w:t xml:space="preserve">☐   </w:t>
            </w:r>
            <w:r>
              <w:rPr>
                <w:rFonts w:ascii="Cambria" w:cs="Cambria" w:eastAsia="Cambria" w:hAnsi="Cambria"/>
                <w:color w:val="2D2D2D"/>
                <w:sz w:val="19"/>
                <w:szCs w:val="19"/>
              </w:rPr>
              <w:t xml:space="preserve">¿Se obtuvo el naive +23,6, y se explicó por qué sobreestima el efecto verdadero (8,0)?</w:t>
            </w:r>
          </w:p>
          <w:p>
            <w:pPr>
              <w:spacing w:after="60"/>
            </w:pPr>
            <w:r>
              <w:rPr>
                <w:rFonts w:ascii="Calibri" w:cs="Calibri" w:eastAsia="Calibri" w:hAnsi="Calibri"/>
                <w:color w:val="7A1526"/>
                <w:sz w:val="20"/>
                <w:szCs w:val="20"/>
              </w:rPr>
              <w:t xml:space="preserve">☐   </w:t>
            </w:r>
            <w:r>
              <w:rPr>
                <w:rFonts w:ascii="Cambria" w:cs="Cambria" w:eastAsia="Cambria" w:hAnsi="Cambria"/>
                <w:color w:val="2D2D2D"/>
                <w:sz w:val="19"/>
                <w:szCs w:val="19"/>
              </w:rPr>
              <w:t xml:space="preserve">¿Se ajustó con DoWhy el conjunto de puerta trasera {</w:t>
            </w:r>
            <w:r>
              <w:rPr>
                <w:rFonts w:ascii="Consolas" w:cs="Consolas" w:eastAsia="Consolas" w:hAnsi="Consolas"/>
                <w:color w:val="7A1526"/>
                <w:sz w:val="17"/>
                <w:szCs w:val="17"/>
              </w:rPr>
              <w:t xml:space="preserve">engagement</w:t>
            </w:r>
            <w:r>
              <w:rPr>
                <w:rFonts w:ascii="Cambria" w:cs="Cambria" w:eastAsia="Cambria" w:hAnsi="Cambria"/>
                <w:color w:val="2D2D2D"/>
                <w:sz w:val="19"/>
                <w:szCs w:val="19"/>
              </w:rPr>
              <w:t xml:space="preserve">} y se obtuvo el ajustado +7,95?</w:t>
            </w:r>
          </w:p>
          <w:p>
            <w:pPr>
              <w:spacing w:after="60"/>
            </w:pPr>
            <w:r>
              <w:rPr>
                <w:rFonts w:ascii="Calibri" w:cs="Calibri" w:eastAsia="Calibri" w:hAnsi="Calibri"/>
                <w:color w:val="7A1526"/>
                <w:sz w:val="20"/>
                <w:szCs w:val="20"/>
              </w:rPr>
              <w:t xml:space="preserve">☐   </w:t>
            </w:r>
            <w:r>
              <w:rPr>
                <w:rFonts w:ascii="Cambria" w:cs="Cambria" w:eastAsia="Cambria" w:hAnsi="Cambria"/>
                <w:color w:val="2D2D2D"/>
                <w:sz w:val="19"/>
                <w:szCs w:val="19"/>
              </w:rPr>
              <w:t xml:space="preserve">¿Se corrieron ambas refutaciones (placebo ≈ 0, random-common-cause inalterado) y se comunicó que refutar no es probar?</w:t>
            </w:r>
          </w:p>
          <w:p>
            <w:pPr>
              <w:spacing w:after="60"/>
            </w:pPr>
            <w:r>
              <w:rPr>
                <w:rFonts w:ascii="Calibri" w:cs="Calibri" w:eastAsia="Calibri" w:hAnsi="Calibri"/>
                <w:color w:val="7A1526"/>
                <w:sz w:val="20"/>
                <w:szCs w:val="20"/>
              </w:rPr>
              <w:t xml:space="preserve">☐   </w:t>
            </w:r>
            <w:r>
              <w:rPr>
                <w:rFonts w:ascii="Cambria" w:cs="Cambria" w:eastAsia="Cambria" w:hAnsi="Cambria"/>
                <w:color w:val="2D2D2D"/>
                <w:sz w:val="19"/>
                <w:szCs w:val="19"/>
              </w:rPr>
              <w:t xml:space="preserve">¿La recomendación combina magnitud, incertidumbre (IC) y credibilidad causal, y no solo el punto estimado?</w:t>
            </w:r>
          </w:p>
        </w:tc>
      </w:tr>
    </w:tbl>
    <w:p>
      <w:r>
        <w:br w:type="page"/>
      </w:r>
    </w:p>
    <w:p>
      <w:pPr>
        <w:keepNext/>
        <w:spacing w:after="60" w:before="120"/>
      </w:pPr>
      <w:r>
        <w:rPr>
          <w:rFonts w:ascii="Calibri" w:cs="Calibri" w:eastAsia="Calibri" w:hAnsi="Calibri"/>
          <w:b/>
          <w:bCs/>
          <w:color w:val="7A1526"/>
          <w:sz w:val="24"/>
          <w:szCs w:val="24"/>
        </w:rPr>
        <w:t xml:space="preserve">3.  </w:t>
      </w:r>
      <w:r>
        <w:rPr>
          <w:rFonts w:ascii="Calibri" w:cs="Calibri" w:eastAsia="Calibri" w:hAnsi="Calibri"/>
          <w:b/>
          <w:bCs/>
          <w:color w:val="7A1526"/>
          <w:spacing w:val="20"/>
          <w:sz w:val="24"/>
          <w:szCs w:val="24"/>
        </w:rPr>
        <w:t xml:space="preserve">VARIABLES INSTRUMENTALES (INTRODUCCIÓN) Y CIERRE</w:t>
      </w:r>
    </w:p>
    <w:p>
      <w:pPr>
        <w:keepNext/>
        <w:pBdr>
          <w:bottom w:val="single" w:color="E4002B" w:sz="14" w:space="8"/>
        </w:pBdr>
        <w:spacing w:after="140"/>
      </w:pPr>
      <w:r>
        <w:rPr>
          <w:rFonts w:ascii="Cambria" w:cs="Cambria" w:eastAsia="Cambria" w:hAnsi="Cambria"/>
          <w:i/>
          <w:iCs/>
          <w:color w:val="6E6E6E"/>
          <w:sz w:val="19"/>
          <w:szCs w:val="19"/>
        </w:rPr>
        <w:t xml:space="preserve">Sección 5 del cuaderno (paso 6) — viernes, cap. 12.8, bloque B</w:t>
      </w:r>
      <w:r>
        <w:rPr>
          <w:rFonts w:ascii="Cambria" w:cs="Cambria" w:eastAsia="Cambria" w:hAnsi="Cambria"/>
          <w:b/>
          <w:bCs/>
          <w:color w:val="7A1526"/>
          <w:sz w:val="19"/>
          <w:szCs w:val="19"/>
        </w:rPr>
        <w:t xml:space="preserve">   |   ~10 min</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0"/>
        <w:gridCol w:w="6080"/>
        <w:gridCol w:w="3000"/>
      </w:tblGrid>
      <w:tr>
        <w:trPr>
          <w:tblHeader/>
        </w:trPr>
        <w:tc>
          <w:tcPr>
            <w:tcW w:type="dxa" w:w="1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TIEMPO</w:t>
            </w:r>
          </w:p>
        </w:tc>
        <w:tc>
          <w:tcPr>
            <w:tcW w:type="dxa" w:w="608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QUÉ HACER</w:t>
            </w:r>
          </w:p>
        </w:tc>
        <w:tc>
          <w:tcPr>
            <w:tcW w:type="dxa" w:w="3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PRODUCTO (lo que queda escrito)</w:t>
            </w:r>
          </w:p>
        </w:tc>
      </w:tr>
      <w:tr>
        <w:tc>
          <w:tcPr>
            <w:tcW w:type="dxa" w:w="10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r>
              <w:rPr>
                <w:rFonts w:ascii="Calibri" w:cs="Calibri" w:eastAsia="Calibri" w:hAnsi="Calibri"/>
                <w:color w:val="6E6E6E"/>
                <w:sz w:val="17"/>
                <w:szCs w:val="17"/>
              </w:rPr>
              <w:t xml:space="preserve">10 min</w:t>
            </w:r>
          </w:p>
        </w:tc>
        <w:tc>
          <w:tcPr>
            <w:tcW w:type="dxa" w:w="60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pPr>
              <w:spacing w:after="70"/>
            </w:pPr>
            <w:r>
              <w:rPr>
                <w:rFonts w:ascii="Calibri" w:cs="Calibri" w:eastAsia="Calibri" w:hAnsi="Calibri"/>
                <w:b/>
                <w:bCs/>
                <w:color w:val="7A1526"/>
                <w:sz w:val="22"/>
                <w:szCs w:val="22"/>
              </w:rPr>
              <w:t xml:space="preserve">P6   </w:t>
            </w:r>
            <w:r>
              <w:rPr>
                <w:rFonts w:ascii="Calibri" w:cs="Calibri" w:eastAsia="Calibri" w:hAnsi="Calibri"/>
                <w:b/>
                <w:bCs/>
                <w:color w:val="7A1526"/>
                <w:sz w:val="19"/>
                <w:szCs w:val="19"/>
              </w:rPr>
              <w:t xml:space="preserve">Variables instrumentales (introducción)</w:t>
            </w:r>
          </w:p>
          <w:p>
            <w:pPr>
              <w:spacing w:line="265"/>
            </w:pPr>
            <w:r>
              <w:rPr>
                <w:rFonts w:ascii="Cambria" w:cs="Cambria" w:eastAsia="Cambria" w:hAnsi="Cambria"/>
                <w:color w:val="2D2D2D"/>
                <w:sz w:val="19"/>
                <w:szCs w:val="19"/>
              </w:rPr>
              <w:t xml:space="preserve">Cuando hay </w:t>
            </w:r>
            <w:r>
              <w:rPr>
                <w:rFonts w:ascii="Cambria" w:cs="Cambria" w:eastAsia="Cambria" w:hAnsi="Cambria"/>
                <w:b/>
                <w:bCs/>
                <w:color w:val="2D2D2D"/>
                <w:sz w:val="19"/>
                <w:szCs w:val="19"/>
              </w:rPr>
              <w:t xml:space="preserve">confusión no observada</w:t>
            </w:r>
            <w:r>
              <w:rPr>
                <w:rFonts w:ascii="Cambria" w:cs="Cambria" w:eastAsia="Cambria" w:hAnsi="Cambria"/>
                <w:color w:val="2D2D2D"/>
                <w:sz w:val="19"/>
                <w:szCs w:val="19"/>
              </w:rPr>
              <w:t xml:space="preserve"> y no es posible un experimento, DiD y PSM no bastan (ambos exigen ignorabilidad sobre observables). Un </w:t>
            </w:r>
            <w:r>
              <w:rPr>
                <w:rFonts w:ascii="Cambria" w:cs="Cambria" w:eastAsia="Cambria" w:hAnsi="Cambria"/>
                <w:b/>
                <w:bCs/>
                <w:color w:val="2D2D2D"/>
                <w:sz w:val="19"/>
                <w:szCs w:val="19"/>
              </w:rPr>
              <w:t xml:space="preserve">instrumento</w:t>
            </w:r>
            <w:r>
              <w:rPr>
                <w:rFonts w:ascii="Cambria" w:cs="Cambria" w:eastAsia="Cambria" w:hAnsi="Cambria"/>
                <w:color w:val="2D2D2D"/>
                <w:sz w:val="19"/>
                <w:szCs w:val="19"/>
              </w:rPr>
              <w:t xml:space="preserve"> Z es una variable que (i) </w:t>
            </w:r>
            <w:r>
              <w:rPr>
                <w:rFonts w:ascii="Cambria" w:cs="Cambria" w:eastAsia="Cambria" w:hAnsi="Cambria"/>
                <w:b/>
                <w:bCs/>
                <w:color w:val="2D2D2D"/>
                <w:sz w:val="19"/>
                <w:szCs w:val="19"/>
              </w:rPr>
              <w:t xml:space="preserve">afecta al tratamiento</w:t>
            </w:r>
            <w:r>
              <w:rPr>
                <w:rFonts w:ascii="Cambria" w:cs="Cambria" w:eastAsia="Cambria" w:hAnsi="Cambria"/>
                <w:color w:val="2D2D2D"/>
                <w:sz w:val="19"/>
                <w:szCs w:val="19"/>
              </w:rPr>
              <w:t xml:space="preserve"> T (relevancia), (ii) </w:t>
            </w:r>
            <w:r>
              <w:rPr>
                <w:rFonts w:ascii="Cambria" w:cs="Cambria" w:eastAsia="Cambria" w:hAnsi="Cambria"/>
                <w:b/>
                <w:bCs/>
                <w:color w:val="2D2D2D"/>
                <w:sz w:val="19"/>
                <w:szCs w:val="19"/>
              </w:rPr>
              <w:t xml:space="preserve">no afecta directamente al resultado</w:t>
            </w:r>
            <w:r>
              <w:rPr>
                <w:rFonts w:ascii="Cambria" w:cs="Cambria" w:eastAsia="Cambria" w:hAnsi="Cambria"/>
                <w:color w:val="2D2D2D"/>
                <w:sz w:val="19"/>
                <w:szCs w:val="19"/>
              </w:rPr>
              <w:t xml:space="preserve"> Y salvo a través de T (restricción de exclusión) y (iii) </w:t>
            </w:r>
            <w:r>
              <w:rPr>
                <w:rFonts w:ascii="Cambria" w:cs="Cambria" w:eastAsia="Cambria" w:hAnsi="Cambria"/>
                <w:b/>
                <w:bCs/>
                <w:color w:val="2D2D2D"/>
                <w:sz w:val="19"/>
                <w:szCs w:val="19"/>
              </w:rPr>
              <w:t xml:space="preserve">no comparte confusores con Y</w:t>
            </w:r>
            <w:r>
              <w:rPr>
                <w:rFonts w:ascii="Cambria" w:cs="Cambria" w:eastAsia="Cambria" w:hAnsi="Cambria"/>
                <w:color w:val="2D2D2D"/>
                <w:sz w:val="19"/>
                <w:szCs w:val="19"/>
              </w:rPr>
              <w:t xml:space="preserve"> (exogeneidad). Bajo esos supuestos, IV identifica un efecto causal </w:t>
            </w:r>
            <w:r>
              <w:rPr>
                <w:rFonts w:ascii="Cambria" w:cs="Cambria" w:eastAsia="Cambria" w:hAnsi="Cambria"/>
                <w:b/>
                <w:bCs/>
                <w:color w:val="2D2D2D"/>
                <w:sz w:val="19"/>
                <w:szCs w:val="19"/>
              </w:rPr>
              <w:t xml:space="preserve">aun con confusión inobservable</w:t>
            </w:r>
            <w:r>
              <w:rPr>
                <w:rFonts w:ascii="Cambria" w:cs="Cambria" w:eastAsia="Cambria" w:hAnsi="Cambria"/>
                <w:color w:val="2D2D2D"/>
                <w:sz w:val="19"/>
                <w:szCs w:val="19"/>
              </w:rPr>
              <w:t xml:space="preserve">, mediante solo la variación de T </w:t>
            </w:r>
            <w:r>
              <w:rPr>
                <w:rFonts w:ascii="Cambria" w:cs="Cambria" w:eastAsia="Cambria" w:hAnsi="Cambria"/>
                <w:b/>
                <w:bCs/>
                <w:color w:val="2D2D2D"/>
                <w:sz w:val="19"/>
                <w:szCs w:val="19"/>
              </w:rPr>
              <w:t xml:space="preserve">inducida por Z</w:t>
            </w:r>
            <w:r>
              <w:rPr>
                <w:rFonts w:ascii="Cambria" w:cs="Cambria" w:eastAsia="Cambria" w:hAnsi="Cambria"/>
                <w:color w:val="2D2D2D"/>
                <w:sz w:val="19"/>
                <w:szCs w:val="19"/>
              </w:rPr>
              <w:t xml:space="preserve"> (estimador de dos etapas, 2SLS); estima un efecto local (</w:t>
            </w:r>
            <w:r>
              <w:rPr>
                <w:rFonts w:ascii="Cambria" w:cs="Cambria" w:eastAsia="Cambria" w:hAnsi="Cambria"/>
                <w:b/>
                <w:bCs/>
                <w:color w:val="2D2D2D"/>
                <w:sz w:val="19"/>
                <w:szCs w:val="19"/>
              </w:rPr>
              <w:t xml:space="preserve">LATE</w:t>
            </w:r>
            <w:r>
              <w:rPr>
                <w:rFonts w:ascii="Cambria" w:cs="Cambria" w:eastAsia="Cambria" w:hAnsi="Cambria"/>
                <w:color w:val="2D2D2D"/>
                <w:sz w:val="19"/>
                <w:szCs w:val="19"/>
              </w:rPr>
              <w:t xml:space="preserve">, sobre los </w:t>
            </w:r>
            <w:r>
              <w:rPr>
                <w:rFonts w:ascii="Cambria" w:cs="Cambria" w:eastAsia="Cambria" w:hAnsi="Cambria"/>
                <w:i/>
                <w:iCs/>
                <w:color w:val="2D2D2D"/>
                <w:sz w:val="19"/>
                <w:szCs w:val="19"/>
              </w:rPr>
              <w:t xml:space="preserve">compliers</w:t>
            </w:r>
            <w:r>
              <w:rPr>
                <w:rFonts w:ascii="Cambria" w:cs="Cambria" w:eastAsia="Cambria" w:hAnsi="Cambria"/>
                <w:color w:val="2D2D2D"/>
                <w:sz w:val="19"/>
                <w:szCs w:val="19"/>
              </w:rPr>
              <w:t xml:space="preserve">). Ejemplo de negocio: usar la </w:t>
            </w:r>
            <w:r>
              <w:rPr>
                <w:rFonts w:ascii="Cambria" w:cs="Cambria" w:eastAsia="Cambria" w:hAnsi="Cambria"/>
                <w:b/>
                <w:bCs/>
                <w:color w:val="2D2D2D"/>
                <w:sz w:val="19"/>
                <w:szCs w:val="19"/>
              </w:rPr>
              <w:t xml:space="preserve">asignación aleatoria a recibir un cupón</w:t>
            </w:r>
            <w:r>
              <w:rPr>
                <w:rFonts w:ascii="Cambria" w:cs="Cambria" w:eastAsia="Cambria" w:hAnsi="Cambria"/>
                <w:color w:val="2D2D2D"/>
                <w:sz w:val="19"/>
                <w:szCs w:val="19"/>
              </w:rPr>
              <w:t xml:space="preserve"> (aunque no todos lo canjeen) como instrumento del uso efectivo. En la sesión se </w:t>
            </w:r>
            <w:r>
              <w:rPr>
                <w:rFonts w:ascii="Cambria" w:cs="Cambria" w:eastAsia="Cambria" w:hAnsi="Cambria"/>
                <w:b/>
                <w:bCs/>
                <w:color w:val="2D2D2D"/>
                <w:sz w:val="19"/>
                <w:szCs w:val="19"/>
              </w:rPr>
              <w:t xml:space="preserve">introduce</w:t>
            </w:r>
            <w:r>
              <w:rPr>
                <w:rFonts w:ascii="Cambria" w:cs="Cambria" w:eastAsia="Cambria" w:hAnsi="Cambria"/>
                <w:color w:val="2D2D2D"/>
                <w:sz w:val="19"/>
                <w:szCs w:val="19"/>
              </w:rPr>
              <w:t xml:space="preserve"> conceptualmente, sin réplica numérica. Actividad en parejas: escribir los tres supuestos de un instrumento con las propias palabras y proponer un instrumento plausible para la campaña de retención (y por qué cumpliría o no la restricción de exclusión).</w:t>
            </w:r>
          </w:p>
        </w:tc>
        <w:tc>
          <w:tcPr>
            <w:tcW w:type="dxa" w:w="3000"/>
            <w:tcBorders>
              <w:top w:val="single" w:color="DFE2E6" w:sz="4"/>
              <w:left w:val="single" w:color="E4002B" w:sz="12"/>
              <w:bottom w:val="single" w:color="DFE2E6" w:sz="4"/>
              <w:right w:val="none" w:color="FFFFFF" w:sz="0"/>
            </w:tcBorders>
            <w:shd w:fill="F2F3F5" w:color="auto" w:val="clear"/>
            <w:tcMar>
              <w:top w:type="dxa" w:w="110"/>
              <w:left w:type="dxa" w:w="150"/>
              <w:bottom w:type="dxa" w:w="110"/>
              <w:right w:type="dxa" w:w="150"/>
            </w:tcMar>
            <w:vAlign w:val="top"/>
          </w:tcPr>
          <w:p>
            <w:pPr>
              <w:spacing w:line="265"/>
            </w:pPr>
            <w:r>
              <w:rPr>
                <w:rFonts w:ascii="Calibri" w:cs="Calibri" w:eastAsia="Calibri" w:hAnsi="Calibri"/>
                <w:b/>
                <w:bCs/>
                <w:color w:val="7A1526"/>
                <w:sz w:val="19"/>
                <w:szCs w:val="19"/>
              </w:rPr>
              <w:t xml:space="preserve">▸ </w:t>
            </w:r>
            <w:r>
              <w:rPr>
                <w:rFonts w:ascii="Cambria" w:cs="Cambria" w:eastAsia="Cambria" w:hAnsi="Cambria"/>
                <w:color w:val="2D2D2D"/>
                <w:sz w:val="19"/>
                <w:szCs w:val="19"/>
              </w:rPr>
              <w:t xml:space="preserve">una nota conceptual con los tres supuestos de un instrumento y un ejemplo de negocio; </w:t>
            </w:r>
            <w:r>
              <w:rPr>
                <w:rFonts w:ascii="Cambria" w:cs="Cambria" w:eastAsia="Cambria" w:hAnsi="Cambria"/>
                <w:b/>
                <w:bCs/>
                <w:color w:val="2D2D2D"/>
                <w:sz w:val="19"/>
                <w:szCs w:val="19"/>
              </w:rPr>
              <w:t xml:space="preserve">sin</w:t>
            </w:r>
            <w:r>
              <w:rPr>
                <w:rFonts w:ascii="Cambria" w:cs="Cambria" w:eastAsia="Cambria" w:hAnsi="Cambria"/>
                <w:color w:val="2D2D2D"/>
                <w:sz w:val="19"/>
                <w:szCs w:val="19"/>
              </w:rPr>
              <w:t xml:space="preserve"> réplica numérica (la sesión se centra en DiD y PSM).</w:t>
            </w:r>
          </w:p>
        </w:tc>
      </w:tr>
    </w:tbl>
    <w:p>
      <w:pPr>
        <w:spacing w:after="220"/>
      </w:pPr>
    </w:p>
    <w:p>
      <w:pPr>
        <w:spacing w:after="260" w:line="265"/>
      </w:pPr>
      <w:r>
        <w:rPr>
          <w:rFonts w:ascii="Cambria" w:cs="Cambria" w:eastAsia="Cambria" w:hAnsi="Cambria"/>
          <w:b/>
          <w:bCs/>
          <w:i/>
          <w:iCs/>
          <w:color w:val="6E6E6E"/>
          <w:sz w:val="18"/>
          <w:szCs w:val="18"/>
        </w:rPr>
        <w:t xml:space="preserve">Fuera de alcance (solo se nombran)</w:t>
      </w:r>
      <w:r>
        <w:rPr>
          <w:rFonts w:ascii="Cambria" w:cs="Cambria" w:eastAsia="Cambria" w:hAnsi="Cambria"/>
          <w:i/>
          <w:iCs/>
          <w:color w:val="6E6E6E"/>
          <w:sz w:val="18"/>
          <w:szCs w:val="18"/>
        </w:rPr>
        <w:t xml:space="preserve">: análisis de supervivencia (S13) y sistemas de recomendación (S14) se citan como conexión, no se enseñan. El A/B </w:t>
      </w:r>
      <w:r>
        <w:rPr>
          <w:rFonts w:ascii="Cambria" w:cs="Cambria" w:eastAsia="Cambria" w:hAnsi="Cambria"/>
          <w:b/>
          <w:bCs/>
          <w:i/>
          <w:iCs/>
          <w:color w:val="6E6E6E"/>
          <w:sz w:val="18"/>
          <w:szCs w:val="18"/>
        </w:rPr>
        <w:t xml:space="preserve">básico</w:t>
      </w:r>
      <w:r>
        <w:rPr>
          <w:rFonts w:ascii="Cambria" w:cs="Cambria" w:eastAsia="Cambria" w:hAnsi="Cambria"/>
          <w:i/>
          <w:iCs/>
          <w:color w:val="6E6E6E"/>
          <w:sz w:val="18"/>
          <w:szCs w:val="18"/>
        </w:rPr>
        <w:t xml:space="preserve"> es de S02: aquí se </w:t>
      </w:r>
      <w:r>
        <w:rPr>
          <w:rFonts w:ascii="Cambria" w:cs="Cambria" w:eastAsia="Cambria" w:hAnsi="Cambria"/>
          <w:b/>
          <w:bCs/>
          <w:i/>
          <w:iCs/>
          <w:color w:val="6E6E6E"/>
          <w:sz w:val="18"/>
          <w:szCs w:val="18"/>
        </w:rPr>
        <w:t xml:space="preserve">extiende</w:t>
      </w:r>
      <w:r>
        <w:rPr>
          <w:rFonts w:ascii="Cambria" w:cs="Cambria" w:eastAsia="Cambria" w:hAnsi="Cambria"/>
          <w:i/>
          <w:iCs/>
          <w:color w:val="6E6E6E"/>
          <w:sz w:val="18"/>
          <w:szCs w:val="18"/>
        </w:rPr>
        <w:t xml:space="preserve"> (poder, MDE, marco causal), no se re-enseña. La regresión/clasificación de sesiones previas se usa como </w:t>
      </w:r>
      <w:r>
        <w:rPr>
          <w:rFonts w:ascii="Cambria" w:cs="Cambria" w:eastAsia="Cambria" w:hAnsi="Cambria"/>
          <w:b/>
          <w:bCs/>
          <w:i/>
          <w:iCs/>
          <w:color w:val="6E6E6E"/>
          <w:sz w:val="18"/>
          <w:szCs w:val="18"/>
        </w:rPr>
        <w:t xml:space="preserve">estimador</w:t>
      </w:r>
      <w:r>
        <w:rPr>
          <w:rFonts w:ascii="Cambria" w:cs="Cambria" w:eastAsia="Cambria" w:hAnsi="Cambria"/>
          <w:i/>
          <w:iCs/>
          <w:color w:val="6E6E6E"/>
          <w:sz w:val="18"/>
          <w:szCs w:val="18"/>
        </w:rPr>
        <w:t xml:space="preserve"> dentro del marco causal, no se re-explica.</w:t>
      </w:r>
    </w:p>
    <w:p>
      <w:r>
        <w:br w:type="page"/>
      </w:r>
    </w:p>
    <w:p>
      <w:pPr>
        <w:keepNext/>
        <w:spacing w:after="60" w:before="120"/>
      </w:pPr>
      <w:r>
        <w:rPr>
          <w:rFonts w:ascii="Calibri" w:cs="Calibri" w:eastAsia="Calibri" w:hAnsi="Calibri"/>
          <w:b/>
          <w:bCs/>
          <w:color w:val="7A1526"/>
          <w:sz w:val="24"/>
          <w:szCs w:val="24"/>
        </w:rPr>
        <w:t xml:space="preserve">4.  </w:t>
      </w:r>
      <w:r>
        <w:rPr>
          <w:rFonts w:ascii="Calibri" w:cs="Calibri" w:eastAsia="Calibri" w:hAnsi="Calibri"/>
          <w:b/>
          <w:bCs/>
          <w:color w:val="7A1526"/>
          <w:spacing w:val="20"/>
          <w:sz w:val="24"/>
          <w:szCs w:val="24"/>
        </w:rPr>
        <w:t xml:space="preserve">CONEXIÓN CON EL ENTREGABLE Y EL PROYECTO INTEGRADOR</w:t>
      </w:r>
    </w:p>
    <w:p>
      <w:pPr>
        <w:keepNext/>
        <w:pBdr>
          <w:bottom w:val="single" w:color="E4002B" w:sz="14" w:space="8"/>
        </w:pBdr>
        <w:spacing w:after="140"/>
      </w:pPr>
      <w:r>
        <w:rPr>
          <w:rFonts w:ascii="Cambria" w:cs="Cambria" w:eastAsia="Cambria" w:hAnsi="Cambria"/>
          <w:i/>
          <w:iCs/>
          <w:color w:val="6E6E6E"/>
          <w:sz w:val="19"/>
          <w:szCs w:val="19"/>
        </w:rPr>
        <w:t xml:space="preserve">Cierre del laboratorio</w:t>
      </w:r>
      <w:r>
        <w:rPr>
          <w:rFonts w:ascii="Cambria" w:cs="Cambria" w:eastAsia="Cambria" w:hAnsi="Cambria"/>
          <w:b/>
          <w:bCs/>
          <w:color w:val="7A1526"/>
          <w:sz w:val="19"/>
          <w:szCs w:val="19"/>
        </w:rPr>
        <w:t xml:space="preserve">   |   entregable</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2016"/>
        <w:gridCol w:w="2016"/>
        <w:gridCol w:w="2016"/>
        <w:gridCol w:w="2016"/>
        <w:gridCol w:w="2016"/>
      </w:tblGrid>
      <w:tr>
        <w:trPr>
          <w:tblHeader/>
        </w:trPr>
        <w:tc>
          <w:tcPr>
            <w:tcW w:type="dxa" w:w="2016"/>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w:t>
            </w:r>
          </w:p>
        </w:tc>
        <w:tc>
          <w:tcPr>
            <w:tcW w:type="dxa" w:w="2016"/>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Target</w:t>
            </w:r>
          </w:p>
        </w:tc>
        <w:tc>
          <w:tcPr>
            <w:tcW w:type="dxa" w:w="2016"/>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Valor OPERATIVO (venv)</w:t>
            </w:r>
          </w:p>
        </w:tc>
        <w:tc>
          <w:tcPr>
            <w:tcW w:type="dxa" w:w="2016"/>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Tolerancia</w:t>
            </w:r>
          </w:p>
        </w:tc>
        <w:tc>
          <w:tcPr>
            <w:tcW w:type="dxa" w:w="2016"/>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Procedencia</w:t>
            </w:r>
          </w:p>
        </w:tc>
      </w:tr>
      <w:tr>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8"/>
                <w:szCs w:val="18"/>
              </w:rPr>
              <w:t xml:space="preserve">1</w:t>
            </w:r>
          </w:p>
        </w:tc>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2D2D2D"/>
                <w:sz w:val="18"/>
                <w:szCs w:val="18"/>
              </w:rPr>
              <w:t xml:space="preserve">DiD</w:t>
            </w:r>
            <w:r>
              <w:rPr>
                <w:rFonts w:ascii="Calibri" w:cs="Calibri" w:eastAsia="Calibri" w:hAnsi="Calibri"/>
                <w:b w:val="false"/>
                <w:bCs w:val="false"/>
                <w:color w:val="2D2D2D"/>
                <w:sz w:val="18"/>
                <w:szCs w:val="18"/>
              </w:rPr>
              <w:t xml:space="preserve"> del empleo </w:t>
            </w:r>
            <w:r>
              <w:rPr>
                <w:rFonts w:ascii="Consolas" w:cs="Consolas" w:eastAsia="Consolas" w:hAnsi="Consolas"/>
                <w:b w:val="false"/>
                <w:bCs w:val="false"/>
                <w:color w:val="7A1526"/>
                <w:sz w:val="16"/>
                <w:szCs w:val="16"/>
              </w:rPr>
              <w:t xml:space="preserve">FTE</w:t>
            </w:r>
            <w:r>
              <w:rPr>
                <w:rFonts w:ascii="Calibri" w:cs="Calibri" w:eastAsia="Calibri" w:hAnsi="Calibri"/>
                <w:b w:val="false"/>
                <w:bCs w:val="false"/>
                <w:color w:val="2D2D2D"/>
                <w:sz w:val="18"/>
                <w:szCs w:val="18"/>
              </w:rPr>
              <w:t xml:space="preserve">, positivo</w:t>
            </w:r>
          </w:p>
        </w:tc>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2D2D2D"/>
                <w:sz w:val="18"/>
                <w:szCs w:val="18"/>
              </w:rPr>
              <w:t xml:space="preserve">+2,75</w:t>
            </w:r>
          </w:p>
        </w:tc>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±0,6 — signo positivo obligatorio</w:t>
            </w:r>
          </w:p>
        </w:tc>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2D2D2D"/>
                <w:sz w:val="18"/>
                <w:szCs w:val="18"/>
              </w:rPr>
              <w:t xml:space="preserve">Card &amp; Krueger (1994)</w:t>
            </w:r>
            <w:r>
              <w:rPr>
                <w:rFonts w:ascii="Calibri" w:cs="Calibri" w:eastAsia="Calibri" w:hAnsi="Calibri"/>
                <w:b w:val="false"/>
                <w:bCs w:val="false"/>
                <w:color w:val="2D2D2D"/>
                <w:sz w:val="18"/>
                <w:szCs w:val="18"/>
              </w:rPr>
              <w:t xml:space="preserve"> — venv del curso</w:t>
            </w:r>
          </w:p>
        </w:tc>
      </w:tr>
      <w:tr>
        <w:tc>
          <w:tcPr>
            <w:tcW w:type="dxa" w:w="2016"/>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8"/>
                <w:szCs w:val="18"/>
              </w:rPr>
              <w:t xml:space="preserve">2</w:t>
            </w:r>
          </w:p>
        </w:tc>
        <w:tc>
          <w:tcPr>
            <w:tcW w:type="dxa" w:w="2016"/>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2D2D2D"/>
                <w:sz w:val="18"/>
                <w:szCs w:val="18"/>
              </w:rPr>
              <w:t xml:space="preserve">ATT experimental</w:t>
            </w:r>
            <w:r>
              <w:rPr>
                <w:rFonts w:ascii="Calibri" w:cs="Calibri" w:eastAsia="Calibri" w:hAnsi="Calibri"/>
                <w:b w:val="false"/>
                <w:bCs w:val="false"/>
                <w:color w:val="2D2D2D"/>
                <w:sz w:val="18"/>
                <w:szCs w:val="18"/>
              </w:rPr>
              <w:t xml:space="preserve"> LaLonde/NSW (USD)</w:t>
            </w:r>
          </w:p>
        </w:tc>
        <w:tc>
          <w:tcPr>
            <w:tcW w:type="dxa" w:w="2016"/>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2D2D2D"/>
                <w:sz w:val="18"/>
                <w:szCs w:val="18"/>
              </w:rPr>
              <w:t xml:space="preserve">+1 794,34</w:t>
            </w:r>
          </w:p>
        </w:tc>
        <w:tc>
          <w:tcPr>
            <w:tcW w:type="dxa" w:w="2016"/>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±60 (determinista)</w:t>
            </w:r>
          </w:p>
        </w:tc>
        <w:tc>
          <w:tcPr>
            <w:tcW w:type="dxa" w:w="2016"/>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2D2D2D"/>
                <w:sz w:val="18"/>
                <w:szCs w:val="18"/>
              </w:rPr>
              <w:t xml:space="preserve">Dehejia-Wahba / LaLonde/NSW</w:t>
            </w:r>
            <w:r>
              <w:rPr>
                <w:rFonts w:ascii="Calibri" w:cs="Calibri" w:eastAsia="Calibri" w:hAnsi="Calibri"/>
                <w:b w:val="false"/>
                <w:bCs w:val="false"/>
                <w:color w:val="2D2D2D"/>
                <w:sz w:val="18"/>
                <w:szCs w:val="18"/>
              </w:rPr>
              <w:t xml:space="preserve"> — venv</w:t>
            </w:r>
          </w:p>
        </w:tc>
      </w:tr>
      <w:tr>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8"/>
                <w:szCs w:val="18"/>
              </w:rPr>
              <w:t xml:space="preserve">3</w:t>
            </w:r>
          </w:p>
        </w:tc>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2D2D2D"/>
                <w:sz w:val="18"/>
                <w:szCs w:val="18"/>
              </w:rPr>
              <w:t xml:space="preserve">Naive observacional</w:t>
            </w:r>
            <w:r>
              <w:rPr>
                <w:rFonts w:ascii="Calibri" w:cs="Calibri" w:eastAsia="Calibri" w:hAnsi="Calibri"/>
                <w:b w:val="false"/>
                <w:bCs w:val="false"/>
                <w:color w:val="2D2D2D"/>
                <w:sz w:val="18"/>
                <w:szCs w:val="18"/>
              </w:rPr>
              <w:t xml:space="preserve"> (CPS), negativo</w:t>
            </w:r>
          </w:p>
        </w:tc>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2D2D2D"/>
                <w:sz w:val="18"/>
                <w:szCs w:val="18"/>
              </w:rPr>
              <w:t xml:space="preserve">−8 497,52</w:t>
            </w:r>
          </w:p>
        </w:tc>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±1 500 — signo negativo obligatorio</w:t>
            </w:r>
          </w:p>
        </w:tc>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2D2D2D"/>
                <w:sz w:val="18"/>
                <w:szCs w:val="18"/>
              </w:rPr>
              <w:t xml:space="preserve">Dehejia-Wahba</w:t>
            </w:r>
            <w:r>
              <w:rPr>
                <w:rFonts w:ascii="Calibri" w:cs="Calibri" w:eastAsia="Calibri" w:hAnsi="Calibri"/>
                <w:b w:val="false"/>
                <w:bCs w:val="false"/>
                <w:color w:val="2D2D2D"/>
                <w:sz w:val="18"/>
                <w:szCs w:val="18"/>
              </w:rPr>
              <w:t xml:space="preserve"> (sesgo de selección) — venv</w:t>
            </w:r>
          </w:p>
        </w:tc>
      </w:tr>
      <w:tr>
        <w:tc>
          <w:tcPr>
            <w:tcW w:type="dxa" w:w="2016"/>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8"/>
                <w:szCs w:val="18"/>
              </w:rPr>
              <w:t xml:space="preserve">4</w:t>
            </w:r>
          </w:p>
        </w:tc>
        <w:tc>
          <w:tcPr>
            <w:tcW w:type="dxa" w:w="2016"/>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2D2D2D"/>
                <w:sz w:val="18"/>
                <w:szCs w:val="18"/>
              </w:rPr>
              <w:t xml:space="preserve">PSM</w:t>
            </w:r>
            <w:r>
              <w:rPr>
                <w:rFonts w:ascii="Calibri" w:cs="Calibri" w:eastAsia="Calibri" w:hAnsi="Calibri"/>
                <w:b w:val="false"/>
                <w:bCs w:val="false"/>
                <w:color w:val="2D2D2D"/>
                <w:sz w:val="18"/>
                <w:szCs w:val="18"/>
              </w:rPr>
              <w:t xml:space="preserve"> recupera el ATT (SMD 0,60</w:t>
            </w:r>
            <w:r>
              <w:rPr>
                <w:rFonts w:ascii="Calibri" w:cs="Calibri" w:eastAsia="Calibri" w:hAnsi="Calibri"/>
                <w:b w:val="false"/>
                <w:bCs w:val="false"/>
                <w:color w:val="2D2D2D"/>
                <w:sz w:val="18"/>
                <w:szCs w:val="18"/>
              </w:rPr>
              <w:t xml:space="preserve">→</w:t>
            </w:r>
            <w:r>
              <w:rPr>
                <w:rFonts w:ascii="Calibri" w:cs="Calibri" w:eastAsia="Calibri" w:hAnsi="Calibri"/>
                <w:b w:val="false"/>
                <w:bCs w:val="false"/>
                <w:color w:val="2D2D2D"/>
                <w:sz w:val="18"/>
                <w:szCs w:val="18"/>
              </w:rPr>
              <w:t xml:space="preserve">0,06)</w:t>
            </w:r>
          </w:p>
        </w:tc>
        <w:tc>
          <w:tcPr>
            <w:tcW w:type="dxa" w:w="2016"/>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2D2D2D"/>
                <w:sz w:val="18"/>
                <w:szCs w:val="18"/>
              </w:rPr>
              <w:t xml:space="preserve">+1 745,09</w:t>
            </w:r>
          </w:p>
        </w:tc>
        <w:tc>
          <w:tcPr>
            <w:tcW w:type="dxa" w:w="2016"/>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banda [+300, +3 000] — debe superar al naive</w:t>
            </w:r>
          </w:p>
        </w:tc>
        <w:tc>
          <w:tcPr>
            <w:tcW w:type="dxa" w:w="2016"/>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2D2D2D"/>
                <w:sz w:val="18"/>
                <w:szCs w:val="18"/>
              </w:rPr>
              <w:t xml:space="preserve">Dehejia-Wahba (PSM)</w:t>
            </w:r>
            <w:r>
              <w:rPr>
                <w:rFonts w:ascii="Calibri" w:cs="Calibri" w:eastAsia="Calibri" w:hAnsi="Calibri"/>
                <w:b w:val="false"/>
                <w:bCs w:val="false"/>
                <w:color w:val="2D2D2D"/>
                <w:sz w:val="18"/>
                <w:szCs w:val="18"/>
              </w:rPr>
              <w:t xml:space="preserve"> — venv</w:t>
            </w:r>
          </w:p>
        </w:tc>
      </w:tr>
      <w:tr>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8"/>
                <w:szCs w:val="18"/>
              </w:rPr>
              <w:t xml:space="preserve">5</w:t>
            </w:r>
          </w:p>
        </w:tc>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Negocio: </w:t>
            </w:r>
            <w:r>
              <w:rPr>
                <w:rFonts w:ascii="Calibri" w:cs="Calibri" w:eastAsia="Calibri" w:hAnsi="Calibri"/>
                <w:b/>
                <w:bCs/>
                <w:color w:val="2D2D2D"/>
                <w:sz w:val="18"/>
                <w:szCs w:val="18"/>
              </w:rPr>
              <w:t xml:space="preserve">naive / ajustado / verdadero</w:t>
            </w:r>
            <w:r>
              <w:rPr>
                <w:rFonts w:ascii="Calibri" w:cs="Calibri" w:eastAsia="Calibri" w:hAnsi="Calibri"/>
                <w:b w:val="false"/>
                <w:bCs w:val="false"/>
                <w:color w:val="2D2D2D"/>
                <w:sz w:val="18"/>
                <w:szCs w:val="18"/>
              </w:rPr>
              <w:t xml:space="preserve"> (ATE)</w:t>
            </w:r>
          </w:p>
        </w:tc>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2D2D2D"/>
                <w:sz w:val="18"/>
                <w:szCs w:val="18"/>
              </w:rPr>
              <w:t xml:space="preserve">+23,64 / +7,95 / 8,0</w:t>
            </w:r>
          </w:p>
        </w:tc>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naive &gt; ajustado+3, ajustado ±1,5, verdadero exacto</w:t>
            </w:r>
          </w:p>
        </w:tc>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2D2D2D"/>
                <w:sz w:val="18"/>
                <w:szCs w:val="18"/>
              </w:rPr>
              <w:t xml:space="preserve">DGP del curso</w:t>
            </w:r>
            <w:r>
              <w:rPr>
                <w:rFonts w:ascii="Calibri" w:cs="Calibri" w:eastAsia="Calibri" w:hAnsi="Calibri"/>
                <w:b w:val="false"/>
                <w:bCs w:val="false"/>
                <w:color w:val="2D2D2D"/>
                <w:sz w:val="18"/>
                <w:szCs w:val="18"/>
              </w:rPr>
              <w:t xml:space="preserve"> — venv (verdadero = ancla dura)</w:t>
            </w:r>
          </w:p>
        </w:tc>
      </w:tr>
    </w:tbl>
    <w:p>
      <w:pPr>
        <w:spacing w:after="220"/>
      </w:pPr>
    </w:p>
    <w:p>
      <w:pPr>
        <w:spacing w:line="270"/>
      </w:pPr>
      <w:r>
        <w:rPr>
          <w:rFonts w:ascii="Cambria" w:cs="Cambria" w:eastAsia="Cambria" w:hAnsi="Cambria"/>
          <w:color w:val="2D2D2D"/>
          <w:sz w:val="20"/>
          <w:szCs w:val="20"/>
        </w:rPr>
        <w:t xml:space="preserve">El laboratorio produce el borrador del </w:t>
      </w:r>
      <w:r>
        <w:rPr>
          <w:rFonts w:ascii="Cambria" w:cs="Cambria" w:eastAsia="Cambria" w:hAnsi="Cambria"/>
          <w:b/>
          <w:bCs/>
          <w:color w:val="2D2D2D"/>
          <w:sz w:val="20"/>
          <w:szCs w:val="20"/>
        </w:rPr>
        <w:t xml:space="preserve">entregable evaluable de la S12</w:t>
      </w:r>
      <w:r>
        <w:rPr>
          <w:rFonts w:ascii="Cambria" w:cs="Cambria" w:eastAsia="Cambria" w:hAnsi="Cambria"/>
          <w:color w:val="2D2D2D"/>
          <w:sz w:val="20"/>
          <w:szCs w:val="20"/>
        </w:rPr>
        <w:t xml:space="preserve">: estimar el </w:t>
      </w:r>
      <w:r>
        <w:rPr>
          <w:rFonts w:ascii="Cambria" w:cs="Cambria" w:eastAsia="Cambria" w:hAnsi="Cambria"/>
          <w:b/>
          <w:bCs/>
          <w:color w:val="2D2D2D"/>
          <w:sz w:val="20"/>
          <w:szCs w:val="20"/>
        </w:rPr>
        <w:t xml:space="preserve">efecto causal de la campaña de retención</w:t>
      </w:r>
      <w:r>
        <w:rPr>
          <w:rFonts w:ascii="Cambria" w:cs="Cambria" w:eastAsia="Cambria" w:hAnsi="Cambria"/>
          <w:color w:val="2D2D2D"/>
          <w:sz w:val="20"/>
          <w:szCs w:val="20"/>
        </w:rPr>
        <w:t xml:space="preserve"> sobre datos observacionales — plantear el </w:t>
      </w:r>
      <w:r>
        <w:rPr>
          <w:rFonts w:ascii="Cambria" w:cs="Cambria" w:eastAsia="Cambria" w:hAnsi="Cambria"/>
          <w:b/>
          <w:bCs/>
          <w:color w:val="2D2D2D"/>
          <w:sz w:val="20"/>
          <w:szCs w:val="20"/>
        </w:rPr>
        <w:t xml:space="preserve">DAG</w:t>
      </w:r>
      <w:r>
        <w:rPr>
          <w:rFonts w:ascii="Cambria" w:cs="Cambria" w:eastAsia="Cambria" w:hAnsi="Cambria"/>
          <w:color w:val="2D2D2D"/>
          <w:sz w:val="20"/>
          <w:szCs w:val="20"/>
        </w:rPr>
        <w:t xml:space="preserve"> y el </w:t>
      </w:r>
      <w:r>
        <w:rPr>
          <w:rFonts w:ascii="Cambria" w:cs="Cambria" w:eastAsia="Cambria" w:hAnsi="Cambria"/>
          <w:b/>
          <w:bCs/>
          <w:color w:val="2D2D2D"/>
          <w:sz w:val="20"/>
          <w:szCs w:val="20"/>
        </w:rPr>
        <w:t xml:space="preserve">contrafactual</w:t>
      </w:r>
      <w:r>
        <w:rPr>
          <w:rFonts w:ascii="Cambria" w:cs="Cambria" w:eastAsia="Cambria" w:hAnsi="Cambria"/>
          <w:color w:val="2D2D2D"/>
          <w:sz w:val="20"/>
          <w:szCs w:val="20"/>
        </w:rPr>
        <w:t xml:space="preserve">, elegir el </w:t>
      </w:r>
      <w:r>
        <w:rPr>
          <w:rFonts w:ascii="Cambria" w:cs="Cambria" w:eastAsia="Cambria" w:hAnsi="Cambria"/>
          <w:b/>
          <w:bCs/>
          <w:color w:val="2D2D2D"/>
          <w:sz w:val="20"/>
          <w:szCs w:val="20"/>
        </w:rPr>
        <w:t xml:space="preserve">conjunto de control (backdoor)</w:t>
      </w:r>
      <w:r>
        <w:rPr>
          <w:rFonts w:ascii="Cambria" w:cs="Cambria" w:eastAsia="Cambria" w:hAnsi="Cambria"/>
          <w:color w:val="2D2D2D"/>
          <w:sz w:val="20"/>
          <w:szCs w:val="20"/>
        </w:rPr>
        <w:t xml:space="preserve">, estimar el efecto (PSM/regresión/DoWhy), </w:t>
      </w:r>
      <w:r>
        <w:rPr>
          <w:rFonts w:ascii="Cambria" w:cs="Cambria" w:eastAsia="Cambria" w:hAnsi="Cambria"/>
          <w:b/>
          <w:bCs/>
          <w:color w:val="2D2D2D"/>
          <w:sz w:val="20"/>
          <w:szCs w:val="20"/>
        </w:rPr>
        <w:t xml:space="preserve">verificar los supuestos</w:t>
      </w:r>
      <w:r>
        <w:rPr>
          <w:rFonts w:ascii="Cambria" w:cs="Cambria" w:eastAsia="Cambria" w:hAnsi="Cambria"/>
          <w:color w:val="2D2D2D"/>
          <w:sz w:val="20"/>
          <w:szCs w:val="20"/>
        </w:rPr>
        <w:t xml:space="preserve"> y aplicar </w:t>
      </w:r>
      <w:r>
        <w:rPr>
          <w:rFonts w:ascii="Cambria" w:cs="Cambria" w:eastAsia="Cambria" w:hAnsi="Cambria"/>
          <w:b/>
          <w:bCs/>
          <w:color w:val="2D2D2D"/>
          <w:sz w:val="20"/>
          <w:szCs w:val="20"/>
        </w:rPr>
        <w:t xml:space="preserve">pruebas de robustez (refutación)</w:t>
      </w:r>
      <w:r>
        <w:rPr>
          <w:rFonts w:ascii="Cambria" w:cs="Cambria" w:eastAsia="Cambria" w:hAnsi="Cambria"/>
          <w:color w:val="2D2D2D"/>
          <w:sz w:val="20"/>
          <w:szCs w:val="20"/>
        </w:rPr>
        <w:t xml:space="preserve">, y comunicar la recomendación con su </w:t>
      </w:r>
      <w:r>
        <w:rPr>
          <w:rFonts w:ascii="Cambria" w:cs="Cambria" w:eastAsia="Cambria" w:hAnsi="Cambria"/>
          <w:b/>
          <w:bCs/>
          <w:color w:val="2D2D2D"/>
          <w:sz w:val="20"/>
          <w:szCs w:val="20"/>
        </w:rPr>
        <w:t xml:space="preserve">incertidumbre</w:t>
      </w:r>
      <w:r>
        <w:rPr>
          <w:rFonts w:ascii="Cambria" w:cs="Cambria" w:eastAsia="Cambria" w:hAnsi="Cambria"/>
          <w:color w:val="2D2D2D"/>
          <w:sz w:val="20"/>
          <w:szCs w:val="20"/>
        </w:rPr>
        <w:t xml:space="preserve">. El enunciado, el formato de entrega y la </w:t>
      </w:r>
      <w:r>
        <w:rPr>
          <w:rFonts w:ascii="Cambria" w:cs="Cambria" w:eastAsia="Cambria" w:hAnsi="Cambria"/>
          <w:b/>
          <w:bCs/>
          <w:color w:val="2D2D2D"/>
          <w:sz w:val="20"/>
          <w:szCs w:val="20"/>
        </w:rPr>
        <w:t xml:space="preserve">rúbrica vigesimal (total 20 puntos)</w:t>
      </w:r>
      <w:r>
        <w:rPr>
          <w:rFonts w:ascii="Cambria" w:cs="Cambria" w:eastAsia="Cambria" w:hAnsi="Cambria"/>
          <w:color w:val="2D2D2D"/>
          <w:sz w:val="20"/>
          <w:szCs w:val="20"/>
        </w:rPr>
        <w:t xml:space="preserve"> están en </w:t>
      </w:r>
      <w:r>
        <w:rPr>
          <w:rFonts w:ascii="Consolas" w:cs="Consolas" w:eastAsia="Consolas" w:hAnsi="Consolas"/>
          <w:color w:val="7A1526"/>
          <w:sz w:val="18"/>
          <w:szCs w:val="18"/>
        </w:rPr>
        <w:t xml:space="preserve">evaluacion/entregable.docx</w:t>
      </w:r>
      <w:r>
        <w:rPr>
          <w:rFonts w:ascii="Cambria" w:cs="Cambria" w:eastAsia="Cambria" w:hAnsi="Cambria"/>
          <w:color w:val="2D2D2D"/>
          <w:sz w:val="20"/>
          <w:szCs w:val="20"/>
        </w:rPr>
        <w:t xml:space="preserve">; el análisis se estructura con </w:t>
      </w:r>
      <w:r>
        <w:rPr>
          <w:rFonts w:ascii="Consolas" w:cs="Consolas" w:eastAsia="Consolas" w:hAnsi="Consolas"/>
          <w:color w:val="7A1526"/>
          <w:sz w:val="18"/>
          <w:szCs w:val="18"/>
        </w:rPr>
        <w:t xml:space="preserve">plantillas/plantilla_analisis_causal.docx</w:t>
      </w:r>
      <w:r>
        <w:rPr>
          <w:rFonts w:ascii="Cambria" w:cs="Cambria" w:eastAsia="Cambria" w:hAnsi="Cambria"/>
          <w:color w:val="2D2D2D"/>
          <w:sz w:val="20"/>
          <w:szCs w:val="20"/>
        </w:rPr>
        <w:t xml:space="preserve"> y el DAG con </w:t>
      </w:r>
      <w:r>
        <w:rPr>
          <w:rFonts w:ascii="Consolas" w:cs="Consolas" w:eastAsia="Consolas" w:hAnsi="Consolas"/>
          <w:color w:val="7A1526"/>
          <w:sz w:val="18"/>
          <w:szCs w:val="18"/>
        </w:rPr>
        <w:t xml:space="preserve">plantillas/guia_dags.docx</w:t>
      </w:r>
      <w:r>
        <w:rPr>
          <w:rFonts w:ascii="Cambria" w:cs="Cambria" w:eastAsia="Cambria" w:hAnsi="Cambria"/>
          <w:color w:val="2D2D2D"/>
          <w:sz w:val="20"/>
          <w:szCs w:val="20"/>
        </w:rPr>
        <w:t xml:space="preserve">. La entrega es </w:t>
      </w:r>
      <w:r>
        <w:rPr>
          <w:rFonts w:ascii="Cambria" w:cs="Cambria" w:eastAsia="Cambria" w:hAnsi="Cambria"/>
          <w:b/>
          <w:bCs/>
          <w:color w:val="2D2D2D"/>
          <w:sz w:val="20"/>
          <w:szCs w:val="20"/>
        </w:rPr>
        <w:t xml:space="preserve">individual</w:t>
      </w:r>
      <w:r>
        <w:rPr>
          <w:rFonts w:ascii="Cambria" w:cs="Cambria" w:eastAsia="Cambria" w:hAnsi="Cambria"/>
          <w:color w:val="2D2D2D"/>
          <w:sz w:val="20"/>
          <w:szCs w:val="20"/>
        </w:rPr>
        <w:t xml:space="preserve">, aunque el trabajo en clase se realice en parejas. Los tres </w:t>
      </w:r>
      <w:r>
        <w:rPr>
          <w:rFonts w:ascii="Consolas" w:cs="Consolas" w:eastAsia="Consolas" w:hAnsi="Consolas"/>
          <w:color w:val="7A1526"/>
          <w:sz w:val="18"/>
          <w:szCs w:val="18"/>
        </w:rPr>
        <w:t xml:space="preserve">evaluacion/drills.docx</w:t>
      </w:r>
      <w:r>
        <w:rPr>
          <w:rFonts w:ascii="Cambria" w:cs="Cambria" w:eastAsia="Cambria" w:hAnsi="Cambria"/>
          <w:color w:val="2D2D2D"/>
          <w:sz w:val="20"/>
          <w:szCs w:val="20"/>
        </w:rPr>
        <w:t xml:space="preserve"> de la sesión (dibujar un DAG y hallar el conjunto de puerta trasera; verificar tendencias paralelas antes de DiD; comparar naive vs. PSM) practican exactamente las destrezas que la rúbrica califica.</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700"/>
        <w:gridCol w:w="9380"/>
      </w:tblGrid>
      <w:tr>
        <w:tc>
          <w:tcPr>
            <w:tcW w:type="dxa" w:w="7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r>
              <w:rPr>
                <w:rFonts w:ascii="Calibri" w:cs="Calibri" w:eastAsia="Calibri" w:hAnsi="Calibri"/>
                <w:b/>
                <w:bCs/>
                <w:color w:val="7A1526"/>
                <w:sz w:val="20"/>
                <w:szCs w:val="20"/>
              </w:rPr>
              <w:t xml:space="preserve">1.</w:t>
            </w:r>
          </w:p>
        </w:tc>
        <w:tc>
          <w:tcPr>
            <w:tcW w:type="dxa" w:w="93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pPr>
              <w:spacing w:line="265"/>
            </w:pPr>
            <w:r>
              <w:rPr>
                <w:rFonts w:ascii="Cambria" w:cs="Cambria" w:eastAsia="Cambria" w:hAnsi="Cambria"/>
                <w:b/>
                <w:bCs/>
                <w:color w:val="2D2D2D"/>
                <w:sz w:val="19"/>
                <w:szCs w:val="19"/>
              </w:rPr>
              <w:t xml:space="preserve">El contrafactual como pregunta previa</w:t>
            </w:r>
            <w:r>
              <w:rPr>
                <w:rFonts w:ascii="Cambria" w:cs="Cambria" w:eastAsia="Cambria" w:hAnsi="Cambria"/>
                <w:color w:val="2D2D2D"/>
                <w:sz w:val="19"/>
                <w:szCs w:val="19"/>
              </w:rPr>
              <w:t xml:space="preserve">: antes de atribuir un efecto a cualquier acción del proyecto (campaña, cambio de precio, nueva función), se explicita el contrafactual y se dibuja el DAG — evita el reflejo de leer «lo que subió» como «lo que causó».</w:t>
            </w:r>
          </w:p>
        </w:tc>
      </w:tr>
      <w:tr>
        <w:tc>
          <w:tcPr>
            <w:tcW w:type="dxa" w:w="70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r>
              <w:rPr>
                <w:rFonts w:ascii="Calibri" w:cs="Calibri" w:eastAsia="Calibri" w:hAnsi="Calibri"/>
                <w:b/>
                <w:bCs/>
                <w:color w:val="7A1526"/>
                <w:sz w:val="20"/>
                <w:szCs w:val="20"/>
              </w:rPr>
              <w:t xml:space="preserve">2.</w:t>
            </w:r>
          </w:p>
        </w:tc>
        <w:tc>
          <w:tcPr>
            <w:tcW w:type="dxa" w:w="938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pPr>
              <w:spacing w:line="265"/>
            </w:pPr>
            <w:r>
              <w:rPr>
                <w:rFonts w:ascii="Cambria" w:cs="Cambria" w:eastAsia="Cambria" w:hAnsi="Cambria"/>
                <w:b/>
                <w:bCs/>
                <w:color w:val="2D2D2D"/>
                <w:sz w:val="19"/>
                <w:szCs w:val="19"/>
              </w:rPr>
              <w:t xml:space="preserve">Controlar solo confusores</w:t>
            </w:r>
            <w:r>
              <w:rPr>
                <w:rFonts w:ascii="Cambria" w:cs="Cambria" w:eastAsia="Cambria" w:hAnsi="Cambria"/>
                <w:color w:val="2D2D2D"/>
                <w:sz w:val="19"/>
                <w:szCs w:val="19"/>
              </w:rPr>
              <w:t xml:space="preserve">: el conjunto de ajuste se elige con el criterio de puerta trasera, </w:t>
            </w:r>
            <w:r>
              <w:rPr>
                <w:rFonts w:ascii="Cambria" w:cs="Cambria" w:eastAsia="Cambria" w:hAnsi="Cambria"/>
                <w:b/>
                <w:bCs/>
                <w:color w:val="2D2D2D"/>
                <w:sz w:val="19"/>
                <w:szCs w:val="19"/>
              </w:rPr>
              <w:t xml:space="preserve">no</w:t>
            </w:r>
            <w:r>
              <w:rPr>
                <w:rFonts w:ascii="Cambria" w:cs="Cambria" w:eastAsia="Cambria" w:hAnsi="Cambria"/>
                <w:color w:val="2D2D2D"/>
                <w:sz w:val="19"/>
                <w:szCs w:val="19"/>
              </w:rPr>
              <w:t xml:space="preserve"> al incluir todas las variables en el modelo; un mediador o un collider </w:t>
            </w:r>
            <w:r>
              <w:rPr>
                <w:rFonts w:ascii="Cambria" w:cs="Cambria" w:eastAsia="Cambria" w:hAnsi="Cambria"/>
                <w:b/>
                <w:bCs/>
                <w:color w:val="2D2D2D"/>
                <w:sz w:val="19"/>
                <w:szCs w:val="19"/>
              </w:rPr>
              <w:t xml:space="preserve">dañan</w:t>
            </w:r>
            <w:r>
              <w:rPr>
                <w:rFonts w:ascii="Cambria" w:cs="Cambria" w:eastAsia="Cambria" w:hAnsi="Cambria"/>
                <w:color w:val="2D2D2D"/>
                <w:sz w:val="19"/>
                <w:szCs w:val="19"/>
              </w:rPr>
              <w:t xml:space="preserve"> la estimación. Se conecta con la asociación condicional (OR) de S09 y el leakage de S10/S11: correlación condicional </w:t>
            </w:r>
            <w:r>
              <w:rPr>
                <w:rFonts w:ascii="Cambria" w:cs="Cambria" w:eastAsia="Cambria" w:hAnsi="Cambria"/>
                <w:b/>
                <w:bCs/>
                <w:color w:val="2D2D2D"/>
                <w:sz w:val="19"/>
                <w:szCs w:val="19"/>
              </w:rPr>
              <w:t xml:space="preserve">no</w:t>
            </w:r>
            <w:r>
              <w:rPr>
                <w:rFonts w:ascii="Cambria" w:cs="Cambria" w:eastAsia="Cambria" w:hAnsi="Cambria"/>
                <w:color w:val="2D2D2D"/>
                <w:sz w:val="19"/>
                <w:szCs w:val="19"/>
              </w:rPr>
              <w:t xml:space="preserve"> es causa.</w:t>
            </w:r>
          </w:p>
        </w:tc>
      </w:tr>
      <w:tr>
        <w:tc>
          <w:tcPr>
            <w:tcW w:type="dxa" w:w="7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r>
              <w:rPr>
                <w:rFonts w:ascii="Calibri" w:cs="Calibri" w:eastAsia="Calibri" w:hAnsi="Calibri"/>
                <w:b/>
                <w:bCs/>
                <w:color w:val="7A1526"/>
                <w:sz w:val="20"/>
                <w:szCs w:val="20"/>
              </w:rPr>
              <w:t xml:space="preserve">3.</w:t>
            </w:r>
          </w:p>
        </w:tc>
        <w:tc>
          <w:tcPr>
            <w:tcW w:type="dxa" w:w="93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pPr>
              <w:spacing w:line="265"/>
            </w:pPr>
            <w:r>
              <w:rPr>
                <w:rFonts w:ascii="Cambria" w:cs="Cambria" w:eastAsia="Cambria" w:hAnsi="Cambria"/>
                <w:b/>
                <w:bCs/>
                <w:color w:val="2D2D2D"/>
                <w:sz w:val="19"/>
                <w:szCs w:val="19"/>
              </w:rPr>
              <w:t xml:space="preserve">Refutar antes de recomendar</w:t>
            </w:r>
            <w:r>
              <w:rPr>
                <w:rFonts w:ascii="Cambria" w:cs="Cambria" w:eastAsia="Cambria" w:hAnsi="Cambria"/>
                <w:color w:val="2D2D2D"/>
                <w:sz w:val="19"/>
                <w:szCs w:val="19"/>
              </w:rPr>
              <w:t xml:space="preserve">: toda estimación causal observacional del proyecto se estresa con placebo y confusor aleatorio, y se comunica el </w:t>
            </w:r>
            <w:r>
              <w:rPr>
                <w:rFonts w:ascii="Cambria" w:cs="Cambria" w:eastAsia="Cambria" w:hAnsi="Cambria"/>
                <w:b/>
                <w:bCs/>
                <w:color w:val="2D2D2D"/>
                <w:sz w:val="19"/>
                <w:szCs w:val="19"/>
              </w:rPr>
              <w:t xml:space="preserve">nivel de evidencia</w:t>
            </w:r>
            <w:r>
              <w:rPr>
                <w:rFonts w:ascii="Cambria" w:cs="Cambria" w:eastAsia="Cambria" w:hAnsi="Cambria"/>
                <w:color w:val="2D2D2D"/>
                <w:sz w:val="19"/>
                <w:szCs w:val="19"/>
              </w:rPr>
              <w:t xml:space="preserve"> (observacional con supuestos vs. experimental); si el IC incluye el umbral de rentabilidad, la acción prudente es un </w:t>
            </w:r>
            <w:r>
              <w:rPr>
                <w:rFonts w:ascii="Cambria" w:cs="Cambria" w:eastAsia="Cambria" w:hAnsi="Cambria"/>
                <w:b/>
                <w:bCs/>
                <w:color w:val="2D2D2D"/>
                <w:sz w:val="19"/>
                <w:szCs w:val="19"/>
              </w:rPr>
              <w:t xml:space="preserve">A/B confirmatorio</w:t>
            </w:r>
            <w:r>
              <w:rPr>
                <w:rFonts w:ascii="Cambria" w:cs="Cambria" w:eastAsia="Cambria" w:hAnsi="Cambria"/>
                <w:color w:val="2D2D2D"/>
                <w:sz w:val="19"/>
                <w:szCs w:val="19"/>
              </w:rPr>
              <w:t xml:space="preserve">.</w:t>
            </w:r>
          </w:p>
        </w:tc>
      </w:tr>
    </w:tbl>
    <w:p>
      <w:pPr>
        <w:spacing w:after="220"/>
      </w:pPr>
    </w:p>
    <w:p>
      <w:pPr>
        <w:spacing w:after="260" w:line="265"/>
      </w:pPr>
      <w:r>
        <w:rPr>
          <w:rFonts w:ascii="Cambria" w:cs="Cambria" w:eastAsia="Cambria" w:hAnsi="Cambria"/>
          <w:i/>
          <w:iCs/>
          <w:color w:val="6E6E6E"/>
          <w:sz w:val="18"/>
          <w:szCs w:val="18"/>
        </w:rPr>
        <w:t xml:space="preserve">Mecánica y cronograma del proyecto integrador en </w:t>
      </w:r>
      <w:r>
        <w:rPr>
          <w:rFonts w:ascii="Consolas" w:cs="Consolas" w:eastAsia="Consolas" w:hAnsi="Consolas"/>
          <w:i/>
          <w:iCs/>
          <w:color w:val="7A1526"/>
          <w:sz w:val="16"/>
          <w:szCs w:val="16"/>
        </w:rPr>
        <w:t xml:space="preserve">guia_proyecto.docx</w:t>
      </w:r>
      <w:r>
        <w:rPr>
          <w:rFonts w:ascii="Cambria" w:cs="Cambria" w:eastAsia="Cambria" w:hAnsi="Cambria"/>
          <w:i/>
          <w:iCs/>
          <w:color w:val="6E6E6E"/>
          <w:sz w:val="18"/>
          <w:szCs w:val="18"/>
        </w:rPr>
        <w:t xml:space="preserve">. Con esta sesión el curso separa de forma explícita </w:t>
      </w:r>
      <w:r>
        <w:rPr>
          <w:rFonts w:ascii="Cambria" w:cs="Cambria" w:eastAsia="Cambria" w:hAnsi="Cambria"/>
          <w:b/>
          <w:bCs/>
          <w:i/>
          <w:iCs/>
          <w:color w:val="6E6E6E"/>
          <w:sz w:val="18"/>
          <w:szCs w:val="18"/>
        </w:rPr>
        <w:t xml:space="preserve">correlación de causalidad</w:t>
      </w:r>
      <w:r>
        <w:rPr>
          <w:rFonts w:ascii="Cambria" w:cs="Cambria" w:eastAsia="Cambria" w:hAnsi="Cambria"/>
          <w:i/>
          <w:iCs/>
          <w:color w:val="6E6E6E"/>
          <w:sz w:val="18"/>
          <w:szCs w:val="18"/>
        </w:rPr>
        <w:t xml:space="preserve">: desde aquí avanza a análisis de supervivencia (S13) y sistemas de recomendación (S14), siempre con el mismo protocolo — empezar en el paper que fundó la técnica, replicar su resultado y recién entonces llevarlo a los datos de la organización.</w:t>
      </w:r>
    </w:p>
    <w:p>
      <w:pPr>
        <w:keepNext/>
        <w:spacing w:after="110" w:before="240"/>
      </w:pPr>
      <w:r>
        <w:rPr>
          <w:rFonts w:ascii="Calibri" w:cs="Calibri" w:eastAsia="Calibri" w:hAnsi="Calibri"/>
          <w:b/>
          <w:bCs/>
          <w:color w:val="7A1526"/>
          <w:sz w:val="21"/>
          <w:szCs w:val="21"/>
        </w:rPr>
        <w:t xml:space="preserve">5. Checklist final de autoevaluación</w:t>
      </w:r>
    </w:p>
    <w:p>
      <w:pPr>
        <w:spacing w:after="140"/>
      </w:pPr>
      <w:r>
        <w:rPr>
          <w:rFonts w:ascii="Cambria" w:cs="Cambria" w:eastAsia="Cambria" w:hAnsi="Cambria"/>
          <w:i/>
          <w:iCs/>
          <w:color w:val="6E6E6E"/>
          <w:sz w:val="18"/>
          <w:szCs w:val="18"/>
        </w:rPr>
        <w:t xml:space="preserve">Verificación previa a la entrega. Ninguna casilla debe quedar vacía; los cinco targets se reprodujeron dentro de tolerancia y se sabe de dónde proviene cada uno.</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560"/>
        <w:gridCol w:w="640"/>
        <w:gridCol w:w="8880"/>
      </w:tblGrid>
      <w:tr>
        <w:trPr>
          <w:tblHeader/>
        </w:trPr>
        <w:tc>
          <w:tcPr>
            <w:tcW w:type="dxa" w:w="56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pPr>
              <w:jc w:val="center"/>
            </w:pPr>
            <w:r>
              <w:rPr>
                <w:rFonts w:ascii="Calibri" w:cs="Calibri" w:eastAsia="Calibri" w:hAnsi="Calibri"/>
                <w:b/>
                <w:bCs/>
                <w:color w:val="FFFFFF"/>
                <w:sz w:val="15"/>
                <w:szCs w:val="15"/>
              </w:rPr>
              <w:t xml:space="preserve">✔</w:t>
            </w:r>
          </w:p>
        </w:tc>
        <w:tc>
          <w:tcPr>
            <w:tcW w:type="dxa" w:w="64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pPr>
              <w:jc w:val="center"/>
            </w:pPr>
            <w:r>
              <w:rPr>
                <w:rFonts w:ascii="Calibri" w:cs="Calibri" w:eastAsia="Calibri" w:hAnsi="Calibri"/>
                <w:b/>
                <w:bCs/>
                <w:color w:val="FFFFFF"/>
                <w:sz w:val="15"/>
                <w:szCs w:val="15"/>
              </w:rPr>
              <w:t xml:space="preserve">N.º</w:t>
            </w:r>
          </w:p>
        </w:tc>
        <w:tc>
          <w:tcPr>
            <w:tcW w:type="dxa" w:w="888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CRITERIO</w:t>
            </w:r>
          </w:p>
        </w:tc>
      </w:tr>
      <w:tr>
        <w:trPr>
          <w:cantSplit/>
        </w:trPr>
        <w:tc>
          <w:tcPr>
            <w:tcW w:type="dxa" w:w="5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vAlign w:val="center"/>
          </w:tcPr>
          <w:p>
            <w:pPr>
              <w:jc w:val="center"/>
            </w:pPr>
            <w:r>
              <w:rPr>
                <w:rFonts w:ascii="Calibri" w:cs="Calibri" w:eastAsia="Calibri" w:hAnsi="Calibri"/>
                <w:color w:val="7A1526"/>
                <w:sz w:val="24"/>
                <w:szCs w:val="24"/>
              </w:rPr>
              <w:t xml:space="preserve">☐</w:t>
            </w:r>
          </w:p>
        </w:tc>
        <w:tc>
          <w:tcPr>
            <w:tcW w:type="dxa" w:w="64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vAlign w:val="center"/>
          </w:tcPr>
          <w:p>
            <w:pPr>
              <w:jc w:val="center"/>
            </w:pPr>
            <w:r>
              <w:rPr>
                <w:rFonts w:ascii="Calibri" w:cs="Calibri" w:eastAsia="Calibri" w:hAnsi="Calibri"/>
                <w:b/>
                <w:bCs/>
                <w:color w:val="7A1526"/>
                <w:sz w:val="18"/>
                <w:szCs w:val="18"/>
              </w:rPr>
              <w:t xml:space="preserve">1</w:t>
            </w:r>
          </w:p>
        </w:tc>
        <w:tc>
          <w:tcPr>
            <w:tcW w:type="dxa" w:w="88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pPr>
              <w:spacing w:line="260"/>
            </w:pPr>
            <w:r>
              <w:rPr>
                <w:rFonts w:ascii="Cambria" w:cs="Cambria" w:eastAsia="Cambria" w:hAnsi="Cambria"/>
                <w:color w:val="2D2D2D"/>
                <w:sz w:val="19"/>
                <w:szCs w:val="19"/>
              </w:rPr>
              <w:t xml:space="preserve">Se formuló por escrito el </w:t>
            </w:r>
            <w:r>
              <w:rPr>
                <w:rFonts w:ascii="Cambria" w:cs="Cambria" w:eastAsia="Cambria" w:hAnsi="Cambria"/>
                <w:b/>
                <w:bCs/>
                <w:color w:val="2D2D2D"/>
                <w:sz w:val="19"/>
                <w:szCs w:val="19"/>
              </w:rPr>
              <w:t xml:space="preserve">contrafactual</w:t>
            </w:r>
            <w:r>
              <w:rPr>
                <w:rFonts w:ascii="Cambria" w:cs="Cambria" w:eastAsia="Cambria" w:hAnsi="Cambria"/>
                <w:color w:val="2D2D2D"/>
                <w:sz w:val="19"/>
                <w:szCs w:val="19"/>
              </w:rPr>
              <w:t xml:space="preserve"> de la campaña (Y(0), Y(1), ATT) y se explicó por qué la aleatorización es el patrón oro (poder/MDE, enlace S02).</w:t>
            </w:r>
          </w:p>
        </w:tc>
      </w:tr>
      <w:tr>
        <w:trPr>
          <w:cantSplit/>
        </w:trPr>
        <w:tc>
          <w:tcPr>
            <w:tcW w:type="dxa" w:w="56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vAlign w:val="center"/>
          </w:tcPr>
          <w:p>
            <w:pPr>
              <w:jc w:val="center"/>
            </w:pPr>
            <w:r>
              <w:rPr>
                <w:rFonts w:ascii="Calibri" w:cs="Calibri" w:eastAsia="Calibri" w:hAnsi="Calibri"/>
                <w:color w:val="7A1526"/>
                <w:sz w:val="24"/>
                <w:szCs w:val="24"/>
              </w:rPr>
              <w:t xml:space="preserve">☐</w:t>
            </w:r>
          </w:p>
        </w:tc>
        <w:tc>
          <w:tcPr>
            <w:tcW w:type="dxa" w:w="64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vAlign w:val="center"/>
          </w:tcPr>
          <w:p>
            <w:pPr>
              <w:jc w:val="center"/>
            </w:pPr>
            <w:r>
              <w:rPr>
                <w:rFonts w:ascii="Calibri" w:cs="Calibri" w:eastAsia="Calibri" w:hAnsi="Calibri"/>
                <w:b/>
                <w:bCs/>
                <w:color w:val="7A1526"/>
                <w:sz w:val="18"/>
                <w:szCs w:val="18"/>
              </w:rPr>
              <w:t xml:space="preserve">2</w:t>
            </w:r>
          </w:p>
        </w:tc>
        <w:tc>
          <w:tcPr>
            <w:tcW w:type="dxa" w:w="88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pPr>
              <w:spacing w:line="260"/>
            </w:pPr>
            <w:r>
              <w:rPr>
                <w:rFonts w:ascii="Cambria" w:cs="Cambria" w:eastAsia="Cambria" w:hAnsi="Cambria"/>
                <w:color w:val="2D2D2D"/>
                <w:sz w:val="19"/>
                <w:szCs w:val="19"/>
              </w:rPr>
              <w:t xml:space="preserve">Se dibujó el </w:t>
            </w:r>
            <w:r>
              <w:rPr>
                <w:rFonts w:ascii="Cambria" w:cs="Cambria" w:eastAsia="Cambria" w:hAnsi="Cambria"/>
                <w:b/>
                <w:bCs/>
                <w:color w:val="2D2D2D"/>
                <w:sz w:val="19"/>
                <w:szCs w:val="19"/>
              </w:rPr>
              <w:t xml:space="preserve">DAG</w:t>
            </w:r>
            <w:r>
              <w:rPr>
                <w:rFonts w:ascii="Cambria" w:cs="Cambria" w:eastAsia="Cambria" w:hAnsi="Cambria"/>
                <w:color w:val="2D2D2D"/>
                <w:sz w:val="19"/>
                <w:szCs w:val="19"/>
              </w:rPr>
              <w:t xml:space="preserve"> del negocio y se derivó el conjunto de ajuste </w:t>
            </w:r>
            <w:r>
              <w:rPr>
                <w:rFonts w:ascii="Cambria" w:cs="Cambria" w:eastAsia="Cambria" w:hAnsi="Cambria"/>
                <w:b/>
                <w:bCs/>
                <w:color w:val="2D2D2D"/>
                <w:sz w:val="19"/>
                <w:szCs w:val="19"/>
              </w:rPr>
              <w:t xml:space="preserve">{</w:t>
            </w:r>
            <w:r>
              <w:rPr>
                <w:rFonts w:ascii="Consolas" w:cs="Consolas" w:eastAsia="Consolas" w:hAnsi="Consolas"/>
                <w:b/>
                <w:bCs/>
                <w:color w:val="7A1526"/>
                <w:sz w:val="17"/>
                <w:szCs w:val="17"/>
              </w:rPr>
              <w:t xml:space="preserve">engagement</w:t>
            </w:r>
            <w:r>
              <w:rPr>
                <w:rFonts w:ascii="Cambria" w:cs="Cambria" w:eastAsia="Cambria" w:hAnsi="Cambria"/>
                <w:b/>
                <w:bCs/>
                <w:color w:val="2D2D2D"/>
                <w:sz w:val="19"/>
                <w:szCs w:val="19"/>
              </w:rPr>
              <w:t xml:space="preserve">}</w:t>
            </w:r>
            <w:r>
              <w:rPr>
                <w:rFonts w:ascii="Cambria" w:cs="Cambria" w:eastAsia="Cambria" w:hAnsi="Cambria"/>
                <w:color w:val="2D2D2D"/>
                <w:sz w:val="19"/>
                <w:szCs w:val="19"/>
              </w:rPr>
              <w:t xml:space="preserve"> que cierra la puerta trasera; se argumentó </w:t>
            </w:r>
            <w:r>
              <w:rPr>
                <w:rFonts w:ascii="Cambria" w:cs="Cambria" w:eastAsia="Cambria" w:hAnsi="Cambria"/>
                <w:b/>
                <w:bCs/>
                <w:color w:val="2D2D2D"/>
                <w:sz w:val="19"/>
                <w:szCs w:val="19"/>
              </w:rPr>
              <w:t xml:space="preserve">no</w:t>
            </w:r>
            <w:r>
              <w:rPr>
                <w:rFonts w:ascii="Cambria" w:cs="Cambria" w:eastAsia="Cambria" w:hAnsi="Cambria"/>
                <w:color w:val="2D2D2D"/>
                <w:sz w:val="19"/>
                <w:szCs w:val="19"/>
              </w:rPr>
              <w:t xml:space="preserve"> controlar mediadores ni el collider — </w:t>
            </w:r>
            <w:r>
              <w:rPr>
                <w:rFonts w:ascii="Cambria" w:cs="Cambria" w:eastAsia="Cambria" w:hAnsi="Cambria"/>
                <w:b/>
                <w:bCs/>
                <w:color w:val="2D2D2D"/>
                <w:sz w:val="19"/>
                <w:szCs w:val="19"/>
              </w:rPr>
              <w:t xml:space="preserve">drill 1</w:t>
            </w:r>
            <w:r>
              <w:rPr>
                <w:rFonts w:ascii="Cambria" w:cs="Cambria" w:eastAsia="Cambria" w:hAnsi="Cambria"/>
                <w:color w:val="2D2D2D"/>
                <w:sz w:val="19"/>
                <w:szCs w:val="19"/>
              </w:rPr>
              <w:t xml:space="preserve">.</w:t>
            </w:r>
          </w:p>
        </w:tc>
      </w:tr>
      <w:tr>
        <w:trPr>
          <w:cantSplit/>
        </w:trPr>
        <w:tc>
          <w:tcPr>
            <w:tcW w:type="dxa" w:w="5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vAlign w:val="center"/>
          </w:tcPr>
          <w:p>
            <w:pPr>
              <w:jc w:val="center"/>
            </w:pPr>
            <w:r>
              <w:rPr>
                <w:rFonts w:ascii="Calibri" w:cs="Calibri" w:eastAsia="Calibri" w:hAnsi="Calibri"/>
                <w:color w:val="7A1526"/>
                <w:sz w:val="24"/>
                <w:szCs w:val="24"/>
              </w:rPr>
              <w:t xml:space="preserve">☐</w:t>
            </w:r>
          </w:p>
        </w:tc>
        <w:tc>
          <w:tcPr>
            <w:tcW w:type="dxa" w:w="64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vAlign w:val="center"/>
          </w:tcPr>
          <w:p>
            <w:pPr>
              <w:jc w:val="center"/>
            </w:pPr>
            <w:r>
              <w:rPr>
                <w:rFonts w:ascii="Calibri" w:cs="Calibri" w:eastAsia="Calibri" w:hAnsi="Calibri"/>
                <w:b/>
                <w:bCs/>
                <w:color w:val="7A1526"/>
                <w:sz w:val="18"/>
                <w:szCs w:val="18"/>
              </w:rPr>
              <w:t xml:space="preserve">3</w:t>
            </w:r>
          </w:p>
        </w:tc>
        <w:tc>
          <w:tcPr>
            <w:tcW w:type="dxa" w:w="88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pPr>
              <w:spacing w:line="260"/>
            </w:pPr>
            <w:r>
              <w:rPr>
                <w:rFonts w:ascii="Cambria" w:cs="Cambria" w:eastAsia="Cambria" w:hAnsi="Cambria"/>
                <w:color w:val="2D2D2D"/>
                <w:sz w:val="19"/>
                <w:szCs w:val="19"/>
              </w:rPr>
              <w:t xml:space="preserve">Se cargó </w:t>
            </w:r>
            <w:r>
              <w:rPr>
                <w:rFonts w:ascii="Cambria" w:cs="Cambria" w:eastAsia="Cambria" w:hAnsi="Cambria"/>
                <w:b/>
                <w:bCs/>
                <w:color w:val="2D2D2D"/>
                <w:sz w:val="19"/>
                <w:szCs w:val="19"/>
              </w:rPr>
              <w:t xml:space="preserve">Card &amp; Krueger</w:t>
            </w:r>
            <w:r>
              <w:rPr>
                <w:rFonts w:ascii="Cambria" w:cs="Cambria" w:eastAsia="Cambria" w:hAnsi="Cambria"/>
                <w:color w:val="2D2D2D"/>
                <w:sz w:val="19"/>
                <w:szCs w:val="19"/>
              </w:rPr>
              <w:t xml:space="preserve"> (</w:t>
            </w:r>
            <w:r>
              <w:rPr>
                <w:rFonts w:ascii="Consolas" w:cs="Consolas" w:eastAsia="Consolas" w:hAnsi="Consolas"/>
                <w:color w:val="7A1526"/>
                <w:sz w:val="17"/>
                <w:szCs w:val="17"/>
              </w:rPr>
              <w:t xml:space="preserve">public.dat</w:t>
            </w:r>
            <w:r>
              <w:rPr>
                <w:rFonts w:ascii="Cambria" w:cs="Cambria" w:eastAsia="Cambria" w:hAnsi="Cambria"/>
                <w:color w:val="2D2D2D"/>
                <w:sz w:val="19"/>
                <w:szCs w:val="19"/>
              </w:rPr>
              <w:t xml:space="preserve">, </w:t>
            </w:r>
            <w:r>
              <w:rPr>
                <w:rFonts w:ascii="Cambria" w:cs="Cambria" w:eastAsia="Cambria" w:hAnsi="Cambria"/>
                <w:b/>
                <w:bCs/>
                <w:color w:val="2D2D2D"/>
                <w:sz w:val="19"/>
                <w:szCs w:val="19"/>
              </w:rPr>
              <w:t xml:space="preserve">410 restaurantes</w:t>
            </w:r>
            <w:r>
              <w:rPr>
                <w:rFonts w:ascii="Cambria" w:cs="Cambria" w:eastAsia="Cambria" w:hAnsi="Cambria"/>
                <w:color w:val="2D2D2D"/>
                <w:sz w:val="19"/>
                <w:szCs w:val="19"/>
              </w:rPr>
              <w:t xml:space="preserve">, A2) con la fecha de verificación DD/MM/YYYY, se calculó el </w:t>
            </w:r>
            <w:r>
              <w:rPr>
                <w:rFonts w:ascii="Consolas" w:cs="Consolas" w:eastAsia="Consolas" w:hAnsi="Consolas"/>
                <w:color w:val="7A1526"/>
                <w:sz w:val="17"/>
                <w:szCs w:val="17"/>
              </w:rPr>
              <w:t xml:space="preserve">FTE</w:t>
            </w:r>
            <w:r>
              <w:rPr>
                <w:rFonts w:ascii="Cambria" w:cs="Cambria" w:eastAsia="Cambria" w:hAnsi="Cambria"/>
                <w:color w:val="2D2D2D"/>
                <w:sz w:val="19"/>
                <w:szCs w:val="19"/>
              </w:rPr>
              <w:t xml:space="preserve"> por ola, se verificó </w:t>
            </w:r>
            <w:r>
              <w:rPr>
                <w:rFonts w:ascii="Cambria" w:cs="Cambria" w:eastAsia="Cambria" w:hAnsi="Cambria"/>
                <w:b/>
                <w:bCs/>
                <w:color w:val="2D2D2D"/>
                <w:sz w:val="19"/>
                <w:szCs w:val="19"/>
              </w:rPr>
              <w:t xml:space="preserve">tendencias paralelas</w:t>
            </w:r>
            <w:r>
              <w:rPr>
                <w:rFonts w:ascii="Cambria" w:cs="Cambria" w:eastAsia="Cambria" w:hAnsi="Cambria"/>
                <w:color w:val="2D2D2D"/>
                <w:sz w:val="19"/>
                <w:szCs w:val="19"/>
              </w:rPr>
              <w:t xml:space="preserve"> y se declaró la limitación de dos olas — </w:t>
            </w:r>
            <w:r>
              <w:rPr>
                <w:rFonts w:ascii="Cambria" w:cs="Cambria" w:eastAsia="Cambria" w:hAnsi="Cambria"/>
                <w:b/>
                <w:bCs/>
                <w:color w:val="2D2D2D"/>
                <w:sz w:val="19"/>
                <w:szCs w:val="19"/>
              </w:rPr>
              <w:t xml:space="preserve">drill 2</w:t>
            </w:r>
            <w:r>
              <w:rPr>
                <w:rFonts w:ascii="Cambria" w:cs="Cambria" w:eastAsia="Cambria" w:hAnsi="Cambria"/>
                <w:color w:val="2D2D2D"/>
                <w:sz w:val="19"/>
                <w:szCs w:val="19"/>
              </w:rPr>
              <w:t xml:space="preserve">.</w:t>
            </w:r>
          </w:p>
        </w:tc>
      </w:tr>
      <w:tr>
        <w:trPr>
          <w:cantSplit/>
        </w:trPr>
        <w:tc>
          <w:tcPr>
            <w:tcW w:type="dxa" w:w="56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vAlign w:val="center"/>
          </w:tcPr>
          <w:p>
            <w:pPr>
              <w:jc w:val="center"/>
            </w:pPr>
            <w:r>
              <w:rPr>
                <w:rFonts w:ascii="Calibri" w:cs="Calibri" w:eastAsia="Calibri" w:hAnsi="Calibri"/>
                <w:color w:val="7A1526"/>
                <w:sz w:val="24"/>
                <w:szCs w:val="24"/>
              </w:rPr>
              <w:t xml:space="preserve">☐</w:t>
            </w:r>
          </w:p>
        </w:tc>
        <w:tc>
          <w:tcPr>
            <w:tcW w:type="dxa" w:w="64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vAlign w:val="center"/>
          </w:tcPr>
          <w:p>
            <w:pPr>
              <w:jc w:val="center"/>
            </w:pPr>
            <w:r>
              <w:rPr>
                <w:rFonts w:ascii="Calibri" w:cs="Calibri" w:eastAsia="Calibri" w:hAnsi="Calibri"/>
                <w:b/>
                <w:bCs/>
                <w:color w:val="7A1526"/>
                <w:sz w:val="18"/>
                <w:szCs w:val="18"/>
              </w:rPr>
              <w:t xml:space="preserve">4</w:t>
            </w:r>
          </w:p>
        </w:tc>
        <w:tc>
          <w:tcPr>
            <w:tcW w:type="dxa" w:w="88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pPr>
              <w:spacing w:line="260"/>
            </w:pPr>
            <w:r>
              <w:rPr>
                <w:rFonts w:ascii="Cambria" w:cs="Cambria" w:eastAsia="Cambria" w:hAnsi="Cambria"/>
                <w:color w:val="2D2D2D"/>
                <w:sz w:val="19"/>
                <w:szCs w:val="19"/>
              </w:rPr>
              <w:t xml:space="preserve">Se obtuvo la tabla 2×2 (20,44/23,33 </w:t>
            </w:r>
            <w:r>
              <w:rPr>
                <w:rFonts w:ascii="Calibri" w:cs="Calibri" w:eastAsia="Calibri" w:hAnsi="Calibri"/>
                <w:color w:val="2D2D2D"/>
                <w:sz w:val="19"/>
                <w:szCs w:val="19"/>
              </w:rPr>
              <w:t xml:space="preserve">→</w:t>
            </w:r>
            <w:r>
              <w:rPr>
                <w:rFonts w:ascii="Cambria" w:cs="Cambria" w:eastAsia="Cambria" w:hAnsi="Cambria"/>
                <w:color w:val="2D2D2D"/>
                <w:sz w:val="19"/>
                <w:szCs w:val="19"/>
              </w:rPr>
              <w:t xml:space="preserve"> 21,03/21,17) y el </w:t>
            </w:r>
            <w:r>
              <w:rPr>
                <w:rFonts w:ascii="Cambria" w:cs="Cambria" w:eastAsia="Cambria" w:hAnsi="Cambria"/>
                <w:b/>
                <w:bCs/>
                <w:color w:val="2D2D2D"/>
                <w:sz w:val="19"/>
                <w:szCs w:val="19"/>
              </w:rPr>
              <w:t xml:space="preserve">DiD +2,75 (#1)</w:t>
            </w:r>
            <w:r>
              <w:rPr>
                <w:rFonts w:ascii="Cambria" w:cs="Cambria" w:eastAsia="Cambria" w:hAnsi="Cambria"/>
                <w:color w:val="2D2D2D"/>
                <w:sz w:val="19"/>
                <w:szCs w:val="19"/>
              </w:rPr>
              <w:t xml:space="preserve">, positivo, con el coeficiente </w:t>
            </w:r>
            <w:r>
              <w:rPr>
                <w:rFonts w:ascii="Consolas" w:cs="Consolas" w:eastAsia="Consolas" w:hAnsi="Consolas"/>
                <w:color w:val="7A1526"/>
                <w:sz w:val="17"/>
                <w:szCs w:val="17"/>
              </w:rPr>
              <w:t xml:space="preserve">nj:post</w:t>
            </w:r>
            <w:r>
              <w:rPr>
                <w:rFonts w:ascii="Cambria" w:cs="Cambria" w:eastAsia="Cambria" w:hAnsi="Cambria"/>
                <w:color w:val="2D2D2D"/>
                <w:sz w:val="19"/>
                <w:szCs w:val="19"/>
              </w:rPr>
              <w:t xml:space="preserve"> (</w:t>
            </w:r>
            <w:r>
              <w:rPr>
                <w:rFonts w:ascii="Cambria" w:cs="Cambria" w:eastAsia="Cambria" w:hAnsi="Cambria"/>
                <w:b/>
                <w:bCs/>
                <w:color w:val="2D2D2D"/>
                <w:sz w:val="19"/>
                <w:szCs w:val="19"/>
              </w:rPr>
              <w:t xml:space="preserve">A1</w:t>
            </w:r>
            <w:r>
              <w:rPr>
                <w:rFonts w:ascii="Cambria" w:cs="Cambria" w:eastAsia="Cambria" w:hAnsi="Cambria"/>
                <w:color w:val="2D2D2D"/>
                <w:sz w:val="19"/>
                <w:szCs w:val="19"/>
              </w:rPr>
              <w:t xml:space="preserve">: +2,750, SE 1,339).</w:t>
            </w:r>
          </w:p>
        </w:tc>
      </w:tr>
      <w:tr>
        <w:trPr>
          <w:cantSplit/>
        </w:trPr>
        <w:tc>
          <w:tcPr>
            <w:tcW w:type="dxa" w:w="5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vAlign w:val="center"/>
          </w:tcPr>
          <w:p>
            <w:pPr>
              <w:jc w:val="center"/>
            </w:pPr>
            <w:r>
              <w:rPr>
                <w:rFonts w:ascii="Calibri" w:cs="Calibri" w:eastAsia="Calibri" w:hAnsi="Calibri"/>
                <w:color w:val="7A1526"/>
                <w:sz w:val="24"/>
                <w:szCs w:val="24"/>
              </w:rPr>
              <w:t xml:space="preserve">☐</w:t>
            </w:r>
          </w:p>
        </w:tc>
        <w:tc>
          <w:tcPr>
            <w:tcW w:type="dxa" w:w="64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vAlign w:val="center"/>
          </w:tcPr>
          <w:p>
            <w:pPr>
              <w:jc w:val="center"/>
            </w:pPr>
            <w:r>
              <w:rPr>
                <w:rFonts w:ascii="Calibri" w:cs="Calibri" w:eastAsia="Calibri" w:hAnsi="Calibri"/>
                <w:b/>
                <w:bCs/>
                <w:color w:val="7A1526"/>
                <w:sz w:val="18"/>
                <w:szCs w:val="18"/>
              </w:rPr>
              <w:t xml:space="preserve">5</w:t>
            </w:r>
          </w:p>
        </w:tc>
        <w:tc>
          <w:tcPr>
            <w:tcW w:type="dxa" w:w="88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pPr>
              <w:spacing w:line="260"/>
            </w:pPr>
            <w:r>
              <w:rPr>
                <w:rFonts w:ascii="Cambria" w:cs="Cambria" w:eastAsia="Cambria" w:hAnsi="Cambria"/>
                <w:color w:val="2D2D2D"/>
                <w:sz w:val="19"/>
                <w:szCs w:val="19"/>
              </w:rPr>
              <w:t xml:space="preserve">Se calculó el </w:t>
            </w:r>
            <w:r>
              <w:rPr>
                <w:rFonts w:ascii="Cambria" w:cs="Cambria" w:eastAsia="Cambria" w:hAnsi="Cambria"/>
                <w:b/>
                <w:bCs/>
                <w:color w:val="2D2D2D"/>
                <w:sz w:val="19"/>
                <w:szCs w:val="19"/>
              </w:rPr>
              <w:t xml:space="preserve">ATT experimental +1 794 (#2)</w:t>
            </w:r>
            <w:r>
              <w:rPr>
                <w:rFonts w:ascii="Cambria" w:cs="Cambria" w:eastAsia="Cambria" w:hAnsi="Cambria"/>
                <w:color w:val="2D2D2D"/>
                <w:sz w:val="19"/>
                <w:szCs w:val="19"/>
              </w:rPr>
              <w:t xml:space="preserve"> y el </w:t>
            </w:r>
            <w:r>
              <w:rPr>
                <w:rFonts w:ascii="Cambria" w:cs="Cambria" w:eastAsia="Cambria" w:hAnsi="Cambria"/>
                <w:b/>
                <w:bCs/>
                <w:color w:val="2D2D2D"/>
                <w:sz w:val="19"/>
                <w:szCs w:val="19"/>
              </w:rPr>
              <w:t xml:space="preserve">naive observacional −8 498 (#3)</w:t>
            </w:r>
            <w:r>
              <w:rPr>
                <w:rFonts w:ascii="Cambria" w:cs="Cambria" w:eastAsia="Cambria" w:hAnsi="Cambria"/>
                <w:color w:val="2D2D2D"/>
                <w:sz w:val="19"/>
                <w:szCs w:val="19"/>
              </w:rPr>
              <w:t xml:space="preserve">, y se explicó el sesgo de selección (cambio de signo).</w:t>
            </w:r>
          </w:p>
        </w:tc>
      </w:tr>
      <w:tr>
        <w:trPr>
          <w:cantSplit/>
        </w:trPr>
        <w:tc>
          <w:tcPr>
            <w:tcW w:type="dxa" w:w="56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vAlign w:val="center"/>
          </w:tcPr>
          <w:p>
            <w:pPr>
              <w:jc w:val="center"/>
            </w:pPr>
            <w:r>
              <w:rPr>
                <w:rFonts w:ascii="Calibri" w:cs="Calibri" w:eastAsia="Calibri" w:hAnsi="Calibri"/>
                <w:color w:val="7A1526"/>
                <w:sz w:val="24"/>
                <w:szCs w:val="24"/>
              </w:rPr>
              <w:t xml:space="preserve">☐</w:t>
            </w:r>
          </w:p>
        </w:tc>
        <w:tc>
          <w:tcPr>
            <w:tcW w:type="dxa" w:w="64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vAlign w:val="center"/>
          </w:tcPr>
          <w:p>
            <w:pPr>
              <w:jc w:val="center"/>
            </w:pPr>
            <w:r>
              <w:rPr>
                <w:rFonts w:ascii="Calibri" w:cs="Calibri" w:eastAsia="Calibri" w:hAnsi="Calibri"/>
                <w:b/>
                <w:bCs/>
                <w:color w:val="7A1526"/>
                <w:sz w:val="18"/>
                <w:szCs w:val="18"/>
              </w:rPr>
              <w:t xml:space="preserve">6</w:t>
            </w:r>
          </w:p>
        </w:tc>
        <w:tc>
          <w:tcPr>
            <w:tcW w:type="dxa" w:w="88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pPr>
              <w:spacing w:line="260"/>
            </w:pPr>
            <w:r>
              <w:rPr>
                <w:rFonts w:ascii="Cambria" w:cs="Cambria" w:eastAsia="Cambria" w:hAnsi="Cambria"/>
                <w:color w:val="2D2D2D"/>
                <w:sz w:val="19"/>
                <w:szCs w:val="19"/>
              </w:rPr>
              <w:t xml:space="preserve">Se estimó el propensity (logística estandarizada), se recortó a </w:t>
            </w:r>
            <w:r>
              <w:rPr>
                <w:rFonts w:ascii="Cambria" w:cs="Cambria" w:eastAsia="Cambria" w:hAnsi="Cambria"/>
                <w:b/>
                <w:bCs/>
                <w:color w:val="2D2D2D"/>
                <w:sz w:val="19"/>
                <w:szCs w:val="19"/>
              </w:rPr>
              <w:t xml:space="preserve">soporte común</w:t>
            </w:r>
            <w:r>
              <w:rPr>
                <w:rFonts w:ascii="Cambria" w:cs="Cambria" w:eastAsia="Cambria" w:hAnsi="Cambria"/>
                <w:color w:val="2D2D2D"/>
                <w:sz w:val="19"/>
                <w:szCs w:val="19"/>
              </w:rPr>
              <w:t xml:space="preserve">, se emparejó 1-NN y se verificó el </w:t>
            </w:r>
            <w:r>
              <w:rPr>
                <w:rFonts w:ascii="Cambria" w:cs="Cambria" w:eastAsia="Cambria" w:hAnsi="Cambria"/>
                <w:b/>
                <w:bCs/>
                <w:color w:val="2D2D2D"/>
                <w:sz w:val="19"/>
                <w:szCs w:val="19"/>
              </w:rPr>
              <w:t xml:space="preserve">balance</w:t>
            </w:r>
            <w:r>
              <w:rPr>
                <w:rFonts w:ascii="Cambria" w:cs="Cambria" w:eastAsia="Cambria" w:hAnsi="Cambria"/>
                <w:color w:val="2D2D2D"/>
                <w:sz w:val="19"/>
                <w:szCs w:val="19"/>
              </w:rPr>
              <w:t xml:space="preserve"> (</w:t>
            </w:r>
            <w:r>
              <w:rPr>
                <w:rFonts w:ascii="Cambria" w:cs="Cambria" w:eastAsia="Cambria" w:hAnsi="Cambria"/>
                <w:b/>
                <w:bCs/>
                <w:color w:val="2D2D2D"/>
                <w:sz w:val="19"/>
                <w:szCs w:val="19"/>
              </w:rPr>
              <w:t xml:space="preserve">A3</w:t>
            </w:r>
            <w:r>
              <w:rPr>
                <w:rFonts w:ascii="Cambria" w:cs="Cambria" w:eastAsia="Cambria" w:hAnsi="Cambria"/>
                <w:color w:val="2D2D2D"/>
                <w:sz w:val="19"/>
                <w:szCs w:val="19"/>
              </w:rPr>
              <w:t xml:space="preserve">: SMD 0,60 </w:t>
            </w:r>
            <w:r>
              <w:rPr>
                <w:rFonts w:ascii="Calibri" w:cs="Calibri" w:eastAsia="Calibri" w:hAnsi="Calibri"/>
                <w:color w:val="2D2D2D"/>
                <w:sz w:val="19"/>
                <w:szCs w:val="19"/>
              </w:rPr>
              <w:t xml:space="preserve">→</w:t>
            </w:r>
            <w:r>
              <w:rPr>
                <w:rFonts w:ascii="Cambria" w:cs="Cambria" w:eastAsia="Cambria" w:hAnsi="Cambria"/>
                <w:color w:val="2D2D2D"/>
                <w:sz w:val="19"/>
                <w:szCs w:val="19"/>
              </w:rPr>
              <w:t xml:space="preserve"> 0,06); se obtuvo el </w:t>
            </w:r>
            <w:r>
              <w:rPr>
                <w:rFonts w:ascii="Cambria" w:cs="Cambria" w:eastAsia="Cambria" w:hAnsi="Cambria"/>
                <w:b/>
                <w:bCs/>
                <w:color w:val="2D2D2D"/>
                <w:sz w:val="19"/>
                <w:szCs w:val="19"/>
              </w:rPr>
              <w:t xml:space="preserve">ATT del PSM +1 745 (#4)</w:t>
            </w:r>
            <w:r>
              <w:rPr>
                <w:rFonts w:ascii="Cambria" w:cs="Cambria" w:eastAsia="Cambria" w:hAnsi="Cambria"/>
                <w:color w:val="2D2D2D"/>
                <w:sz w:val="19"/>
                <w:szCs w:val="19"/>
              </w:rPr>
              <w:t xml:space="preserve"> — </w:t>
            </w:r>
            <w:r>
              <w:rPr>
                <w:rFonts w:ascii="Cambria" w:cs="Cambria" w:eastAsia="Cambria" w:hAnsi="Cambria"/>
                <w:b/>
                <w:bCs/>
                <w:color w:val="2D2D2D"/>
                <w:sz w:val="19"/>
                <w:szCs w:val="19"/>
              </w:rPr>
              <w:t xml:space="preserve">drill 3</w:t>
            </w:r>
            <w:r>
              <w:rPr>
                <w:rFonts w:ascii="Cambria" w:cs="Cambria" w:eastAsia="Cambria" w:hAnsi="Cambria"/>
                <w:color w:val="2D2D2D"/>
                <w:sz w:val="19"/>
                <w:szCs w:val="19"/>
              </w:rPr>
              <w:t xml:space="preserve">.</w:t>
            </w:r>
          </w:p>
        </w:tc>
      </w:tr>
      <w:tr>
        <w:trPr>
          <w:cantSplit/>
        </w:trPr>
        <w:tc>
          <w:tcPr>
            <w:tcW w:type="dxa" w:w="5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vAlign w:val="center"/>
          </w:tcPr>
          <w:p>
            <w:pPr>
              <w:jc w:val="center"/>
            </w:pPr>
            <w:r>
              <w:rPr>
                <w:rFonts w:ascii="Calibri" w:cs="Calibri" w:eastAsia="Calibri" w:hAnsi="Calibri"/>
                <w:color w:val="7A1526"/>
                <w:sz w:val="24"/>
                <w:szCs w:val="24"/>
              </w:rPr>
              <w:t xml:space="preserve">☐</w:t>
            </w:r>
          </w:p>
        </w:tc>
        <w:tc>
          <w:tcPr>
            <w:tcW w:type="dxa" w:w="64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vAlign w:val="center"/>
          </w:tcPr>
          <w:p>
            <w:pPr>
              <w:jc w:val="center"/>
            </w:pPr>
            <w:r>
              <w:rPr>
                <w:rFonts w:ascii="Calibri" w:cs="Calibri" w:eastAsia="Calibri" w:hAnsi="Calibri"/>
                <w:b/>
                <w:bCs/>
                <w:color w:val="7A1526"/>
                <w:sz w:val="18"/>
                <w:szCs w:val="18"/>
              </w:rPr>
              <w:t xml:space="preserve">7</w:t>
            </w:r>
          </w:p>
        </w:tc>
        <w:tc>
          <w:tcPr>
            <w:tcW w:type="dxa" w:w="88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pPr>
              <w:spacing w:line="260"/>
            </w:pPr>
            <w:r>
              <w:rPr>
                <w:rFonts w:ascii="Cambria" w:cs="Cambria" w:eastAsia="Cambria" w:hAnsi="Cambria"/>
                <w:color w:val="2D2D2D"/>
                <w:sz w:val="19"/>
                <w:szCs w:val="19"/>
              </w:rPr>
              <w:t xml:space="preserve">Se contrastaron #1–#4 con los </w:t>
            </w:r>
            <w:r>
              <w:rPr>
                <w:rFonts w:ascii="Cambria" w:cs="Cambria" w:eastAsia="Cambria" w:hAnsi="Cambria"/>
                <w:b/>
                <w:bCs/>
                <w:color w:val="2D2D2D"/>
                <w:sz w:val="19"/>
                <w:szCs w:val="19"/>
              </w:rPr>
              <w:t xml:space="preserve">benchmarks publicados etiquetados</w:t>
            </w:r>
            <w:r>
              <w:rPr>
                <w:rFonts w:ascii="Cambria" w:cs="Cambria" w:eastAsia="Cambria" w:hAnsi="Cambria"/>
                <w:color w:val="2D2D2D"/>
                <w:sz w:val="19"/>
                <w:szCs w:val="19"/>
              </w:rPr>
              <w:t xml:space="preserve"> (Card &amp; Krueger +2,76/SE 1,36; Mixtape +1 794 / −8 498 / PSM ~1 640), en columna aparte.</w:t>
            </w:r>
          </w:p>
        </w:tc>
      </w:tr>
      <w:tr>
        <w:trPr>
          <w:cantSplit/>
        </w:trPr>
        <w:tc>
          <w:tcPr>
            <w:tcW w:type="dxa" w:w="56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vAlign w:val="center"/>
          </w:tcPr>
          <w:p>
            <w:pPr>
              <w:jc w:val="center"/>
            </w:pPr>
            <w:r>
              <w:rPr>
                <w:rFonts w:ascii="Calibri" w:cs="Calibri" w:eastAsia="Calibri" w:hAnsi="Calibri"/>
                <w:color w:val="7A1526"/>
                <w:sz w:val="24"/>
                <w:szCs w:val="24"/>
              </w:rPr>
              <w:t xml:space="preserve">☐</w:t>
            </w:r>
          </w:p>
        </w:tc>
        <w:tc>
          <w:tcPr>
            <w:tcW w:type="dxa" w:w="64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vAlign w:val="center"/>
          </w:tcPr>
          <w:p>
            <w:pPr>
              <w:jc w:val="center"/>
            </w:pPr>
            <w:r>
              <w:rPr>
                <w:rFonts w:ascii="Calibri" w:cs="Calibri" w:eastAsia="Calibri" w:hAnsi="Calibri"/>
                <w:b/>
                <w:bCs/>
                <w:color w:val="7A1526"/>
                <w:sz w:val="18"/>
                <w:szCs w:val="18"/>
              </w:rPr>
              <w:t xml:space="preserve">8</w:t>
            </w:r>
          </w:p>
        </w:tc>
        <w:tc>
          <w:tcPr>
            <w:tcW w:type="dxa" w:w="88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pPr>
              <w:spacing w:line="260"/>
            </w:pPr>
            <w:r>
              <w:rPr>
                <w:rFonts w:ascii="Cambria" w:cs="Cambria" w:eastAsia="Cambria" w:hAnsi="Cambria"/>
                <w:color w:val="2D2D2D"/>
                <w:sz w:val="19"/>
                <w:szCs w:val="19"/>
              </w:rPr>
              <w:t xml:space="preserve">Se generó el </w:t>
            </w:r>
            <w:r>
              <w:rPr>
                <w:rFonts w:ascii="Cambria" w:cs="Cambria" w:eastAsia="Cambria" w:hAnsi="Cambria"/>
                <w:b/>
                <w:bCs/>
                <w:color w:val="2D2D2D"/>
                <w:sz w:val="19"/>
                <w:szCs w:val="19"/>
              </w:rPr>
              <w:t xml:space="preserve">DGP</w:t>
            </w:r>
            <w:r>
              <w:rPr>
                <w:rFonts w:ascii="Cambria" w:cs="Cambria" w:eastAsia="Cambria" w:hAnsi="Cambria"/>
                <w:color w:val="2D2D2D"/>
                <w:sz w:val="19"/>
                <w:szCs w:val="19"/>
              </w:rPr>
              <w:t xml:space="preserve"> del negocio (semilla 20260719, N=5000, ATE 8,0) y se obtuvo el </w:t>
            </w:r>
            <w:r>
              <w:rPr>
                <w:rFonts w:ascii="Cambria" w:cs="Cambria" w:eastAsia="Cambria" w:hAnsi="Cambria"/>
                <w:b/>
                <w:bCs/>
                <w:color w:val="2D2D2D"/>
                <w:sz w:val="19"/>
                <w:szCs w:val="19"/>
              </w:rPr>
              <w:t xml:space="preserve">naive +23,6</w:t>
            </w:r>
            <w:r>
              <w:rPr>
                <w:rFonts w:ascii="Cambria" w:cs="Cambria" w:eastAsia="Cambria" w:hAnsi="Cambria"/>
                <w:color w:val="2D2D2D"/>
                <w:sz w:val="19"/>
                <w:szCs w:val="19"/>
              </w:rPr>
              <w:t xml:space="preserve"> (sesgado al alza).</w:t>
            </w:r>
          </w:p>
        </w:tc>
      </w:tr>
      <w:tr>
        <w:trPr>
          <w:cantSplit/>
        </w:trPr>
        <w:tc>
          <w:tcPr>
            <w:tcW w:type="dxa" w:w="5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vAlign w:val="center"/>
          </w:tcPr>
          <w:p>
            <w:pPr>
              <w:jc w:val="center"/>
            </w:pPr>
            <w:r>
              <w:rPr>
                <w:rFonts w:ascii="Calibri" w:cs="Calibri" w:eastAsia="Calibri" w:hAnsi="Calibri"/>
                <w:color w:val="7A1526"/>
                <w:sz w:val="24"/>
                <w:szCs w:val="24"/>
              </w:rPr>
              <w:t xml:space="preserve">☐</w:t>
            </w:r>
          </w:p>
        </w:tc>
        <w:tc>
          <w:tcPr>
            <w:tcW w:type="dxa" w:w="64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vAlign w:val="center"/>
          </w:tcPr>
          <w:p>
            <w:pPr>
              <w:jc w:val="center"/>
            </w:pPr>
            <w:r>
              <w:rPr>
                <w:rFonts w:ascii="Calibri" w:cs="Calibri" w:eastAsia="Calibri" w:hAnsi="Calibri"/>
                <w:b/>
                <w:bCs/>
                <w:color w:val="7A1526"/>
                <w:sz w:val="18"/>
                <w:szCs w:val="18"/>
              </w:rPr>
              <w:t xml:space="preserve">9</w:t>
            </w:r>
          </w:p>
        </w:tc>
        <w:tc>
          <w:tcPr>
            <w:tcW w:type="dxa" w:w="88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pPr>
              <w:spacing w:line="260"/>
            </w:pPr>
            <w:r>
              <w:rPr>
                <w:rFonts w:ascii="Cambria" w:cs="Cambria" w:eastAsia="Cambria" w:hAnsi="Cambria"/>
                <w:color w:val="2D2D2D"/>
                <w:sz w:val="19"/>
                <w:szCs w:val="19"/>
              </w:rPr>
              <w:t xml:space="preserve">Se ajustó con </w:t>
            </w:r>
            <w:r>
              <w:rPr>
                <w:rFonts w:ascii="Cambria" w:cs="Cambria" w:eastAsia="Cambria" w:hAnsi="Cambria"/>
                <w:b/>
                <w:bCs/>
                <w:color w:val="2D2D2D"/>
                <w:sz w:val="19"/>
                <w:szCs w:val="19"/>
              </w:rPr>
              <w:t xml:space="preserve">DoWhy</w:t>
            </w:r>
            <w:r>
              <w:rPr>
                <w:rFonts w:ascii="Cambria" w:cs="Cambria" w:eastAsia="Cambria" w:hAnsi="Cambria"/>
                <w:color w:val="2D2D2D"/>
                <w:sz w:val="19"/>
                <w:szCs w:val="19"/>
              </w:rPr>
              <w:t xml:space="preserve"> (</w:t>
            </w:r>
            <w:r>
              <w:rPr>
                <w:rFonts w:ascii="Consolas" w:cs="Consolas" w:eastAsia="Consolas" w:hAnsi="Consolas"/>
                <w:color w:val="7A1526"/>
                <w:sz w:val="17"/>
                <w:szCs w:val="17"/>
              </w:rPr>
              <w:t xml:space="preserve">backdoor.linear_regression</w:t>
            </w:r>
            <w:r>
              <w:rPr>
                <w:rFonts w:ascii="Cambria" w:cs="Cambria" w:eastAsia="Cambria" w:hAnsi="Cambria"/>
                <w:color w:val="2D2D2D"/>
                <w:sz w:val="19"/>
                <w:szCs w:val="19"/>
              </w:rPr>
              <w:t xml:space="preserve">, conjunto {</w:t>
            </w:r>
            <w:r>
              <w:rPr>
                <w:rFonts w:ascii="Consolas" w:cs="Consolas" w:eastAsia="Consolas" w:hAnsi="Consolas"/>
                <w:color w:val="7A1526"/>
                <w:sz w:val="17"/>
                <w:szCs w:val="17"/>
              </w:rPr>
              <w:t xml:space="preserve">engagement</w:t>
            </w:r>
            <w:r>
              <w:rPr>
                <w:rFonts w:ascii="Cambria" w:cs="Cambria" w:eastAsia="Cambria" w:hAnsi="Cambria"/>
                <w:color w:val="2D2D2D"/>
                <w:sz w:val="19"/>
                <w:szCs w:val="19"/>
              </w:rPr>
              <w:t xml:space="preserve">}): </w:t>
            </w:r>
            <w:r>
              <w:rPr>
                <w:rFonts w:ascii="Cambria" w:cs="Cambria" w:eastAsia="Cambria" w:hAnsi="Cambria"/>
                <w:b/>
                <w:bCs/>
                <w:color w:val="2D2D2D"/>
                <w:sz w:val="19"/>
                <w:szCs w:val="19"/>
              </w:rPr>
              <w:t xml:space="preserve">ajustado +7,95</w:t>
            </w:r>
            <w:r>
              <w:rPr>
                <w:rFonts w:ascii="Cambria" w:cs="Cambria" w:eastAsia="Cambria" w:hAnsi="Cambria"/>
                <w:color w:val="2D2D2D"/>
                <w:sz w:val="19"/>
                <w:szCs w:val="19"/>
              </w:rPr>
              <w:t xml:space="preserve">, que recupera el verdadero 8,0 </w:t>
            </w:r>
            <w:r>
              <w:rPr>
                <w:rFonts w:ascii="Cambria" w:cs="Cambria" w:eastAsia="Cambria" w:hAnsi="Cambria"/>
                <w:b/>
                <w:bCs/>
                <w:color w:val="2D2D2D"/>
                <w:sz w:val="19"/>
                <w:szCs w:val="19"/>
              </w:rPr>
              <w:t xml:space="preserve">(#5)</w:t>
            </w:r>
            <w:r>
              <w:rPr>
                <w:rFonts w:ascii="Cambria" w:cs="Cambria" w:eastAsia="Cambria" w:hAnsi="Cambria"/>
                <w:color w:val="2D2D2D"/>
                <w:sz w:val="19"/>
                <w:szCs w:val="19"/>
              </w:rPr>
              <w:t xml:space="preserve">.</w:t>
            </w:r>
          </w:p>
        </w:tc>
      </w:tr>
      <w:tr>
        <w:trPr>
          <w:cantSplit/>
        </w:trPr>
        <w:tc>
          <w:tcPr>
            <w:tcW w:type="dxa" w:w="56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vAlign w:val="center"/>
          </w:tcPr>
          <w:p>
            <w:pPr>
              <w:jc w:val="center"/>
            </w:pPr>
            <w:r>
              <w:rPr>
                <w:rFonts w:ascii="Calibri" w:cs="Calibri" w:eastAsia="Calibri" w:hAnsi="Calibri"/>
                <w:color w:val="7A1526"/>
                <w:sz w:val="24"/>
                <w:szCs w:val="24"/>
              </w:rPr>
              <w:t xml:space="preserve">☐</w:t>
            </w:r>
          </w:p>
        </w:tc>
        <w:tc>
          <w:tcPr>
            <w:tcW w:type="dxa" w:w="64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vAlign w:val="center"/>
          </w:tcPr>
          <w:p>
            <w:pPr>
              <w:jc w:val="center"/>
            </w:pPr>
            <w:r>
              <w:rPr>
                <w:rFonts w:ascii="Calibri" w:cs="Calibri" w:eastAsia="Calibri" w:hAnsi="Calibri"/>
                <w:b/>
                <w:bCs/>
                <w:color w:val="7A1526"/>
                <w:sz w:val="18"/>
                <w:szCs w:val="18"/>
              </w:rPr>
              <w:t xml:space="preserve">10</w:t>
            </w:r>
          </w:p>
        </w:tc>
        <w:tc>
          <w:tcPr>
            <w:tcW w:type="dxa" w:w="88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pPr>
              <w:spacing w:line="260"/>
            </w:pPr>
            <w:r>
              <w:rPr>
                <w:rFonts w:ascii="Cambria" w:cs="Cambria" w:eastAsia="Cambria" w:hAnsi="Cambria"/>
                <w:color w:val="2D2D2D"/>
                <w:sz w:val="19"/>
                <w:szCs w:val="19"/>
              </w:rPr>
              <w:t xml:space="preserve">Se corrieron las </w:t>
            </w:r>
            <w:r>
              <w:rPr>
                <w:rFonts w:ascii="Cambria" w:cs="Cambria" w:eastAsia="Cambria" w:hAnsi="Cambria"/>
                <w:b/>
                <w:bCs/>
                <w:color w:val="2D2D2D"/>
                <w:sz w:val="19"/>
                <w:szCs w:val="19"/>
              </w:rPr>
              <w:t xml:space="preserve">refutaciones</w:t>
            </w:r>
            <w:r>
              <w:rPr>
                <w:rFonts w:ascii="Cambria" w:cs="Cambria" w:eastAsia="Cambria" w:hAnsi="Cambria"/>
                <w:color w:val="2D2D2D"/>
                <w:sz w:val="19"/>
                <w:szCs w:val="19"/>
              </w:rPr>
              <w:t xml:space="preserve">: placebo ≈ 0 (</w:t>
            </w:r>
            <w:r>
              <w:rPr>
                <w:rFonts w:ascii="Cambria" w:cs="Cambria" w:eastAsia="Cambria" w:hAnsi="Cambria"/>
                <w:b/>
                <w:bCs/>
                <w:color w:val="2D2D2D"/>
                <w:sz w:val="19"/>
                <w:szCs w:val="19"/>
              </w:rPr>
              <w:t xml:space="preserve">A4</w:t>
            </w:r>
            <w:r>
              <w:rPr>
                <w:rFonts w:ascii="Cambria" w:cs="Cambria" w:eastAsia="Cambria" w:hAnsi="Cambria"/>
                <w:color w:val="2D2D2D"/>
                <w:sz w:val="19"/>
                <w:szCs w:val="19"/>
              </w:rPr>
              <w:t xml:space="preserve">) y random-common-cause inalterado (</w:t>
            </w:r>
            <w:r>
              <w:rPr>
                <w:rFonts w:ascii="Cambria" w:cs="Cambria" w:eastAsia="Cambria" w:hAnsi="Cambria"/>
                <w:b/>
                <w:bCs/>
                <w:color w:val="2D2D2D"/>
                <w:sz w:val="19"/>
                <w:szCs w:val="19"/>
              </w:rPr>
              <w:t xml:space="preserve">A5</w:t>
            </w:r>
            <w:r>
              <w:rPr>
                <w:rFonts w:ascii="Cambria" w:cs="Cambria" w:eastAsia="Cambria" w:hAnsi="Cambria"/>
                <w:color w:val="2D2D2D"/>
                <w:sz w:val="19"/>
                <w:szCs w:val="19"/>
              </w:rPr>
              <w:t xml:space="preserve">: ≈ +7,95); se comunicó que </w:t>
            </w:r>
            <w:r>
              <w:rPr>
                <w:rFonts w:ascii="Cambria" w:cs="Cambria" w:eastAsia="Cambria" w:hAnsi="Cambria"/>
                <w:b/>
                <w:bCs/>
                <w:color w:val="2D2D2D"/>
                <w:sz w:val="19"/>
                <w:szCs w:val="19"/>
              </w:rPr>
              <w:t xml:space="preserve">refutar no es probar</w:t>
            </w:r>
            <w:r>
              <w:rPr>
                <w:rFonts w:ascii="Cambria" w:cs="Cambria" w:eastAsia="Cambria" w:hAnsi="Cambria"/>
                <w:color w:val="2D2D2D"/>
                <w:sz w:val="19"/>
                <w:szCs w:val="19"/>
              </w:rPr>
              <w:t xml:space="preserve">.</w:t>
            </w:r>
          </w:p>
        </w:tc>
      </w:tr>
      <w:tr>
        <w:trPr>
          <w:cantSplit/>
        </w:trPr>
        <w:tc>
          <w:tcPr>
            <w:tcW w:type="dxa" w:w="5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vAlign w:val="center"/>
          </w:tcPr>
          <w:p>
            <w:pPr>
              <w:jc w:val="center"/>
            </w:pPr>
            <w:r>
              <w:rPr>
                <w:rFonts w:ascii="Calibri" w:cs="Calibri" w:eastAsia="Calibri" w:hAnsi="Calibri"/>
                <w:color w:val="7A1526"/>
                <w:sz w:val="24"/>
                <w:szCs w:val="24"/>
              </w:rPr>
              <w:t xml:space="preserve">☐</w:t>
            </w:r>
          </w:p>
        </w:tc>
        <w:tc>
          <w:tcPr>
            <w:tcW w:type="dxa" w:w="64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vAlign w:val="center"/>
          </w:tcPr>
          <w:p>
            <w:pPr>
              <w:jc w:val="center"/>
            </w:pPr>
            <w:r>
              <w:rPr>
                <w:rFonts w:ascii="Calibri" w:cs="Calibri" w:eastAsia="Calibri" w:hAnsi="Calibri"/>
                <w:b/>
                <w:bCs/>
                <w:color w:val="7A1526"/>
                <w:sz w:val="18"/>
                <w:szCs w:val="18"/>
              </w:rPr>
              <w:t xml:space="preserve">11</w:t>
            </w:r>
          </w:p>
        </w:tc>
        <w:tc>
          <w:tcPr>
            <w:tcW w:type="dxa" w:w="88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pPr>
              <w:spacing w:line="260"/>
            </w:pPr>
            <w:r>
              <w:rPr>
                <w:rFonts w:ascii="Cambria" w:cs="Cambria" w:eastAsia="Cambria" w:hAnsi="Cambria"/>
                <w:color w:val="2D2D2D"/>
                <w:sz w:val="19"/>
                <w:szCs w:val="19"/>
              </w:rPr>
              <w:t xml:space="preserve">Se tradujo el efecto a una </w:t>
            </w:r>
            <w:r>
              <w:rPr>
                <w:rFonts w:ascii="Cambria" w:cs="Cambria" w:eastAsia="Cambria" w:hAnsi="Cambria"/>
                <w:b/>
                <w:bCs/>
                <w:color w:val="2D2D2D"/>
                <w:sz w:val="19"/>
                <w:szCs w:val="19"/>
              </w:rPr>
              <w:t xml:space="preserve">recomendación con incertidumbre</w:t>
            </w:r>
            <w:r>
              <w:rPr>
                <w:rFonts w:ascii="Cambria" w:cs="Cambria" w:eastAsia="Cambria" w:hAnsi="Cambria"/>
                <w:color w:val="2D2D2D"/>
                <w:sz w:val="19"/>
                <w:szCs w:val="19"/>
              </w:rPr>
              <w:t xml:space="preserve"> (magnitud vs. umbral, IC, credibilidad causal); todo en </w:t>
            </w:r>
            <w:r>
              <w:rPr>
                <w:rFonts w:ascii="Consolas" w:cs="Consolas" w:eastAsia="Consolas" w:hAnsi="Consolas"/>
                <w:color w:val="7A1526"/>
                <w:sz w:val="17"/>
                <w:szCs w:val="17"/>
              </w:rPr>
              <w:t xml:space="preserve">resultados/S12_resultados.xlsx</w:t>
            </w:r>
            <w:r>
              <w:rPr>
                <w:rFonts w:ascii="Cambria" w:cs="Cambria" w:eastAsia="Cambria" w:hAnsi="Cambria"/>
                <w:color w:val="2D2D2D"/>
                <w:sz w:val="19"/>
                <w:szCs w:val="19"/>
              </w:rPr>
              <w:t xml:space="preserve">.</w:t>
            </w:r>
          </w:p>
        </w:tc>
      </w:tr>
    </w:tbl>
    <w:sectPr>
      <w:headerReference w:type="default" r:id="rId7"/>
      <w:footerReference w:type="default" r:id="rId8"/>
      <w:pgSz w:w="12240" w:h="15840" w:orient="portrait"/>
      <w:pgMar w:top="108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E6E6E"/>
        <w:sz w:val="14"/>
        <w:szCs w:val="14"/>
      </w:rPr>
      <w:t xml:space="preserve">Herramientas para la Ciencia de Datos, UPC, Facultad de Negocios     |     </w:t>
    </w:r>
    <w:r>
      <w:rPr>
        <w:rFonts w:ascii="Calibri" w:cs="Calibri" w:eastAsia="Calibri" w:hAnsi="Calibri"/>
        <w:b/>
        <w:bCs/>
        <w:color w:val="7A1526"/>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FE2E6" w:sz="4" w:space="4"/>
      </w:pBdr>
      <w:spacing w:after="120"/>
    </w:pPr>
    <w:r>
      <w:rPr>
        <w:rFonts w:ascii="Calibri" w:cs="Calibri" w:eastAsia="Calibri" w:hAnsi="Calibri"/>
        <w:color w:val="6E6E6E"/>
        <w:sz w:val="15"/>
        <w:szCs w:val="15"/>
      </w:rPr>
      <w:t xml:space="preserve">Guía de laboratorio — Sesión 12: Inferencia causal (DAGs, DiD, PSM, refutación con DoWhy)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color w:val="2D2D2D"/>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de laboratorio — Sesión 12</dc:title>
  <dc:creator>UPC</dc:creator>
  <dc:description>Inferencia causal: DAGs, DiD, PSM y refutación</dc:description>
  <cp:lastModifiedBy>Un-named</cp:lastModifiedBy>
  <cp:revision>1</cp:revision>
  <dcterms:created xsi:type="dcterms:W3CDTF">2026-09-11T14:14:27.599Z</dcterms:created>
  <dcterms:modified xsi:type="dcterms:W3CDTF">2026-09-11T14:14:27.600Z</dcterms:modified>
</cp:coreProperties>
</file>

<file path=docProps/custom.xml><?xml version="1.0" encoding="utf-8"?>
<Properties xmlns="http://schemas.openxmlformats.org/officeDocument/2006/custom-properties" xmlns:vt="http://schemas.openxmlformats.org/officeDocument/2006/docPropsVTypes"/>
</file>