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Entregable evaluable — Sesión S13</w:t>
      </w:r>
    </w:p>
    <w:p>
      <w:pPr>
        <w:pBdr>
          <w:bottom w:val="single" w:color="E4002B" w:sz="18" w:space="10"/>
        </w:pBdr>
        <w:spacing w:after="160"/>
      </w:pPr>
      <w:r>
        <w:rPr>
          <w:rFonts w:ascii="Cambria" w:cs="Cambria" w:eastAsia="Cambria" w:hAnsi="Cambria"/>
          <w:color w:val="7A1526"/>
          <w:sz w:val="28"/>
          <w:szCs w:val="28"/>
        </w:rPr>
        <w:t xml:space="preserve">Análisis de supervivencia de churn (curvas KM por segmento + Cox + CLV) con recomendación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13 · Análisis de supervivencia: Kaplan-Meier, Cox y Customer Lifetime Value · Entregable evaluable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Trabajo en parejas durante el laboratorio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Escala vigesimal 0–20, según la rúbrica de la sección 4 de este documento</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(todo el análisis se desarrolla y reproduce aquí)</w:t>
            </w:r>
          </w:p>
        </w:tc>
      </w:tr>
    </w:tbl>
    <w:p>
      <w:pPr>
        <w:spacing w:after="150"/>
      </w:pPr>
    </w:p>
    <w:p>
      <w:pPr>
        <w:spacing w:after="180" w:line="265"/>
      </w:pPr>
      <w:r>
        <w:rPr>
          <w:rFonts w:ascii="Cambria" w:cs="Cambria" w:eastAsia="Cambria" w:hAnsi="Cambria"/>
          <w:color w:val="3A3A3A"/>
          <w:sz w:val="18"/>
          <w:szCs w:val="18"/>
        </w:rPr>
        <w:t xml:space="preserve">Material del estudiante. Trabajo evaluable de la Sesión 13 (Análisis de supervivencia). Modalidad: parejas, </w:t>
      </w:r>
      <w:r>
        <w:rPr>
          <w:rFonts w:ascii="Cambria" w:cs="Cambria" w:eastAsia="Cambria" w:hAnsi="Cambria"/>
          <w:b/>
          <w:bCs/>
          <w:color w:val="3A3A3A"/>
          <w:sz w:val="18"/>
          <w:szCs w:val="18"/>
        </w:rPr>
        <w:t xml:space="preserve">entrega individual</w:t>
      </w:r>
      <w:r>
        <w:rPr>
          <w:rFonts w:ascii="Cambria" w:cs="Cambria" w:eastAsia="Cambria" w:hAnsi="Cambria"/>
          <w:color w:val="3A3A3A"/>
          <w:sz w:val="18"/>
          <w:szCs w:val="18"/>
        </w:rPr>
        <w:t xml:space="preserve">. Calificación vigesimal 0–20 según la rúbrica de este documento. Español impersonal. </w:t>
      </w:r>
      <w:r>
        <w:rPr>
          <w:rFonts w:ascii="Cambria" w:cs="Cambria" w:eastAsia="Cambria" w:hAnsi="Cambria"/>
          <w:b/>
          <w:bCs/>
          <w:color w:val="3A3A3A"/>
          <w:sz w:val="18"/>
          <w:szCs w:val="18"/>
        </w:rPr>
        <w:t xml:space="preserve">El entregable se completa con:</w:t>
      </w:r>
      <w:r>
        <w:rPr>
          <w:rFonts w:ascii="Cambria" w:cs="Cambria" w:eastAsia="Cambria" w:hAnsi="Cambria"/>
          <w:color w:val="3A3A3A"/>
          <w:sz w:val="18"/>
          <w:szCs w:val="18"/>
        </w:rPr>
        <w:t xml:space="preserve"> la plantilla </w:t>
      </w:r>
      <w:r>
        <w:rPr>
          <w:rFonts w:ascii="Consolas" w:cs="Consolas" w:eastAsia="Consolas" w:hAnsi="Consolas"/>
          <w:color w:val="7A1526"/>
          <w:sz w:val="16"/>
          <w:szCs w:val="16"/>
        </w:rPr>
        <w:t xml:space="preserve">plantillas/reporte_supervivencia_clv.docx</w:t>
      </w:r>
      <w:r>
        <w:rPr>
          <w:rFonts w:ascii="Cambria" w:cs="Cambria" w:eastAsia="Cambria" w:hAnsi="Cambria"/>
          <w:color w:val="3A3A3A"/>
          <w:sz w:val="18"/>
          <w:szCs w:val="18"/>
        </w:rPr>
        <w:t xml:space="preserve"> (curvas KM por segmento con </w:t>
      </w:r>
      <w:r>
        <w:rPr>
          <w:rFonts w:ascii="Consolas" w:cs="Consolas" w:eastAsia="Consolas" w:hAnsi="Consolas"/>
          <w:color w:val="7A1526"/>
          <w:sz w:val="16"/>
          <w:szCs w:val="16"/>
        </w:rPr>
        <w:t xml:space="preserve">S(t)</w:t>
      </w:r>
      <w:r>
        <w:rPr>
          <w:rFonts w:ascii="Cambria" w:cs="Cambria" w:eastAsia="Cambria" w:hAnsi="Cambria"/>
          <w:color w:val="3A3A3A"/>
          <w:sz w:val="18"/>
          <w:szCs w:val="18"/>
        </w:rPr>
        <w:t xml:space="preserve"> a horizontes, log-rank, tabla de HR de Cox con IC, diagnóstico de PH y cálculo de CLV) y la guía </w:t>
      </w:r>
      <w:r>
        <w:rPr>
          <w:rFonts w:ascii="Consolas" w:cs="Consolas" w:eastAsia="Consolas" w:hAnsi="Consolas"/>
          <w:color w:val="7A1526"/>
          <w:sz w:val="16"/>
          <w:szCs w:val="16"/>
        </w:rPr>
        <w:t xml:space="preserve">plantillas/guia_schoenfeld.docx</w:t>
      </w:r>
      <w:r>
        <w:rPr>
          <w:rFonts w:ascii="Cambria" w:cs="Cambria" w:eastAsia="Cambria" w:hAnsi="Cambria"/>
          <w:color w:val="3A3A3A"/>
          <w:sz w:val="18"/>
          <w:szCs w:val="18"/>
        </w:rPr>
        <w:t xml:space="preserve"> (diagnóstico del supuesto de hazards proporcionales con residuales de Schoenfeld). Todo el análisis se desarrolla en el cuaderno </w:t>
      </w:r>
      <w:r>
        <w:rPr>
          <w:rFonts w:ascii="Consolas" w:cs="Consolas" w:eastAsia="Consolas" w:hAnsi="Consolas"/>
          <w:color w:val="7A1526"/>
          <w:sz w:val="16"/>
          <w:szCs w:val="16"/>
        </w:rPr>
        <w:t xml:space="preserve">notebook/S13_supervivencia.ipynb</w:t>
      </w:r>
      <w:r>
        <w:rPr>
          <w:rFonts w:ascii="Cambria" w:cs="Cambria" w:eastAsia="Cambria" w:hAnsi="Cambria"/>
          <w:color w:val="3A3A3A"/>
          <w:sz w:val="18"/>
          <w:szCs w:val="18"/>
        </w:rPr>
        <w:t xml:space="preserve">. Los ejercicios previos están en </w:t>
      </w:r>
      <w:r>
        <w:rPr>
          <w:rFonts w:ascii="Consolas" w:cs="Consolas" w:eastAsia="Consolas" w:hAnsi="Consolas"/>
          <w:color w:val="7A1526"/>
          <w:sz w:val="16"/>
          <w:szCs w:val="16"/>
        </w:rPr>
        <w:t xml:space="preserve">evaluacion/drills.docx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ENTREGABLE</w:t>
            </w:r>
          </w:p>
          <w:p>
            <w:pPr>
              <w:spacing w:line="280"/>
            </w:pPr>
            <w:r>
              <w:rPr>
                <w:rFonts w:ascii="Cambria" w:cs="Cambria" w:eastAsia="Cambria" w:hAnsi="Cambria"/>
                <w:color w:val="FFFFFF"/>
                <w:sz w:val="21"/>
                <w:szCs w:val="21"/>
              </w:rPr>
              <w:t xml:space="preserve">Reconocer la censura por la derecha en la antigüedad de los clientes, estimar y comparar curvas de Kaplan-Meier por tipo de contrato con su log-rank, ajustar una regresión de Cox para el tiempo hasta el churn con sus hazard ratio e intervalos de confianza, diagnosticar el supuesto de hazards proporcionales con residuales de Schoenfeld, calcular el valor por segmento (CLV) descontando la curva de supervivencia periodo a periodo, y comunicar una recomendación de retención priorizada y honesta sobre sus límites.</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Contexto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La tarea (seis puntos, en este orden)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máx. 5 páginas + anexos</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Formato de entrega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Rúbrica de evaluación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vigesimal, total 20</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CONTEXTO</w:t>
      </w:r>
    </w:p>
    <w:p>
      <w:pPr>
        <w:keepNext/>
        <w:pBdr>
          <w:bottom w:val="single" w:color="E4002B" w:sz="14" w:space="8"/>
        </w:pBdr>
        <w:spacing w:after="140"/>
      </w:pPr>
      <w:r>
        <w:rPr>
          <w:rFonts w:ascii="Cambria" w:cs="Cambria" w:eastAsia="Cambria" w:hAnsi="Cambria"/>
          <w:i/>
          <w:iCs/>
          <w:color w:val="6E6E6E"/>
          <w:sz w:val="19"/>
          <w:szCs w:val="19"/>
        </w:rPr>
        <w:t xml:space="preserve">Telco Customer Churn y el caso de negocio (censura, hazard ratio, CLV)</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Toda empresa de suscripción o servicio recurrente enfrenta el </w:t>
      </w:r>
      <w:r>
        <w:rPr>
          <w:rFonts w:ascii="Cambria" w:cs="Cambria" w:eastAsia="Cambria" w:hAnsi="Cambria"/>
          <w:b/>
          <w:bCs/>
          <w:color w:val="2D2D2D"/>
          <w:sz w:val="20"/>
          <w:szCs w:val="20"/>
        </w:rPr>
        <w:t xml:space="preserve">churn</w:t>
      </w:r>
      <w:r>
        <w:rPr>
          <w:rFonts w:ascii="Cambria" w:cs="Cambria" w:eastAsia="Cambria" w:hAnsi="Cambria"/>
          <w:color w:val="2D2D2D"/>
          <w:sz w:val="20"/>
          <w:szCs w:val="20"/>
        </w:rPr>
        <w:t xml:space="preserve">: clientes que se dan de baja. Predecir </w:t>
      </w:r>
      <w:r>
        <w:rPr>
          <w:rFonts w:ascii="Cambria" w:cs="Cambria" w:eastAsia="Cambria" w:hAnsi="Cambria"/>
          <w:i/>
          <w:iCs/>
          <w:color w:val="2D2D2D"/>
          <w:sz w:val="20"/>
          <w:szCs w:val="20"/>
        </w:rPr>
        <w:t xml:space="preserve">si</w:t>
      </w:r>
      <w:r>
        <w:rPr>
          <w:rFonts w:ascii="Cambria" w:cs="Cambria" w:eastAsia="Cambria" w:hAnsi="Cambria"/>
          <w:color w:val="2D2D2D"/>
          <w:sz w:val="20"/>
          <w:szCs w:val="20"/>
        </w:rPr>
        <w:t xml:space="preserve"> un cliente se irá (clasificación, S09) responde a medias; el negocio necesita </w:t>
      </w:r>
      <w:r>
        <w:rPr>
          <w:rFonts w:ascii="Cambria" w:cs="Cambria" w:eastAsia="Cambria" w:hAnsi="Cambria"/>
          <w:i/>
          <w:iCs/>
          <w:color w:val="2D2D2D"/>
          <w:sz w:val="20"/>
          <w:szCs w:val="20"/>
        </w:rPr>
        <w:t xml:space="preserve">cuándo</w:t>
      </w:r>
      <w:r>
        <w:rPr>
          <w:rFonts w:ascii="Cambria" w:cs="Cambria" w:eastAsia="Cambria" w:hAnsi="Cambria"/>
          <w:color w:val="2D2D2D"/>
          <w:sz w:val="20"/>
          <w:szCs w:val="20"/>
        </w:rPr>
        <w:t xml:space="preserve"> para decidir el momento de la intervención (oferta de retención, renegociación de contrato) y </w:t>
      </w:r>
      <w:r>
        <w:rPr>
          <w:rFonts w:ascii="Cambria" w:cs="Cambria" w:eastAsia="Cambria" w:hAnsi="Cambria"/>
          <w:i/>
          <w:iCs/>
          <w:color w:val="2D2D2D"/>
          <w:sz w:val="20"/>
          <w:szCs w:val="20"/>
        </w:rPr>
        <w:t xml:space="preserve">cuánto vale</w:t>
      </w:r>
      <w:r>
        <w:rPr>
          <w:rFonts w:ascii="Cambria" w:cs="Cambria" w:eastAsia="Cambria" w:hAnsi="Cambria"/>
          <w:color w:val="2D2D2D"/>
          <w:sz w:val="20"/>
          <w:szCs w:val="20"/>
        </w:rPr>
        <w:t xml:space="preserve"> cada cliente para saber cuánto conviene gastar en retenerlo. El obstáculo es que, al cortar los datos, </w:t>
      </w:r>
      <w:r>
        <w:rPr>
          <w:rFonts w:ascii="Cambria" w:cs="Cambria" w:eastAsia="Cambria" w:hAnsi="Cambria"/>
          <w:b/>
          <w:bCs/>
          <w:color w:val="2D2D2D"/>
          <w:sz w:val="20"/>
          <w:szCs w:val="20"/>
        </w:rPr>
        <w:t xml:space="preserve">la mayoría de los clientes siguen activos</w:t>
      </w:r>
      <w:r>
        <w:rPr>
          <w:rFonts w:ascii="Cambria" w:cs="Cambria" w:eastAsia="Cambria" w:hAnsi="Cambria"/>
          <w:color w:val="2D2D2D"/>
          <w:sz w:val="20"/>
          <w:szCs w:val="20"/>
        </w:rPr>
        <w:t xml:space="preserve">: su antigüedad observada (</w:t>
      </w:r>
      <w:r>
        <w:rPr>
          <w:rFonts w:ascii="Consolas" w:cs="Consolas" w:eastAsia="Consolas" w:hAnsi="Consolas"/>
          <w:color w:val="7A1526"/>
          <w:sz w:val="18"/>
          <w:szCs w:val="18"/>
        </w:rPr>
        <w:t xml:space="preserve">tenure</w:t>
      </w:r>
      <w:r>
        <w:rPr>
          <w:rFonts w:ascii="Cambria" w:cs="Cambria" w:eastAsia="Cambria" w:hAnsi="Cambria"/>
          <w:color w:val="2D2D2D"/>
          <w:sz w:val="20"/>
          <w:szCs w:val="20"/>
        </w:rPr>
        <w:t xml:space="preserve">) es un </w:t>
      </w:r>
      <w:r>
        <w:rPr>
          <w:rFonts w:ascii="Cambria" w:cs="Cambria" w:eastAsia="Cambria" w:hAnsi="Cambria"/>
          <w:b/>
          <w:bCs/>
          <w:color w:val="2D2D2D"/>
          <w:sz w:val="20"/>
          <w:szCs w:val="20"/>
        </w:rPr>
        <w:t xml:space="preserve">tiempo censurado por la derecha</w:t>
      </w:r>
      <w:r>
        <w:rPr>
          <w:rFonts w:ascii="Cambria" w:cs="Cambria" w:eastAsia="Cambria" w:hAnsi="Cambria"/>
          <w:color w:val="2D2D2D"/>
          <w:sz w:val="20"/>
          <w:szCs w:val="20"/>
        </w:rPr>
        <w:t xml:space="preserve">, no su vida final. Tratarlos como si hubieran «terminado» —o descartarlos— sesga toda la retención. El valor del análisis no está en ajustar un modelo (cualquier librería lo hace), sino en </w:t>
      </w:r>
      <w:r>
        <w:rPr>
          <w:rFonts w:ascii="Cambria" w:cs="Cambria" w:eastAsia="Cambria" w:hAnsi="Cambria"/>
          <w:b/>
          <w:bCs/>
          <w:color w:val="2D2D2D"/>
          <w:sz w:val="20"/>
          <w:szCs w:val="20"/>
        </w:rPr>
        <w:t xml:space="preserve">reconocer la censura</w:t>
      </w:r>
      <w:r>
        <w:rPr>
          <w:rFonts w:ascii="Cambria" w:cs="Cambria" w:eastAsia="Cambria" w:hAnsi="Cambria"/>
          <w:color w:val="2D2D2D"/>
          <w:sz w:val="20"/>
          <w:szCs w:val="20"/>
        </w:rPr>
        <w:t xml:space="preserve">, medir la retención por segmento, cuantificar qué atributos multiplican el riesgo con un </w:t>
      </w:r>
      <w:r>
        <w:rPr>
          <w:rFonts w:ascii="Cambria" w:cs="Cambria" w:eastAsia="Cambria" w:hAnsi="Cambria"/>
          <w:b/>
          <w:bCs/>
          <w:color w:val="2D2D2D"/>
          <w:sz w:val="20"/>
          <w:szCs w:val="20"/>
        </w:rPr>
        <w:t xml:space="preserve">hazard ratio</w:t>
      </w:r>
      <w:r>
        <w:rPr>
          <w:rFonts w:ascii="Cambria" w:cs="Cambria" w:eastAsia="Cambria" w:hAnsi="Cambria"/>
          <w:color w:val="2D2D2D"/>
          <w:sz w:val="20"/>
          <w:szCs w:val="20"/>
        </w:rPr>
        <w:t xml:space="preserve"> interpretable, y </w:t>
      </w:r>
      <w:r>
        <w:rPr>
          <w:rFonts w:ascii="Cambria" w:cs="Cambria" w:eastAsia="Cambria" w:hAnsi="Cambria"/>
          <w:b/>
          <w:bCs/>
          <w:color w:val="2D2D2D"/>
          <w:sz w:val="20"/>
          <w:szCs w:val="20"/>
        </w:rPr>
        <w:t xml:space="preserve">traducirlo a dinero</w:t>
      </w:r>
      <w:r>
        <w:rPr>
          <w:rFonts w:ascii="Cambria" w:cs="Cambria" w:eastAsia="Cambria" w:hAnsi="Cambria"/>
          <w:color w:val="2D2D2D"/>
          <w:sz w:val="20"/>
          <w:szCs w:val="20"/>
        </w:rPr>
        <w:t xml:space="preserve"> con el CLV para priorizar la retención.</w:t>
      </w:r>
    </w:p>
    <w:p>
      <w:pPr>
        <w:spacing w:after="220"/>
      </w:pPr>
    </w:p>
    <w:p>
      <w:pPr>
        <w:spacing w:line="270"/>
      </w:pPr>
      <w:r>
        <w:rPr>
          <w:rFonts w:ascii="Cambria" w:cs="Cambria" w:eastAsia="Cambria" w:hAnsi="Cambria"/>
          <w:color w:val="2D2D2D"/>
          <w:sz w:val="20"/>
          <w:szCs w:val="20"/>
        </w:rPr>
        <w:t xml:space="preserve">Este entregable recorre ese ciclo sobre </w:t>
      </w:r>
      <w:r>
        <w:rPr>
          <w:rFonts w:ascii="Cambria" w:cs="Cambria" w:eastAsia="Cambria" w:hAnsi="Cambria"/>
          <w:b/>
          <w:bCs/>
          <w:color w:val="2D2D2D"/>
          <w:sz w:val="20"/>
          <w:szCs w:val="20"/>
        </w:rPr>
        <w:t xml:space="preserve">Telco Customer </w:t>
      </w:r>
      <w:r>
        <w:rPr>
          <w:rFonts w:ascii="Consolas" w:cs="Consolas" w:eastAsia="Consolas" w:hAnsi="Consolas"/>
          <w:b/>
          <w:bCs/>
          <w:color w:val="7A1526"/>
          <w:sz w:val="18"/>
          <w:szCs w:val="18"/>
        </w:rPr>
        <w:t xml:space="preserve">Churn</w:t>
      </w:r>
      <w:r>
        <w:rPr>
          <w:rFonts w:ascii="Cambria" w:cs="Cambria" w:eastAsia="Cambria" w:hAnsi="Cambria"/>
          <w:color w:val="2D2D2D"/>
          <w:sz w:val="20"/>
          <w:szCs w:val="20"/>
        </w:rPr>
        <w:t xml:space="preserve"> (7043 clientes de telecomunicaciones; </w:t>
      </w:r>
      <w:r>
        <w:rPr>
          <w:rFonts w:ascii="Consolas" w:cs="Consolas" w:eastAsia="Consolas" w:hAnsi="Consolas"/>
          <w:color w:val="7A1526"/>
          <w:sz w:val="18"/>
          <w:szCs w:val="18"/>
        </w:rPr>
        <w:t xml:space="preserve">tenure</w:t>
      </w:r>
      <w:r>
        <w:rPr>
          <w:rFonts w:ascii="Cambria" w:cs="Cambria" w:eastAsia="Cambria" w:hAnsi="Cambria"/>
          <w:color w:val="2D2D2D"/>
          <w:sz w:val="20"/>
          <w:szCs w:val="20"/>
        </w:rPr>
        <w:t xml:space="preserve"> = meses de antigüedad = tiempo al evento; </w:t>
      </w:r>
      <w:r>
        <w:rPr>
          <w:rFonts w:ascii="Consolas" w:cs="Consolas" w:eastAsia="Consolas" w:hAnsi="Consolas"/>
          <w:color w:val="7A1526"/>
          <w:sz w:val="18"/>
          <w:szCs w:val="18"/>
        </w:rPr>
        <w:t xml:space="preserve">Churn = Yes</w:t>
      </w:r>
      <w:r>
        <w:rPr>
          <w:rFonts w:ascii="Cambria" w:cs="Cambria" w:eastAsia="Cambria" w:hAnsi="Cambria"/>
          <w:color w:val="2D2D2D"/>
          <w:sz w:val="20"/>
          <w:szCs w:val="20"/>
        </w:rPr>
        <w:t xml:space="preserve"> = evento). Se estiman curvas de </w:t>
      </w:r>
      <w:r>
        <w:rPr>
          <w:rFonts w:ascii="Cambria" w:cs="Cambria" w:eastAsia="Cambria" w:hAnsi="Cambria"/>
          <w:b/>
          <w:bCs/>
          <w:color w:val="2D2D2D"/>
          <w:sz w:val="20"/>
          <w:szCs w:val="20"/>
        </w:rPr>
        <w:t xml:space="preserve">Kaplan-Meier</w:t>
      </w:r>
      <w:r>
        <w:rPr>
          <w:rFonts w:ascii="Cambria" w:cs="Cambria" w:eastAsia="Cambria" w:hAnsi="Cambria"/>
          <w:color w:val="2D2D2D"/>
          <w:sz w:val="20"/>
          <w:szCs w:val="20"/>
        </w:rPr>
        <w:t xml:space="preserve"> por tipo de contrato con su </w:t>
      </w:r>
      <w:r>
        <w:rPr>
          <w:rFonts w:ascii="Cambria" w:cs="Cambria" w:eastAsia="Cambria" w:hAnsi="Cambria"/>
          <w:b/>
          <w:bCs/>
          <w:color w:val="2D2D2D"/>
          <w:sz w:val="20"/>
          <w:szCs w:val="20"/>
        </w:rPr>
        <w:t xml:space="preserve">log-rank</w:t>
      </w:r>
      <w:r>
        <w:rPr>
          <w:rFonts w:ascii="Cambria" w:cs="Cambria" w:eastAsia="Cambria" w:hAnsi="Cambria"/>
          <w:color w:val="2D2D2D"/>
          <w:sz w:val="20"/>
          <w:szCs w:val="20"/>
        </w:rPr>
        <w:t xml:space="preserve">, se ajusta una regresión de </w:t>
      </w:r>
      <w:r>
        <w:rPr>
          <w:rFonts w:ascii="Cambria" w:cs="Cambria" w:eastAsia="Cambria" w:hAnsi="Cambria"/>
          <w:b/>
          <w:bCs/>
          <w:color w:val="2D2D2D"/>
          <w:sz w:val="20"/>
          <w:szCs w:val="20"/>
        </w:rPr>
        <w:t xml:space="preserve">Cox</w:t>
      </w:r>
      <w:r>
        <w:rPr>
          <w:rFonts w:ascii="Cambria" w:cs="Cambria" w:eastAsia="Cambria" w:hAnsi="Cambria"/>
          <w:color w:val="2D2D2D"/>
          <w:sz w:val="20"/>
          <w:szCs w:val="20"/>
        </w:rPr>
        <w:t xml:space="preserve"> para el tiempo hasta el churn (con hazard ratio e intervalo de confianza), se </w:t>
      </w:r>
      <w:r>
        <w:rPr>
          <w:rFonts w:ascii="Cambria" w:cs="Cambria" w:eastAsia="Cambria" w:hAnsi="Cambria"/>
          <w:b/>
          <w:bCs/>
          <w:color w:val="2D2D2D"/>
          <w:sz w:val="20"/>
          <w:szCs w:val="20"/>
        </w:rPr>
        <w:t xml:space="preserve">diagnostica el supuesto de hazards proporcionales</w:t>
      </w:r>
      <w:r>
        <w:rPr>
          <w:rFonts w:ascii="Cambria" w:cs="Cambria" w:eastAsia="Cambria" w:hAnsi="Cambria"/>
          <w:color w:val="2D2D2D"/>
          <w:sz w:val="20"/>
          <w:szCs w:val="20"/>
        </w:rPr>
        <w:t xml:space="preserve"> con residuales de Schoenfeld, se calcula el </w:t>
      </w:r>
      <w:r>
        <w:rPr>
          <w:rFonts w:ascii="Cambria" w:cs="Cambria" w:eastAsia="Cambria" w:hAnsi="Cambria"/>
          <w:b/>
          <w:bCs/>
          <w:color w:val="2D2D2D"/>
          <w:sz w:val="20"/>
          <w:szCs w:val="20"/>
        </w:rPr>
        <w:t xml:space="preserve">Customer Lifetime Value</w:t>
      </w:r>
      <w:r>
        <w:rPr>
          <w:rFonts w:ascii="Cambria" w:cs="Cambria" w:eastAsia="Cambria" w:hAnsi="Cambria"/>
          <w:color w:val="2D2D2D"/>
          <w:sz w:val="20"/>
          <w:szCs w:val="20"/>
        </w:rPr>
        <w:t xml:space="preserve"> por segmento (</w:t>
      </w:r>
      <w:r>
        <w:rPr>
          <w:rFonts w:ascii="Consolas" w:cs="Consolas" w:eastAsia="Consolas" w:hAnsi="Consolas"/>
          <w:color w:val="7A1526"/>
          <w:sz w:val="18"/>
          <w:szCs w:val="18"/>
        </w:rPr>
        <w:t xml:space="preserve">Σ m·S(t)/(1+d)ᵗ</w:t>
      </w:r>
      <w:r>
        <w:rPr>
          <w:rFonts w:ascii="Cambria" w:cs="Cambria" w:eastAsia="Cambria" w:hAnsi="Cambria"/>
          <w:color w:val="2D2D2D"/>
          <w:sz w:val="20"/>
          <w:szCs w:val="20"/>
        </w:rPr>
        <w:t xml:space="preserve">) y se comunica una </w:t>
      </w:r>
      <w:r>
        <w:rPr>
          <w:rFonts w:ascii="Cambria" w:cs="Cambria" w:eastAsia="Cambria" w:hAnsi="Cambria"/>
          <w:b/>
          <w:bCs/>
          <w:color w:val="2D2D2D"/>
          <w:sz w:val="20"/>
          <w:szCs w:val="20"/>
        </w:rPr>
        <w:t xml:space="preserve">recomendación de retención priorizada</w:t>
      </w:r>
      <w:r>
        <w:rPr>
          <w:rFonts w:ascii="Cambria" w:cs="Cambria" w:eastAsia="Cambria" w:hAnsi="Cambria"/>
          <w:color w:val="2D2D2D"/>
          <w:sz w:val="20"/>
          <w:szCs w:val="20"/>
        </w:rPr>
        <w:t xml:space="preserve">. La técnica se ancla en los casos que el cuaderno replica antes del negocio: la regresión de </w:t>
      </w:r>
      <w:r>
        <w:rPr>
          <w:rFonts w:ascii="Cambria" w:cs="Cambria" w:eastAsia="Cambria" w:hAnsi="Cambria"/>
          <w:b/>
          <w:bCs/>
          <w:color w:val="2D2D2D"/>
          <w:sz w:val="20"/>
          <w:szCs w:val="20"/>
        </w:rPr>
        <w:t xml:space="preserve">Cox (1972)</w:t>
      </w:r>
      <w:r>
        <w:rPr>
          <w:rFonts w:ascii="Cambria" w:cs="Cambria" w:eastAsia="Cambria" w:hAnsi="Cambria"/>
          <w:color w:val="2D2D2D"/>
          <w:sz w:val="20"/>
          <w:szCs w:val="20"/>
        </w:rPr>
        <w:t xml:space="preserve"> sobre </w:t>
      </w:r>
      <w:r>
        <w:rPr>
          <w:rFonts w:ascii="Cambria" w:cs="Cambria" w:eastAsia="Cambria" w:hAnsi="Cambria"/>
          <w:b/>
          <w:bCs/>
          <w:color w:val="2D2D2D"/>
          <w:sz w:val="20"/>
          <w:szCs w:val="20"/>
        </w:rPr>
        <w:t xml:space="preserve">Rossi</w:t>
      </w:r>
      <w:r>
        <w:rPr>
          <w:rFonts w:ascii="Cambria" w:cs="Cambria" w:eastAsia="Cambria" w:hAnsi="Cambria"/>
          <w:color w:val="2D2D2D"/>
          <w:sz w:val="20"/>
          <w:szCs w:val="20"/>
        </w:rPr>
        <w:t xml:space="preserve"> (donde se leen los hazard ratio y se diagnostica que la edad viola el supuesto de PH) y una segunda Cox sobre </w:t>
      </w:r>
      <w:r>
        <w:rPr>
          <w:rFonts w:ascii="Cambria" w:cs="Cambria" w:eastAsia="Cambria" w:hAnsi="Cambria"/>
          <w:b/>
          <w:bCs/>
          <w:color w:val="2D2D2D"/>
          <w:sz w:val="20"/>
          <w:szCs w:val="20"/>
        </w:rPr>
        <w:t xml:space="preserve">Veterans</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Variables del caso (ver diccionario): </w:t>
      </w:r>
      <w:r>
        <w:rPr>
          <w:rFonts w:ascii="Consolas" w:cs="Consolas" w:eastAsia="Consolas" w:hAnsi="Consolas"/>
          <w:color w:val="7A1526"/>
          <w:sz w:val="18"/>
          <w:szCs w:val="18"/>
        </w:rPr>
        <w:t xml:space="preserve">tenure</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duración</w:t>
      </w:r>
      <w:r>
        <w:rPr>
          <w:rFonts w:ascii="Cambria" w:cs="Cambria" w:eastAsia="Cambria" w:hAnsi="Cambria"/>
          <w:color w:val="2D2D2D"/>
          <w:sz w:val="20"/>
          <w:szCs w:val="20"/>
        </w:rPr>
        <w:t xml:space="preserve">, meses), </w:t>
      </w:r>
      <w:r>
        <w:rPr>
          <w:rFonts w:ascii="Consolas" w:cs="Consolas" w:eastAsia="Consolas" w:hAnsi="Consolas"/>
          <w:color w:val="7A1526"/>
          <w:sz w:val="18"/>
          <w:szCs w:val="18"/>
        </w:rPr>
        <w:t xml:space="preserve">Churn</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evento</w:t>
      </w:r>
      <w:r>
        <w:rPr>
          <w:rFonts w:ascii="Cambria" w:cs="Cambria" w:eastAsia="Cambria" w:hAnsi="Cambria"/>
          <w:color w:val="2D2D2D"/>
          <w:sz w:val="20"/>
          <w:szCs w:val="20"/>
        </w:rPr>
        <w:t xml:space="preserve">, Yes/No), </w:t>
      </w:r>
      <w:r>
        <w:rPr>
          <w:rFonts w:ascii="Consolas" w:cs="Consolas" w:eastAsia="Consolas" w:hAnsi="Consolas"/>
          <w:color w:val="7A1526"/>
          <w:sz w:val="18"/>
          <w:szCs w:val="18"/>
        </w:rPr>
        <w:t xml:space="preserve">Contract</w:t>
      </w:r>
      <w:r>
        <w:rPr>
          <w:rFonts w:ascii="Cambria" w:cs="Cambria" w:eastAsia="Cambria" w:hAnsi="Cambria"/>
          <w:color w:val="2D2D2D"/>
          <w:sz w:val="20"/>
          <w:szCs w:val="20"/>
        </w:rPr>
        <w:t xml:space="preserve"> (Month-to-month / One year / Two year, el </w:t>
      </w:r>
      <w:r>
        <w:rPr>
          <w:rFonts w:ascii="Cambria" w:cs="Cambria" w:eastAsia="Cambria" w:hAnsi="Cambria"/>
          <w:b/>
          <w:bCs/>
          <w:color w:val="2D2D2D"/>
          <w:sz w:val="20"/>
          <w:szCs w:val="20"/>
        </w:rPr>
        <w:t xml:space="preserve">segmento clave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MonthlyCharges</w:t>
      </w:r>
      <w:r>
        <w:rPr>
          <w:rFonts w:ascii="Cambria" w:cs="Cambria" w:eastAsia="Cambria" w:hAnsi="Cambria"/>
          <w:color w:val="2D2D2D"/>
          <w:sz w:val="20"/>
          <w:szCs w:val="20"/>
        </w:rPr>
        <w:t xml:space="preserve"> (cargo mensual, insumo del CLV), </w:t>
      </w:r>
      <w:r>
        <w:rPr>
          <w:rFonts w:ascii="Consolas" w:cs="Consolas" w:eastAsia="Consolas" w:hAnsi="Consolas"/>
          <w:color w:val="7A1526"/>
          <w:sz w:val="18"/>
          <w:szCs w:val="18"/>
        </w:rPr>
        <w:t xml:space="preserve">InternetService</w:t>
      </w:r>
      <w:r>
        <w:rPr>
          <w:rFonts w:ascii="Cambria" w:cs="Cambria" w:eastAsia="Cambria" w:hAnsi="Cambria"/>
          <w:color w:val="2D2D2D"/>
          <w:sz w:val="20"/>
          <w:szCs w:val="20"/>
        </w:rPr>
        <w:t xml:space="preserve"> (fibra vs. DSL), </w:t>
      </w:r>
      <w:r>
        <w:rPr>
          <w:rFonts w:ascii="Consolas" w:cs="Consolas" w:eastAsia="Consolas" w:hAnsi="Consolas"/>
          <w:color w:val="7A1526"/>
          <w:sz w:val="18"/>
          <w:szCs w:val="18"/>
        </w:rPr>
        <w:t xml:space="preserve">SeniorCitizen</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PaperlessBilling</w:t>
      </w:r>
      <w:r>
        <w:rPr>
          <w:rFonts w:ascii="Cambria" w:cs="Cambria" w:eastAsia="Cambria" w:hAnsi="Cambria"/>
          <w:color w:val="2D2D2D"/>
          <w:sz w:val="20"/>
          <w:szCs w:val="20"/>
        </w:rPr>
        <w:t xml:space="preserve">, y los servicios contratados. Los clientes con </w:t>
      </w:r>
      <w:r>
        <w:rPr>
          <w:rFonts w:ascii="Consolas" w:cs="Consolas" w:eastAsia="Consolas" w:hAnsi="Consolas"/>
          <w:color w:val="7A1526"/>
          <w:sz w:val="18"/>
          <w:szCs w:val="18"/>
        </w:rPr>
        <w:t xml:space="preserve">Churn=No</w:t>
      </w:r>
      <w:r>
        <w:rPr>
          <w:rFonts w:ascii="Cambria" w:cs="Cambria" w:eastAsia="Cambria" w:hAnsi="Cambria"/>
          <w:color w:val="2D2D2D"/>
          <w:sz w:val="20"/>
          <w:szCs w:val="20"/>
        </w:rPr>
        <w:t xml:space="preserve"> son </w:t>
      </w:r>
      <w:r>
        <w:rPr>
          <w:rFonts w:ascii="Cambria" w:cs="Cambria" w:eastAsia="Cambria" w:hAnsi="Cambria"/>
          <w:b/>
          <w:bCs/>
          <w:color w:val="2D2D2D"/>
          <w:sz w:val="20"/>
          <w:szCs w:val="20"/>
        </w:rPr>
        <w:t xml:space="preserve">observaciones censuradas</w:t>
      </w:r>
      <w:r>
        <w:rPr>
          <w:rFonts w:ascii="Cambria" w:cs="Cambria" w:eastAsia="Cambria" w:hAnsi="Cambria"/>
          <w:color w:val="2D2D2D"/>
          <w:sz w:val="20"/>
          <w:szCs w:val="20"/>
        </w:rPr>
        <w:t xml:space="preserve"> (siguen activos).</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TAREA</w:t>
      </w:r>
    </w:p>
    <w:p>
      <w:pPr>
        <w:keepNext/>
        <w:pBdr>
          <w:bottom w:val="single" w:color="E4002B" w:sz="14" w:space="8"/>
        </w:pBdr>
        <w:spacing w:after="140"/>
      </w:pPr>
      <w:r>
        <w:rPr>
          <w:rFonts w:ascii="Cambria" w:cs="Cambria" w:eastAsia="Cambria" w:hAnsi="Cambria"/>
          <w:i/>
          <w:iCs/>
          <w:color w:val="6E6E6E"/>
          <w:sz w:val="19"/>
          <w:szCs w:val="19"/>
        </w:rPr>
        <w:t xml:space="preserve">Preparar, reconocer la censura, estimar KM y Cox, diagnosticar PH, calcular CLV y recomendar — informe máx. 5 páginas + anexos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Elaborar un informe (máx. 5 páginas + anexos del cuaderno) que contenga, en este orden: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Preparación y reconocimiento de la censura</w:t>
            </w:r>
          </w:p>
          <w:p>
            <w:pPr>
              <w:spacing w:after="70" w:line="265"/>
            </w:pPr>
            <w:r>
              <w:rPr>
                <w:rFonts w:ascii="Cambria" w:cs="Cambria" w:eastAsia="Cambria" w:hAnsi="Cambria"/>
                <w:color w:val="3A3A3A"/>
                <w:sz w:val="18"/>
                <w:szCs w:val="18"/>
              </w:rPr>
              <w:t xml:space="preserve">Cargar </w:t>
            </w:r>
            <w:r>
              <w:rPr>
                <w:rFonts w:ascii="Consolas" w:cs="Consolas" w:eastAsia="Consolas" w:hAnsi="Consolas"/>
                <w:color w:val="7A1526"/>
                <w:sz w:val="16"/>
                <w:szCs w:val="16"/>
              </w:rPr>
              <w:t xml:space="preserve">data/telco_churn.csv</w:t>
            </w:r>
            <w:r>
              <w:rPr>
                <w:rFonts w:ascii="Cambria" w:cs="Cambria" w:eastAsia="Cambria" w:hAnsi="Cambria"/>
                <w:color w:val="3A3A3A"/>
                <w:sz w:val="18"/>
                <w:szCs w:val="18"/>
              </w:rPr>
              <w:t xml:space="preserve">, limpiar </w:t>
            </w:r>
            <w:r>
              <w:rPr>
                <w:rFonts w:ascii="Consolas" w:cs="Consolas" w:eastAsia="Consolas" w:hAnsi="Consolas"/>
                <w:color w:val="7A1526"/>
                <w:sz w:val="16"/>
                <w:szCs w:val="16"/>
              </w:rPr>
              <w:t xml:space="preserve">TotalCharges</w:t>
            </w:r>
            <w:r>
              <w:rPr>
                <w:rFonts w:ascii="Cambria" w:cs="Cambria" w:eastAsia="Cambria" w:hAnsi="Cambria"/>
                <w:color w:val="3A3A3A"/>
                <w:sz w:val="18"/>
                <w:szCs w:val="18"/>
              </w:rPr>
              <w:t xml:space="preserve"> (11 celdas vacías con </w:t>
            </w:r>
            <w:r>
              <w:rPr>
                <w:rFonts w:ascii="Consolas" w:cs="Consolas" w:eastAsia="Consolas" w:hAnsi="Consolas"/>
                <w:color w:val="7A1526"/>
                <w:sz w:val="16"/>
                <w:szCs w:val="16"/>
              </w:rPr>
              <w:t xml:space="preserve">tenure=0</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eliminar, 7043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7032 filas</w:t>
            </w:r>
            <w:r>
              <w:rPr>
                <w:rFonts w:ascii="Cambria" w:cs="Cambria" w:eastAsia="Cambria" w:hAnsi="Cambria"/>
                <w:color w:val="3A3A3A"/>
                <w:sz w:val="18"/>
                <w:szCs w:val="18"/>
              </w:rPr>
              <w:t xml:space="preserve">), fijar </w:t>
            </w:r>
            <w:r>
              <w:rPr>
                <w:rFonts w:ascii="Consolas" w:cs="Consolas" w:eastAsia="Consolas" w:hAnsi="Consolas"/>
                <w:color w:val="7A1526"/>
                <w:sz w:val="16"/>
                <w:szCs w:val="16"/>
              </w:rPr>
              <w:t xml:space="preserve">duration_col="tenure"</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event_col = (Churn=="Yes")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Declarar explícitamente</w:t>
            </w:r>
            <w:r>
              <w:rPr>
                <w:rFonts w:ascii="Cambria" w:cs="Cambria" w:eastAsia="Cambria" w:hAnsi="Cambria"/>
                <w:color w:val="3A3A3A"/>
                <w:sz w:val="18"/>
                <w:szCs w:val="18"/>
              </w:rPr>
              <w:t xml:space="preserve"> que los clientes activos (</w:t>
            </w:r>
            <w:r>
              <w:rPr>
                <w:rFonts w:ascii="Consolas" w:cs="Consolas" w:eastAsia="Consolas" w:hAnsi="Consolas"/>
                <w:color w:val="7A1526"/>
                <w:sz w:val="16"/>
                <w:szCs w:val="16"/>
              </w:rPr>
              <w:t xml:space="preserve">Churn=No</w:t>
            </w:r>
            <w:r>
              <w:rPr>
                <w:rFonts w:ascii="Cambria" w:cs="Cambria" w:eastAsia="Cambria" w:hAnsi="Cambria"/>
                <w:color w:val="3A3A3A"/>
                <w:sz w:val="18"/>
                <w:szCs w:val="18"/>
              </w:rPr>
              <w:t xml:space="preserve">) son </w:t>
            </w:r>
            <w:r>
              <w:rPr>
                <w:rFonts w:ascii="Cambria" w:cs="Cambria" w:eastAsia="Cambria" w:hAnsi="Cambria"/>
                <w:b/>
                <w:bCs/>
                <w:color w:val="3A3A3A"/>
                <w:sz w:val="18"/>
                <w:szCs w:val="18"/>
              </w:rPr>
              <w:t xml:space="preserve">censurados por la derecha</w:t>
            </w:r>
            <w:r>
              <w:rPr>
                <w:rFonts w:ascii="Cambria" w:cs="Cambria" w:eastAsia="Cambria" w:hAnsi="Cambria"/>
                <w:color w:val="3A3A3A"/>
                <w:sz w:val="18"/>
                <w:szCs w:val="18"/>
              </w:rPr>
              <w:t xml:space="preserve"> (su tiempo real al churn es &gt;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y por qué la regresión clásica no maneja esa censura. Verificar por código el nº de eventos y censurados y anotar la fecha DD/MM/YYYY.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Curvas de Kaplan-Meier por segmento + log-rank</w:t>
            </w:r>
          </w:p>
          <w:p>
            <w:pPr>
              <w:spacing w:after="70" w:line="265"/>
            </w:pPr>
            <w:r>
              <w:rPr>
                <w:rFonts w:ascii="Cambria" w:cs="Cambria" w:eastAsia="Cambria" w:hAnsi="Cambria"/>
                <w:color w:val="3A3A3A"/>
                <w:sz w:val="18"/>
                <w:szCs w:val="18"/>
              </w:rPr>
              <w:t xml:space="preserve">Estimar </w:t>
            </w:r>
            <w:r>
              <w:rPr>
                <w:rFonts w:ascii="Consolas" w:cs="Consolas" w:eastAsia="Consolas" w:hAnsi="Consolas"/>
                <w:color w:val="7A1526"/>
                <w:sz w:val="16"/>
                <w:szCs w:val="16"/>
              </w:rPr>
              <w:t xml:space="preserve">S(t)</w:t>
            </w:r>
            <w:r>
              <w:rPr>
                <w:rFonts w:ascii="Cambria" w:cs="Cambria" w:eastAsia="Cambria" w:hAnsi="Cambria"/>
                <w:color w:val="3A3A3A"/>
                <w:sz w:val="18"/>
                <w:szCs w:val="18"/>
              </w:rPr>
              <w:t xml:space="preserve"> por </w:t>
            </w:r>
            <w:r>
              <w:rPr>
                <w:rFonts w:ascii="Consolas" w:cs="Consolas" w:eastAsia="Consolas" w:hAnsi="Consolas"/>
                <w:color w:val="7A1526"/>
                <w:sz w:val="16"/>
                <w:szCs w:val="16"/>
              </w:rPr>
              <w:t xml:space="preserve">Contract</w:t>
            </w:r>
            <w:r>
              <w:rPr>
                <w:rFonts w:ascii="Cambria" w:cs="Cambria" w:eastAsia="Cambria" w:hAnsi="Cambria"/>
                <w:color w:val="3A3A3A"/>
                <w:sz w:val="18"/>
                <w:szCs w:val="18"/>
              </w:rPr>
              <w:t xml:space="preserve"> con </w:t>
            </w:r>
            <w:r>
              <w:rPr>
                <w:rFonts w:ascii="Consolas" w:cs="Consolas" w:eastAsia="Consolas" w:hAnsi="Consolas"/>
                <w:color w:val="7A1526"/>
                <w:sz w:val="16"/>
                <w:szCs w:val="16"/>
              </w:rPr>
              <w:t xml:space="preserve">KaplanMeierFitter</w:t>
            </w:r>
            <w:r>
              <w:rPr>
                <w:rFonts w:ascii="Cambria" w:cs="Cambria" w:eastAsia="Cambria" w:hAnsi="Cambria"/>
                <w:color w:val="3A3A3A"/>
                <w:sz w:val="18"/>
                <w:szCs w:val="18"/>
              </w:rPr>
              <w:t xml:space="preserve"> y leer la </w:t>
            </w:r>
            <w:r>
              <w:rPr>
                <w:rFonts w:ascii="Cambria" w:cs="Cambria" w:eastAsia="Cambria" w:hAnsi="Cambria"/>
                <w:b/>
                <w:bCs/>
                <w:color w:val="3A3A3A"/>
                <w:sz w:val="18"/>
                <w:szCs w:val="18"/>
              </w:rPr>
              <w:t xml:space="preserve">retención</w:t>
            </w:r>
            <w:r>
              <w:rPr>
                <w:rFonts w:ascii="Cambria" w:cs="Cambria" w:eastAsia="Cambria" w:hAnsi="Cambria"/>
                <w:color w:val="3A3A3A"/>
                <w:sz w:val="18"/>
                <w:szCs w:val="18"/>
              </w:rPr>
              <w:t xml:space="preserve"> a horizontes clave (</w:t>
            </w:r>
            <w:r>
              <w:rPr>
                <w:rFonts w:ascii="Consolas" w:cs="Consolas" w:eastAsia="Consolas" w:hAnsi="Consolas"/>
                <w:color w:val="7A1526"/>
                <w:sz w:val="16"/>
                <w:szCs w:val="16"/>
              </w:rPr>
              <w:t xml:space="preserve">S(12)</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S(24)</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S(72)</w:t>
            </w:r>
            <w:r>
              <w:rPr>
                <w:rFonts w:ascii="Cambria" w:cs="Cambria" w:eastAsia="Cambria" w:hAnsi="Cambria"/>
                <w:color w:val="3A3A3A"/>
                <w:sz w:val="18"/>
                <w:szCs w:val="18"/>
              </w:rPr>
              <w:t xml:space="preserve">); reportar la mediana de supervivencia por segmento (o «indefinida» si </w:t>
            </w:r>
            <w:r>
              <w:rPr>
                <w:rFonts w:ascii="Consolas" w:cs="Consolas" w:eastAsia="Consolas" w:hAnsi="Consolas"/>
                <w:color w:val="7A1526"/>
                <w:sz w:val="16"/>
                <w:szCs w:val="16"/>
              </w:rPr>
              <w:t xml:space="preserve">S(t)</w:t>
            </w:r>
            <w:r>
              <w:rPr>
                <w:rFonts w:ascii="Cambria" w:cs="Cambria" w:eastAsia="Cambria" w:hAnsi="Cambria"/>
                <w:color w:val="3A3A3A"/>
                <w:sz w:val="18"/>
                <w:szCs w:val="18"/>
              </w:rPr>
              <w:t xml:space="preserve"> no cruza 0,5). Comparar los grupos con la prueba de </w:t>
            </w:r>
            <w:r>
              <w:rPr>
                <w:rFonts w:ascii="Cambria" w:cs="Cambria" w:eastAsia="Cambria" w:hAnsi="Cambria"/>
                <w:b/>
                <w:bCs/>
                <w:color w:val="3A3A3A"/>
                <w:sz w:val="18"/>
                <w:szCs w:val="18"/>
              </w:rPr>
              <w:t xml:space="preserve">log-rank</w:t>
            </w:r>
            <w:r>
              <w:rPr>
                <w:rFonts w:ascii="Cambria" w:cs="Cambria" w:eastAsia="Cambria" w:hAnsi="Cambria"/>
                <w:color w:val="3A3A3A"/>
                <w:sz w:val="18"/>
                <w:szCs w:val="18"/>
              </w:rPr>
              <w:t xml:space="preserve"> (χ² y p) e interpretar la </w:t>
            </w:r>
            <w:r>
              <w:rPr>
                <w:rFonts w:ascii="Cambria" w:cs="Cambria" w:eastAsia="Cambria" w:hAnsi="Cambria"/>
                <w:b/>
                <w:bCs/>
                <w:color w:val="3A3A3A"/>
                <w:sz w:val="18"/>
                <w:szCs w:val="18"/>
              </w:rPr>
              <w:t xml:space="preserve">dirección</w:t>
            </w:r>
            <w:r>
              <w:rPr>
                <w:rFonts w:ascii="Cambria" w:cs="Cambria" w:eastAsia="Cambria" w:hAnsi="Cambria"/>
                <w:color w:val="3A3A3A"/>
                <w:sz w:val="18"/>
                <w:szCs w:val="18"/>
              </w:rPr>
              <w:t xml:space="preserve"> (qué contrato retiene mejor). Graficar las curvas.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Regresión de Cox para el tiempo hasta el churn (HR con IC)</w:t>
            </w:r>
          </w:p>
          <w:p>
            <w:pPr>
              <w:spacing w:after="70" w:line="265"/>
            </w:pPr>
            <w:r>
              <w:rPr>
                <w:rFonts w:ascii="Cambria" w:cs="Cambria" w:eastAsia="Cambria" w:hAnsi="Cambria"/>
                <w:color w:val="3A3A3A"/>
                <w:sz w:val="18"/>
                <w:szCs w:val="18"/>
              </w:rPr>
              <w:t xml:space="preserve">Ajustar </w:t>
            </w:r>
            <w:r>
              <w:rPr>
                <w:rFonts w:ascii="Consolas" w:cs="Consolas" w:eastAsia="Consolas" w:hAnsi="Consolas"/>
                <w:color w:val="7A1526"/>
                <w:sz w:val="16"/>
                <w:szCs w:val="16"/>
              </w:rPr>
              <w:t xml:space="preserve">CoxPHFitter</w:t>
            </w:r>
            <w:r>
              <w:rPr>
                <w:rFonts w:ascii="Cambria" w:cs="Cambria" w:eastAsia="Cambria" w:hAnsi="Cambria"/>
                <w:color w:val="3A3A3A"/>
                <w:sz w:val="18"/>
                <w:szCs w:val="18"/>
              </w:rPr>
              <w:t xml:space="preserve"> con covariables de negocio (p. ej. tipo de contrato, servicio de fibra, facturación electrónica, cargo mensual, senior). Reportar cada </w:t>
            </w:r>
            <w:r>
              <w:rPr>
                <w:rFonts w:ascii="Cambria" w:cs="Cambria" w:eastAsia="Cambria" w:hAnsi="Cambria"/>
                <w:b/>
                <w:bCs/>
                <w:color w:val="3A3A3A"/>
                <w:sz w:val="18"/>
                <w:szCs w:val="18"/>
              </w:rPr>
              <w:t xml:space="preserve">hazard ratio</w:t>
            </w:r>
            <w:r>
              <w:rPr>
                <w:rFonts w:ascii="Cambria" w:cs="Cambria" w:eastAsia="Cambria" w:hAnsi="Cambria"/>
                <w:color w:val="3A3A3A"/>
                <w:sz w:val="18"/>
                <w:szCs w:val="18"/>
              </w:rPr>
              <w:t xml:space="preserve"> con su </w:t>
            </w:r>
            <w:r>
              <w:rPr>
                <w:rFonts w:ascii="Cambria" w:cs="Cambria" w:eastAsia="Cambria" w:hAnsi="Cambria"/>
                <w:b/>
                <w:bCs/>
                <w:color w:val="3A3A3A"/>
                <w:sz w:val="18"/>
                <w:szCs w:val="18"/>
              </w:rPr>
              <w:t xml:space="preserve">intervalo de confianza al 95 %</w:t>
            </w:r>
            <w:r>
              <w:rPr>
                <w:rFonts w:ascii="Cambria" w:cs="Cambria" w:eastAsia="Cambria" w:hAnsi="Cambria"/>
                <w:color w:val="3A3A3A"/>
                <w:sz w:val="18"/>
                <w:szCs w:val="18"/>
              </w:rPr>
              <w:t xml:space="preserve"> y su </w:t>
            </w:r>
            <w:r>
              <w:rPr>
                <w:rFonts w:ascii="Cambria" w:cs="Cambria" w:eastAsia="Cambria" w:hAnsi="Cambria"/>
                <w:b/>
                <w:bCs/>
                <w:color w:val="3A3A3A"/>
                <w:sz w:val="18"/>
                <w:szCs w:val="18"/>
              </w:rPr>
              <w:t xml:space="preserve">dirección</w:t>
            </w:r>
            <w:r>
              <w:rPr>
                <w:rFonts w:ascii="Cambria" w:cs="Cambria" w:eastAsia="Cambria" w:hAnsi="Cambria"/>
                <w:color w:val="3A3A3A"/>
                <w:sz w:val="18"/>
                <w:szCs w:val="18"/>
              </w:rPr>
              <w:t xml:space="preserve"> (riesgo/protector), y la </w:t>
            </w:r>
            <w:r>
              <w:rPr>
                <w:rFonts w:ascii="Cambria" w:cs="Cambria" w:eastAsia="Cambria" w:hAnsi="Cambria"/>
                <w:b/>
                <w:bCs/>
                <w:color w:val="3A3A3A"/>
                <w:sz w:val="18"/>
                <w:szCs w:val="18"/>
              </w:rPr>
              <w:t xml:space="preserve">concordancia</w:t>
            </w:r>
            <w:r>
              <w:rPr>
                <w:rFonts w:ascii="Cambria" w:cs="Cambria" w:eastAsia="Cambria" w:hAnsi="Cambria"/>
                <w:color w:val="3A3A3A"/>
                <w:sz w:val="18"/>
                <w:szCs w:val="18"/>
              </w:rPr>
              <w:t xml:space="preserve"> (C-index). Contrastar con la lectura de las curvas KM. Señalar qué covariables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son significativas (IC que cruza 1) y comentar cualquier </w:t>
            </w:r>
            <w:r>
              <w:rPr>
                <w:rFonts w:ascii="Cambria" w:cs="Cambria" w:eastAsia="Cambria" w:hAnsi="Cambria"/>
                <w:b/>
                <w:bCs/>
                <w:color w:val="3A3A3A"/>
                <w:sz w:val="18"/>
                <w:szCs w:val="18"/>
              </w:rPr>
              <w:t xml:space="preserve">efecto de supresión</w:t>
            </w:r>
            <w:r>
              <w:rPr>
                <w:rFonts w:ascii="Cambria" w:cs="Cambria" w:eastAsia="Cambria" w:hAnsi="Cambria"/>
                <w:color w:val="3A3A3A"/>
                <w:sz w:val="18"/>
                <w:szCs w:val="18"/>
              </w:rPr>
              <w:t xml:space="preserve"> por colinealidad.</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Diagnóstico del supuesto de hazards proporcionales (Schoenfeld)</w:t>
            </w:r>
          </w:p>
          <w:p>
            <w:pPr>
              <w:spacing w:after="70" w:line="265"/>
            </w:pPr>
            <w:r>
              <w:rPr>
                <w:rFonts w:ascii="Cambria" w:cs="Cambria" w:eastAsia="Cambria" w:hAnsi="Cambria"/>
                <w:color w:val="3A3A3A"/>
                <w:sz w:val="18"/>
                <w:szCs w:val="18"/>
              </w:rPr>
              <w:t xml:space="preserve">Correr </w:t>
            </w:r>
            <w:r>
              <w:rPr>
                <w:rFonts w:ascii="Consolas" w:cs="Consolas" w:eastAsia="Consolas" w:hAnsi="Consolas"/>
                <w:color w:val="7A1526"/>
                <w:sz w:val="16"/>
                <w:szCs w:val="16"/>
              </w:rPr>
              <w:t xml:space="preserve">proportional_hazard_test</w:t>
            </w:r>
            <w:r>
              <w:rPr>
                <w:rFonts w:ascii="Cambria" w:cs="Cambria" w:eastAsia="Cambria" w:hAnsi="Cambria"/>
                <w:color w:val="3A3A3A"/>
                <w:sz w:val="18"/>
                <w:szCs w:val="18"/>
              </w:rPr>
              <w:t xml:space="preserve"> sobre el ajuste de Cox; identificar </w:t>
            </w:r>
            <w:r>
              <w:rPr>
                <w:rFonts w:ascii="Cambria" w:cs="Cambria" w:eastAsia="Cambria" w:hAnsi="Cambria"/>
                <w:b/>
                <w:bCs/>
                <w:color w:val="3A3A3A"/>
                <w:sz w:val="18"/>
                <w:szCs w:val="18"/>
              </w:rPr>
              <w:t xml:space="preserve">cuáles covariables violan</w:t>
            </w:r>
            <w:r>
              <w:rPr>
                <w:rFonts w:ascii="Cambria" w:cs="Cambria" w:eastAsia="Cambria" w:hAnsi="Cambria"/>
                <w:color w:val="3A3A3A"/>
                <w:sz w:val="18"/>
                <w:szCs w:val="18"/>
              </w:rPr>
              <w:t xml:space="preserve"> el supuesto (p &lt; 0,05) y cuáles lo cumplen, y recordar que aquí un p </w:t>
            </w:r>
            <w:r>
              <w:rPr>
                <w:rFonts w:ascii="Cambria" w:cs="Cambria" w:eastAsia="Cambria" w:hAnsi="Cambria"/>
                <w:b/>
                <w:bCs/>
                <w:color w:val="3A3A3A"/>
                <w:sz w:val="18"/>
                <w:szCs w:val="18"/>
              </w:rPr>
              <w:t xml:space="preserve">bajo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malo</w:t>
            </w:r>
            <w:r>
              <w:rPr>
                <w:rFonts w:ascii="Cambria" w:cs="Cambria" w:eastAsia="Cambria" w:hAnsi="Cambria"/>
                <w:color w:val="3A3A3A"/>
                <w:sz w:val="18"/>
                <w:szCs w:val="18"/>
              </w:rPr>
              <w:t xml:space="preserve"> (opuesto a la tabla de Cox). Para las que violan, proponer una </w:t>
            </w:r>
            <w:r>
              <w:rPr>
                <w:rFonts w:ascii="Cambria" w:cs="Cambria" w:eastAsia="Cambria" w:hAnsi="Cambria"/>
                <w:b/>
                <w:bCs/>
                <w:color w:val="3A3A3A"/>
                <w:sz w:val="18"/>
                <w:szCs w:val="18"/>
              </w:rPr>
              <w:t xml:space="preserve">corrección</w:t>
            </w:r>
            <w:r>
              <w:rPr>
                <w:rFonts w:ascii="Cambria" w:cs="Cambria" w:eastAsia="Cambria" w:hAnsi="Cambria"/>
                <w:color w:val="3A3A3A"/>
                <w:sz w:val="18"/>
                <w:szCs w:val="18"/>
              </w:rPr>
              <w:t xml:space="preserve"> (estratificar / interacción con el tiempo / splines) —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borrar la variable. Apoyarse en </w:t>
            </w:r>
            <w:r>
              <w:rPr>
                <w:rFonts w:ascii="Consolas" w:cs="Consolas" w:eastAsia="Consolas" w:hAnsi="Consolas"/>
                <w:color w:val="7A1526"/>
                <w:sz w:val="16"/>
                <w:szCs w:val="16"/>
              </w:rPr>
              <w:t xml:space="preserve">plantillas/guia_schoenfeld.docx</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2.5   </w:t>
            </w:r>
            <w:r>
              <w:rPr>
                <w:rFonts w:ascii="Calibri" w:cs="Calibri" w:eastAsia="Calibri" w:hAnsi="Calibri"/>
                <w:b/>
                <w:bCs/>
                <w:color w:val="7A1526"/>
                <w:sz w:val="19"/>
                <w:szCs w:val="19"/>
              </w:rPr>
              <w:t xml:space="preserve">Cálculo del valor por segmento (LTV bruto / CLV)</w:t>
            </w:r>
          </w:p>
          <w:p>
            <w:pPr>
              <w:spacing w:after="70" w:line="265"/>
            </w:pPr>
            <w:r>
              <w:rPr>
                <w:rFonts w:ascii="Cambria" w:cs="Cambria" w:eastAsia="Cambria" w:hAnsi="Cambria"/>
                <w:color w:val="3A3A3A"/>
                <w:sz w:val="18"/>
                <w:szCs w:val="18"/>
              </w:rPr>
              <w:t xml:space="preserve">Calcular </w:t>
            </w:r>
            <w:r>
              <w:rPr>
                <w:rFonts w:ascii="Consolas" w:cs="Consolas" w:eastAsia="Consolas" w:hAnsi="Consolas"/>
                <w:color w:val="7A1526"/>
                <w:sz w:val="16"/>
                <w:szCs w:val="16"/>
              </w:rPr>
              <w:t xml:space="preserve">Σₜ m·S(t)/(1+d)ᵗ</w:t>
            </w:r>
            <w:r>
              <w:rPr>
                <w:rFonts w:ascii="Cambria" w:cs="Cambria" w:eastAsia="Cambria" w:hAnsi="Cambria"/>
                <w:color w:val="3A3A3A"/>
                <w:sz w:val="18"/>
                <w:szCs w:val="18"/>
              </w:rPr>
              <w:t xml:space="preserve"> por tipo de contrato. Si se usa m = </w:t>
            </w:r>
            <w:r>
              <w:rPr>
                <w:rFonts w:ascii="Consolas" w:cs="Consolas" w:eastAsia="Consolas" w:hAnsi="Consolas"/>
                <w:b/>
                <w:bCs/>
                <w:color w:val="7A1526"/>
                <w:sz w:val="16"/>
                <w:szCs w:val="16"/>
              </w:rPr>
              <w:t xml:space="preserve">MonthlyCharges</w:t>
            </w:r>
            <w:r>
              <w:rPr>
                <w:rFonts w:ascii="Cambria" w:cs="Cambria" w:eastAsia="Cambria" w:hAnsi="Cambria"/>
                <w:color w:val="3A3A3A"/>
                <w:sz w:val="18"/>
                <w:szCs w:val="18"/>
              </w:rPr>
              <w:t xml:space="preserve"> medio del segmento se usa el </w:t>
            </w:r>
            <w:r>
              <w:rPr>
                <w:rFonts w:ascii="Cambria" w:cs="Cambria" w:eastAsia="Cambria" w:hAnsi="Cambria"/>
                <w:b/>
                <w:bCs/>
                <w:color w:val="3A3A3A"/>
                <w:sz w:val="18"/>
                <w:szCs w:val="18"/>
              </w:rPr>
              <w:t xml:space="preserve">ingreso</w:t>
            </w:r>
            <w:r>
              <w:rPr>
                <w:rFonts w:ascii="Cambria" w:cs="Cambria" w:eastAsia="Cambria" w:hAnsi="Cambria"/>
                <w:color w:val="3A3A3A"/>
                <w:sz w:val="18"/>
                <w:szCs w:val="18"/>
              </w:rPr>
              <w:t xml:space="preserve"> (no el margen), de modo que el resultado es un </w:t>
            </w:r>
            <w:r>
              <w:rPr>
                <w:rFonts w:ascii="Cambria" w:cs="Cambria" w:eastAsia="Cambria" w:hAnsi="Cambria"/>
                <w:b/>
                <w:bCs/>
                <w:color w:val="3A3A3A"/>
                <w:sz w:val="18"/>
                <w:szCs w:val="18"/>
              </w:rPr>
              <w:t xml:space="preserve">ingreso descontado por cliente (LTV bruto)</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no un CLV</w:t>
            </w:r>
            <w:r>
              <w:rPr>
                <w:rFonts w:ascii="Cambria" w:cs="Cambria" w:eastAsia="Cambria" w:hAnsi="Cambria"/>
                <w:color w:val="3A3A3A"/>
                <w:sz w:val="18"/>
                <w:szCs w:val="18"/>
              </w:rPr>
              <w:t xml:space="preserve">: un CLV real aplicaría un </w:t>
            </w:r>
            <w:r>
              <w:rPr>
                <w:rFonts w:ascii="Cambria" w:cs="Cambria" w:eastAsia="Cambria" w:hAnsi="Cambria"/>
                <w:b/>
                <w:bCs/>
                <w:color w:val="3A3A3A"/>
                <w:sz w:val="18"/>
                <w:szCs w:val="18"/>
              </w:rPr>
              <w:t xml:space="preserve">margen</w:t>
            </w:r>
            <w:r>
              <w:rPr>
                <w:rFonts w:ascii="Cambria" w:cs="Cambria" w:eastAsia="Cambria" w:hAnsi="Cambria"/>
                <w:color w:val="3A3A3A"/>
                <w:sz w:val="18"/>
                <w:szCs w:val="18"/>
              </w:rPr>
              <w:t xml:space="preserve"> (fracción del ingreso) y restaría el </w:t>
            </w:r>
            <w:r>
              <w:rPr>
                <w:rFonts w:ascii="Cambria" w:cs="Cambria" w:eastAsia="Cambria" w:hAnsi="Cambria"/>
                <w:b/>
                <w:bCs/>
                <w:color w:val="3A3A3A"/>
                <w:sz w:val="18"/>
                <w:szCs w:val="18"/>
              </w:rPr>
              <w:t xml:space="preserve">coste de la campaña</w:t>
            </w:r>
            <w:r>
              <w:rPr>
                <w:rFonts w:ascii="Cambria" w:cs="Cambria" w:eastAsia="Cambria" w:hAnsi="Cambria"/>
                <w:color w:val="3A3A3A"/>
                <w:sz w:val="18"/>
                <w:szCs w:val="18"/>
              </w:rPr>
              <w:t xml:space="preserve">. Declarar m, d = tasa de descuento por periodo y un horizonte declarado. Usar </w:t>
            </w:r>
            <w:r>
              <w:rPr>
                <w:rFonts w:ascii="Consolas" w:cs="Consolas" w:eastAsia="Consolas" w:hAnsi="Consolas"/>
                <w:color w:val="7A1526"/>
                <w:sz w:val="16"/>
                <w:szCs w:val="16"/>
              </w:rPr>
              <w:t xml:space="preserve">S(t)</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periodo a periodo</w:t>
            </w:r>
            <w:r>
              <w:rPr>
                <w:rFonts w:ascii="Cambria" w:cs="Cambria" w:eastAsia="Cambria" w:hAnsi="Cambria"/>
                <w:color w:val="3A3A3A"/>
                <w:sz w:val="18"/>
                <w:szCs w:val="18"/>
              </w:rPr>
              <w:t xml:space="preserve"> (no una vida media fija) y </w:t>
            </w:r>
            <w:r>
              <w:rPr>
                <w:rFonts w:ascii="Cambria" w:cs="Cambria" w:eastAsia="Cambria" w:hAnsi="Cambria"/>
                <w:b/>
                <w:bCs/>
                <w:color w:val="3A3A3A"/>
                <w:sz w:val="18"/>
                <w:szCs w:val="18"/>
              </w:rPr>
              <w:t xml:space="preserve">descontar</w:t>
            </w:r>
            <w:r>
              <w:rPr>
                <w:rFonts w:ascii="Cambria" w:cs="Cambria" w:eastAsia="Cambria" w:hAnsi="Cambria"/>
                <w:color w:val="3A3A3A"/>
                <w:sz w:val="18"/>
                <w:szCs w:val="18"/>
              </w:rPr>
              <w:t xml:space="preserve">. Comparar los segmentos y explicar la relación entre </w:t>
            </w:r>
            <w:r>
              <w:rPr>
                <w:rFonts w:ascii="Cambria" w:cs="Cambria" w:eastAsia="Cambria" w:hAnsi="Cambria"/>
                <w:b/>
                <w:bCs/>
                <w:color w:val="3A3A3A"/>
                <w:sz w:val="18"/>
                <w:szCs w:val="18"/>
              </w:rPr>
              <w:t xml:space="preserve">ingreso mensual</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retención</w:t>
            </w:r>
            <w:r>
              <w:rPr>
                <w:rFonts w:ascii="Cambria" w:cs="Cambria" w:eastAsia="Cambria" w:hAnsi="Cambria"/>
                <w:color w:val="3A3A3A"/>
                <w:sz w:val="18"/>
                <w:szCs w:val="18"/>
              </w:rPr>
              <w:t xml:space="preserve"> y valor: el motor es </w:t>
            </w:r>
            <w:r>
              <w:rPr>
                <w:rFonts w:ascii="Cambria" w:cs="Cambria" w:eastAsia="Cambria" w:hAnsi="Cambria"/>
                <w:b/>
                <w:bCs/>
                <w:color w:val="3A3A3A"/>
                <w:sz w:val="18"/>
                <w:szCs w:val="18"/>
              </w:rPr>
              <w:t xml:space="preserve">retención × margen</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2.6   </w:t>
            </w:r>
            <w:r>
              <w:rPr>
                <w:rFonts w:ascii="Calibri" w:cs="Calibri" w:eastAsia="Calibri" w:hAnsi="Calibri"/>
                <w:b/>
                <w:bCs/>
                <w:color w:val="7A1526"/>
                <w:sz w:val="19"/>
                <w:szCs w:val="19"/>
              </w:rPr>
              <w:t xml:space="preserve">Recomendación de retención priorizada + convención Excel</w:t>
            </w:r>
          </w:p>
          <w:p>
            <w:pPr>
              <w:spacing w:after="70" w:line="265"/>
            </w:pPr>
            <w:r>
              <w:rPr>
                <w:rFonts w:ascii="Cambria" w:cs="Cambria" w:eastAsia="Cambria" w:hAnsi="Cambria"/>
                <w:color w:val="3A3A3A"/>
                <w:sz w:val="18"/>
                <w:szCs w:val="18"/>
              </w:rPr>
              <w:t xml:space="preserve">Traducir todo a una </w:t>
            </w:r>
            <w:r>
              <w:rPr>
                <w:rFonts w:ascii="Cambria" w:cs="Cambria" w:eastAsia="Cambria" w:hAnsi="Cambria"/>
                <w:b/>
                <w:bCs/>
                <w:color w:val="3A3A3A"/>
                <w:sz w:val="18"/>
                <w:szCs w:val="18"/>
              </w:rPr>
              <w:t xml:space="preserve">recomendación accionable</w:t>
            </w:r>
            <w:r>
              <w:rPr>
                <w:rFonts w:ascii="Cambria" w:cs="Cambria" w:eastAsia="Cambria" w:hAnsi="Cambria"/>
                <w:color w:val="3A3A3A"/>
                <w:sz w:val="18"/>
                <w:szCs w:val="18"/>
              </w:rPr>
              <w:t xml:space="preserve">: qué segmento priorizar, con qué intervención y con qué </w:t>
            </w:r>
            <w:r>
              <w:rPr>
                <w:rFonts w:ascii="Cambria" w:cs="Cambria" w:eastAsia="Cambria" w:hAnsi="Cambria"/>
                <w:b/>
                <w:bCs/>
                <w:color w:val="3A3A3A"/>
                <w:sz w:val="18"/>
                <w:szCs w:val="18"/>
              </w:rPr>
              <w:t xml:space="preserve">techo de gasto</w:t>
            </w:r>
            <w:r>
              <w:rPr>
                <w:rFonts w:ascii="Cambria" w:cs="Cambria" w:eastAsia="Cambria" w:hAnsi="Cambria"/>
                <w:color w:val="3A3A3A"/>
                <w:sz w:val="18"/>
                <w:szCs w:val="18"/>
              </w:rPr>
              <w:t xml:space="preserve"> (el CLV o el diferencial de CLV). No priorizar factores cuyo IC del HR cruza 1. Declarar las </w:t>
            </w:r>
            <w:r>
              <w:rPr>
                <w:rFonts w:ascii="Cambria" w:cs="Cambria" w:eastAsia="Cambria" w:hAnsi="Cambria"/>
                <w:b/>
                <w:bCs/>
                <w:color w:val="3A3A3A"/>
                <w:sz w:val="18"/>
                <w:szCs w:val="18"/>
              </w:rPr>
              <w:t xml:space="preserve">salvaguardas</w:t>
            </w:r>
            <w:r>
              <w:rPr>
                <w:rFonts w:ascii="Cambria" w:cs="Cambria" w:eastAsia="Cambria" w:hAnsi="Cambria"/>
                <w:color w:val="3A3A3A"/>
                <w:sz w:val="18"/>
                <w:szCs w:val="18"/>
              </w:rPr>
              <w:t xml:space="preserve"> (la censura, el supuesto de PH corregido, el CLV como techo). Volcar todos los resultados (KM por segmento, log-rank, HR con IC, Schoenfeld, CLV) a </w:t>
            </w:r>
            <w:r>
              <w:rPr>
                <w:rFonts w:ascii="Consolas" w:cs="Consolas" w:eastAsia="Consolas" w:hAnsi="Consolas"/>
                <w:color w:val="7A1526"/>
                <w:sz w:val="16"/>
                <w:szCs w:val="16"/>
              </w:rPr>
              <w:t xml:space="preserve">resultados/S13_resultados.xlsx</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survival</w:t>
            </w:r>
            <w:r>
              <w:rPr>
                <w:rFonts w:ascii="Cambria" w:cs="Cambria" w:eastAsia="Cambria" w:hAnsi="Cambria"/>
                <w:color w:val="3A3A3A"/>
                <w:sz w:val="18"/>
                <w:szCs w:val="18"/>
              </w:rPr>
              <w:t xml:space="preserve">) y generar las </w:t>
            </w:r>
            <w:r>
              <w:rPr>
                <w:rFonts w:ascii="Cambria" w:cs="Cambria" w:eastAsia="Cambria" w:hAnsi="Cambria"/>
                <w:b/>
                <w:bCs/>
                <w:color w:val="3A3A3A"/>
                <w:sz w:val="18"/>
                <w:szCs w:val="18"/>
              </w:rPr>
              <w:t xml:space="preserve">figuras de resultados al leer ese Excel</w:t>
            </w:r>
            <w:r>
              <w:rPr>
                <w:rFonts w:ascii="Cambria" w:cs="Cambria" w:eastAsia="Cambria" w:hAnsi="Cambria"/>
                <w:color w:val="3A3A3A"/>
                <w:sz w:val="18"/>
                <w:szCs w:val="18"/>
              </w:rPr>
              <w:t xml:space="preserve"> (convención del curso; el EDA de datos crudos puede trazarse directo). Materializar la ficha de la sesión en </w:t>
            </w:r>
            <w:r>
              <w:rPr>
                <w:rFonts w:ascii="Consolas" w:cs="Consolas" w:eastAsia="Consolas" w:hAnsi="Consolas"/>
                <w:color w:val="7A1526"/>
                <w:sz w:val="16"/>
                <w:szCs w:val="16"/>
              </w:rPr>
              <w:t xml:space="preserve">plantillas/reporte_supervivencia_clv.docx</w:t>
            </w:r>
            <w:r>
              <w:rPr>
                <w:rFonts w:ascii="Cambria" w:cs="Cambria" w:eastAsia="Cambria" w:hAnsi="Cambria"/>
                <w:color w:val="3A3A3A"/>
                <w:sz w:val="18"/>
                <w:szCs w:val="18"/>
              </w:rPr>
              <w:t xml:space="preserve">.</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FORMATO DE ENTREGA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Informe en.md o.docx con las figuras y tablas exportadas desde el cuaderno.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análisis reproducible en </w:t>
            </w:r>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los resultados numéricos (KM por segmento con </w:t>
            </w:r>
            <w:r>
              <w:rPr>
                <w:rFonts w:ascii="Consolas" w:cs="Consolas" w:eastAsia="Consolas" w:hAnsi="Consolas"/>
                <w:color w:val="7A1526"/>
                <w:sz w:val="17"/>
                <w:szCs w:val="17"/>
              </w:rPr>
              <w:t xml:space="preserve">S(t)</w:t>
            </w:r>
            <w:r>
              <w:rPr>
                <w:rFonts w:ascii="Cambria" w:cs="Cambria" w:eastAsia="Cambria" w:hAnsi="Cambria"/>
                <w:color w:val="2D2D2D"/>
                <w:sz w:val="19"/>
                <w:szCs w:val="19"/>
              </w:rPr>
              <w:t xml:space="preserve"> a horizontes, log-rank, HR con IC y concordancia, test de Schoenfeld, CLV por segmento) volcados a </w:t>
            </w:r>
            <w:r>
              <w:rPr>
                <w:rFonts w:ascii="Consolas" w:cs="Consolas" w:eastAsia="Consolas" w:hAnsi="Consolas"/>
                <w:color w:val="7A1526"/>
                <w:sz w:val="17"/>
                <w:szCs w:val="17"/>
              </w:rPr>
              <w:t xml:space="preserve">resultados/S13_resultados.xlsx</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survival</w:t>
            </w:r>
            <w:r>
              <w:rPr>
                <w:rFonts w:ascii="Cambria" w:cs="Cambria" w:eastAsia="Cambria" w:hAnsi="Cambria"/>
                <w:color w:val="2D2D2D"/>
                <w:sz w:val="19"/>
                <w:szCs w:val="19"/>
              </w:rPr>
              <w:t xml:space="preserve">), con las </w:t>
            </w:r>
            <w:r>
              <w:rPr>
                <w:rFonts w:ascii="Cambria" w:cs="Cambria" w:eastAsia="Cambria" w:hAnsi="Cambria"/>
                <w:b/>
                <w:bCs/>
                <w:color w:val="2D2D2D"/>
                <w:sz w:val="19"/>
                <w:szCs w:val="19"/>
              </w:rPr>
              <w:t xml:space="preserve">figuras de resultados generadas al leer ese Excel</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Toda cifra citada debe existir en el cuaderno o en el Excel de resultados (</w:t>
            </w:r>
            <w:r>
              <w:rPr>
                <w:rFonts w:ascii="Cambria" w:cs="Cambria" w:eastAsia="Cambria" w:hAnsi="Cambria"/>
                <w:b/>
                <w:bCs/>
                <w:color w:val="2D2D2D"/>
                <w:sz w:val="19"/>
                <w:szCs w:val="19"/>
              </w:rPr>
              <w:t xml:space="preserve">operativo = venv</w:t>
            </w:r>
            <w:r>
              <w:rPr>
                <w:rFonts w:ascii="Cambria" w:cs="Cambria" w:eastAsia="Cambria" w:hAnsi="Cambria"/>
                <w:color w:val="2D2D2D"/>
                <w:sz w:val="19"/>
                <w:szCs w:val="19"/>
              </w:rPr>
              <w:t xml:space="preserve">). Las cifras publicadas de la técnica (salida de lifelines sobre Rossi, HR de la literatura de Cox/Kalbfleisch &amp; Prentice) se citan </w:t>
            </w:r>
            <w:r>
              <w:rPr>
                <w:rFonts w:ascii="Cambria" w:cs="Cambria" w:eastAsia="Cambria" w:hAnsi="Cambria"/>
                <w:b/>
                <w:bCs/>
                <w:color w:val="2D2D2D"/>
                <w:sz w:val="19"/>
                <w:szCs w:val="19"/>
              </w:rPr>
              <w:t xml:space="preserve">etiquetadas como benchmark</w:t>
            </w:r>
            <w:r>
              <w:rPr>
                <w:rFonts w:ascii="Cambria" w:cs="Cambria" w:eastAsia="Cambria" w:hAnsi="Cambria"/>
                <w:color w:val="2D2D2D"/>
                <w:sz w:val="19"/>
                <w:szCs w:val="19"/>
              </w:rPr>
              <w:t xml:space="preserve">, nunca como resultado propio.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w:t>
            </w:r>
            <w:r>
              <w:rPr>
                <w:rFonts w:ascii="Cambria" w:cs="Cambria" w:eastAsia="Cambria" w:hAnsi="Cambria"/>
                <w:b/>
                <w:bCs/>
                <w:color w:val="2D2D2D"/>
                <w:sz w:val="19"/>
                <w:szCs w:val="19"/>
              </w:rPr>
              <w:t xml:space="preserve">protocolo debe quedar fijado</w:t>
            </w:r>
            <w:r>
              <w:rPr>
                <w:rFonts w:ascii="Cambria" w:cs="Cambria" w:eastAsia="Cambria" w:hAnsi="Cambria"/>
                <w:color w:val="2D2D2D"/>
                <w:sz w:val="19"/>
                <w:szCs w:val="19"/>
              </w:rPr>
              <w:t xml:space="preserve"> para ser reproducible: limpieza de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definición de duration/event, covariables de la Cox, y los parámetros m, d y horizonte del CLV. La MLE de Cox es determinista (no lleva semilla).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Censura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evento:</w:t>
            </w:r>
            <w:r>
              <w:rPr>
                <w:rFonts w:ascii="Cambria" w:cs="Cambria" w:eastAsia="Cambria" w:hAnsi="Cambria"/>
                <w:color w:val="2D2D2D"/>
                <w:sz w:val="19"/>
                <w:szCs w:val="19"/>
              </w:rPr>
              <w:t xml:space="preserve"> un cliente censurado (</w:t>
            </w:r>
            <w:r>
              <w:rPr>
                <w:rFonts w:ascii="Consolas" w:cs="Consolas" w:eastAsia="Consolas" w:hAnsi="Consolas"/>
                <w:color w:val="7A1526"/>
                <w:sz w:val="17"/>
                <w:szCs w:val="17"/>
              </w:rPr>
              <w:t xml:space="preserve">Churn=No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un cliente que se fue; </w:t>
            </w:r>
            <w:r>
              <w:rPr>
                <w:rFonts w:ascii="Cambria" w:cs="Cambria" w:eastAsia="Cambria" w:hAnsi="Cambria"/>
                <w:b/>
                <w:bCs/>
                <w:color w:val="2D2D2D"/>
                <w:sz w:val="19"/>
                <w:szCs w:val="19"/>
              </w:rPr>
              <w:t xml:space="preserve">hazard ratio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probabilidad</w:t>
            </w:r>
            <w:r>
              <w:rPr>
                <w:rFonts w:ascii="Cambria" w:cs="Cambria" w:eastAsia="Cambria" w:hAnsi="Cambria"/>
                <w:color w:val="2D2D2D"/>
                <w:sz w:val="19"/>
                <w:szCs w:val="19"/>
              </w:rPr>
              <w:t xml:space="preserve"> ni odds ratio (S09); un p </w:t>
            </w:r>
            <w:r>
              <w:rPr>
                <w:rFonts w:ascii="Cambria" w:cs="Cambria" w:eastAsia="Cambria" w:hAnsi="Cambria"/>
                <w:b/>
                <w:bCs/>
                <w:color w:val="2D2D2D"/>
                <w:sz w:val="19"/>
                <w:szCs w:val="19"/>
              </w:rPr>
              <w:t xml:space="preserve">bajo</w:t>
            </w:r>
            <w:r>
              <w:rPr>
                <w:rFonts w:ascii="Cambria" w:cs="Cambria" w:eastAsia="Cambria" w:hAnsi="Cambria"/>
                <w:color w:val="2D2D2D"/>
                <w:sz w:val="19"/>
                <w:szCs w:val="19"/>
              </w:rPr>
              <w:t xml:space="preserve"> en Schoenfeld es </w:t>
            </w:r>
            <w:r>
              <w:rPr>
                <w:rFonts w:ascii="Cambria" w:cs="Cambria" w:eastAsia="Cambria" w:hAnsi="Cambria"/>
                <w:b/>
                <w:bCs/>
                <w:color w:val="2D2D2D"/>
                <w:sz w:val="19"/>
                <w:szCs w:val="19"/>
              </w:rPr>
              <w:t xml:space="preserve">malo</w:t>
            </w:r>
            <w:r>
              <w:rPr>
                <w:rFonts w:ascii="Cambria" w:cs="Cambria" w:eastAsia="Cambria" w:hAnsi="Cambria"/>
                <w:color w:val="2D2D2D"/>
                <w:sz w:val="19"/>
                <w:szCs w:val="19"/>
              </w:rPr>
              <w:t xml:space="preserve"> (viola PH), al revés que en la tabla de Cox.</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Prohibido:</w:t>
            </w:r>
            <w:r>
              <w:rPr>
                <w:rFonts w:ascii="Cambria" w:cs="Cambria" w:eastAsia="Cambria" w:hAnsi="Cambria"/>
                <w:color w:val="2D2D2D"/>
                <w:sz w:val="19"/>
                <w:szCs w:val="19"/>
              </w:rPr>
              <w:t xml:space="preserve"> descartar los censurados o tratar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como tiempo de vida completo; leer el </w:t>
            </w:r>
            <w:r>
              <w:rPr>
                <w:rFonts w:ascii="Cambria" w:cs="Cambria" w:eastAsia="Cambria" w:hAnsi="Cambria"/>
                <w:b/>
                <w:bCs/>
                <w:color w:val="2D2D2D"/>
                <w:sz w:val="19"/>
                <w:szCs w:val="19"/>
              </w:rPr>
              <w:t xml:space="preserve">hazard ratio como una probabilidad</w:t>
            </w:r>
            <w:r>
              <w:rPr>
                <w:rFonts w:ascii="Cambria" w:cs="Cambria" w:eastAsia="Cambria" w:hAnsi="Cambria"/>
                <w:color w:val="2D2D2D"/>
                <w:sz w:val="19"/>
                <w:szCs w:val="19"/>
              </w:rPr>
              <w:t xml:space="preserve"> o como «se irán X veces antes»; reportar un HR </w:t>
            </w:r>
            <w:r>
              <w:rPr>
                <w:rFonts w:ascii="Cambria" w:cs="Cambria" w:eastAsia="Cambria" w:hAnsi="Cambria"/>
                <w:b/>
                <w:bCs/>
                <w:color w:val="2D2D2D"/>
                <w:sz w:val="19"/>
                <w:szCs w:val="19"/>
              </w:rPr>
              <w:t xml:space="preserve">sin su intervalo de confianza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borrar</w:t>
            </w:r>
            <w:r>
              <w:rPr>
                <w:rFonts w:ascii="Cambria" w:cs="Cambria" w:eastAsia="Cambria" w:hAnsi="Cambria"/>
                <w:color w:val="2D2D2D"/>
                <w:sz w:val="19"/>
                <w:szCs w:val="19"/>
              </w:rPr>
              <w:t xml:space="preserve"> una covariable que viola PH en vez de corregirla; usar una </w:t>
            </w:r>
            <w:r>
              <w:rPr>
                <w:rFonts w:ascii="Cambria" w:cs="Cambria" w:eastAsia="Cambria" w:hAnsi="Cambria"/>
                <w:b/>
                <w:bCs/>
                <w:color w:val="2D2D2D"/>
                <w:sz w:val="19"/>
                <w:szCs w:val="19"/>
              </w:rPr>
              <w:t xml:space="preserve">vida media fija</w:t>
            </w:r>
            <w:r>
              <w:rPr>
                <w:rFonts w:ascii="Cambria" w:cs="Cambria" w:eastAsia="Cambria" w:hAnsi="Cambria"/>
                <w:color w:val="2D2D2D"/>
                <w:sz w:val="19"/>
                <w:szCs w:val="19"/>
              </w:rPr>
              <w:t xml:space="preserve"> en lugar de </w:t>
            </w:r>
            <w:r>
              <w:rPr>
                <w:rFonts w:ascii="Consolas" w:cs="Consolas" w:eastAsia="Consolas" w:hAnsi="Consolas"/>
                <w:color w:val="7A1526"/>
                <w:sz w:val="17"/>
                <w:szCs w:val="17"/>
              </w:rPr>
              <w:t xml:space="preserve">S(t)</w:t>
            </w:r>
            <w:r>
              <w:rPr>
                <w:rFonts w:ascii="Cambria" w:cs="Cambria" w:eastAsia="Cambria" w:hAnsi="Cambria"/>
                <w:color w:val="2D2D2D"/>
                <w:sz w:val="19"/>
                <w:szCs w:val="19"/>
              </w:rPr>
              <w:t xml:space="preserve"> periodo a periodo para el CLV, u omitir el descuento d; extrapolar </w:t>
            </w:r>
            <w:r>
              <w:rPr>
                <w:rFonts w:ascii="Consolas" w:cs="Consolas" w:eastAsia="Consolas" w:hAnsi="Consolas"/>
                <w:color w:val="7A1526"/>
                <w:sz w:val="17"/>
                <w:szCs w:val="17"/>
              </w:rPr>
              <w:t xml:space="preserve">S(t)</w:t>
            </w:r>
            <w:r>
              <w:rPr>
                <w:rFonts w:ascii="Cambria" w:cs="Cambria" w:eastAsia="Cambria" w:hAnsi="Cambria"/>
                <w:color w:val="2D2D2D"/>
                <w:sz w:val="19"/>
                <w:szCs w:val="19"/>
              </w:rPr>
              <w:t xml:space="preserve"> con la cola plana de Kaplan-Meier; y entrar en sistemas de recomendación (S14) —fuera de alcance—.</w:t>
            </w:r>
          </w:p>
        </w:tc>
      </w:tr>
    </w:tbl>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RÚBRICA DE EVALUACIÓN</w:t>
      </w:r>
    </w:p>
    <w:p>
      <w:pPr>
        <w:keepNext/>
        <w:pBdr>
          <w:bottom w:val="single" w:color="E4002B" w:sz="14" w:space="8"/>
        </w:pBdr>
        <w:spacing w:after="140"/>
      </w:pPr>
      <w:r>
        <w:rPr>
          <w:rFonts w:ascii="Cambria" w:cs="Cambria" w:eastAsia="Cambria" w:hAnsi="Cambria"/>
          <w:i/>
          <w:iCs/>
          <w:color w:val="6E6E6E"/>
          <w:sz w:val="19"/>
          <w:szCs w:val="19"/>
        </w:rPr>
        <w:t xml:space="preserve">Escala vigesimal, 0–20 · seis criterios × cuatro niveles</w:t>
      </w:r>
      <w:r>
        <w:rPr>
          <w:rFonts w:ascii="Cambria" w:cs="Cambria" w:eastAsia="Cambria" w:hAnsi="Cambria"/>
          <w:b/>
          <w:bCs/>
          <w:color w:val="7A1526"/>
          <w:sz w:val="19"/>
          <w:szCs w:val="19"/>
        </w:rPr>
        <w:t xml:space="preserve">   |   total 20 puntos</w:t>
      </w:r>
    </w:p>
    <w:p>
      <w:pPr>
        <w:spacing w:line="270"/>
      </w:pPr>
      <w:r>
        <w:rPr>
          <w:rFonts w:ascii="Cambria" w:cs="Cambria" w:eastAsia="Cambria" w:hAnsi="Cambria"/>
          <w:color w:val="2D2D2D"/>
          <w:sz w:val="20"/>
          <w:szCs w:val="20"/>
        </w:rPr>
        <w:t xml:space="preserve">Seis criterios × cuatro niveles. La columna </w:t>
      </w:r>
      <w:r>
        <w:rPr>
          <w:rFonts w:ascii="Cambria" w:cs="Cambria" w:eastAsia="Cambria" w:hAnsi="Cambria"/>
          <w:b/>
          <w:bCs/>
          <w:color w:val="2D2D2D"/>
          <w:sz w:val="20"/>
          <w:szCs w:val="20"/>
        </w:rPr>
        <w:t xml:space="preserve">Peso (máx.)</w:t>
      </w:r>
      <w:r>
        <w:rPr>
          <w:rFonts w:ascii="Cambria" w:cs="Cambria" w:eastAsia="Cambria" w:hAnsi="Cambria"/>
          <w:color w:val="2D2D2D"/>
          <w:sz w:val="20"/>
          <w:szCs w:val="20"/>
        </w:rPr>
        <w:t xml:space="preserve"> es el puntaje del nivel </w:t>
      </w:r>
      <w:r>
        <w:rPr>
          <w:rFonts w:ascii="Cambria" w:cs="Cambria" w:eastAsia="Cambria" w:hAnsi="Cambria"/>
          <w:i/>
          <w:iCs/>
          <w:color w:val="2D2D2D"/>
          <w:sz w:val="20"/>
          <w:szCs w:val="20"/>
        </w:rPr>
        <w:t xml:space="preserve">Excelente</w:t>
      </w:r>
      <w:r>
        <w:rPr>
          <w:rFonts w:ascii="Cambria" w:cs="Cambria" w:eastAsia="Cambria" w:hAnsi="Cambria"/>
          <w:color w:val="2D2D2D"/>
          <w:sz w:val="20"/>
          <w:szCs w:val="20"/>
        </w:rPr>
        <w:t xml:space="preserve">; los pesos </w:t>
      </w:r>
      <w:r>
        <w:rPr>
          <w:rFonts w:ascii="Cambria" w:cs="Cambria" w:eastAsia="Cambria" w:hAnsi="Cambria"/>
          <w:b/>
          <w:bCs/>
          <w:color w:val="2D2D2D"/>
          <w:sz w:val="20"/>
          <w:szCs w:val="20"/>
        </w:rPr>
        <w:t xml:space="preserve">suman exactamente 20</w:t>
      </w:r>
      <w:r>
        <w:rPr>
          <w:rFonts w:ascii="Cambria" w:cs="Cambria" w:eastAsia="Cambria" w:hAnsi="Cambria"/>
          <w:color w:val="2D2D2D"/>
          <w:sz w:val="20"/>
          <w:szCs w:val="20"/>
        </w:rPr>
        <w:t xml:space="preserve">. Cada nivel otorga el puntaje indicado entre paréntesis.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20"/>
        <w:gridCol w:w="1638"/>
        <w:gridCol w:w="1638"/>
        <w:gridCol w:w="1638"/>
        <w:gridCol w:w="1638"/>
        <w:gridCol w:w="908"/>
      </w:tblGrid>
      <w:tr>
        <w:trPr>
          <w:tblHeader/>
        </w:trPr>
        <w:tc>
          <w:tcPr>
            <w:tcW w:type="dxa" w:w="2620"/>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r>
              <w:rPr>
                <w:rFonts w:ascii="Calibri" w:cs="Calibri" w:eastAsia="Calibri" w:hAnsi="Calibri"/>
                <w:b/>
                <w:bCs/>
                <w:color w:val="FFFFFF"/>
                <w:sz w:val="14"/>
                <w:szCs w:val="14"/>
              </w:rPr>
              <w:t xml:space="preserve">CRITERIO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INSUFICIENTE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BÁSICO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COMPETENTE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EXCELENTE</w:t>
            </w:r>
          </w:p>
        </w:tc>
        <w:tc>
          <w:tcPr>
            <w:tcW w:type="dxa" w:w="90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PESO</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C1. Preparación y reconocimiento de la censura</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prepara los datos o no reconoce la censura.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Carga y limpia los datos pero trata </w:t>
            </w:r>
            <w:r>
              <w:rPr>
                <w:rFonts w:ascii="Consolas" w:cs="Consolas" w:eastAsia="Consolas" w:hAnsi="Consolas"/>
                <w:color w:val="7A1526"/>
                <w:sz w:val="14"/>
                <w:szCs w:val="14"/>
              </w:rPr>
              <w:t xml:space="preserve">tenure</w:t>
            </w:r>
            <w:r>
              <w:rPr>
                <w:rFonts w:ascii="Cambria" w:cs="Cambria" w:eastAsia="Cambria" w:hAnsi="Cambria"/>
                <w:color w:val="2D2D2D"/>
                <w:sz w:val="16"/>
                <w:szCs w:val="16"/>
              </w:rPr>
              <w:t xml:space="preserve"> como tiempo completo (ignora la censura).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Fija duration/event y menciona que los activos son censurados.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Datos limpios (7032 filas), </w:t>
            </w:r>
            <w:r>
              <w:rPr>
                <w:rFonts w:ascii="Consolas" w:cs="Consolas" w:eastAsia="Consolas" w:hAnsi="Consolas"/>
                <w:color w:val="7A1526"/>
                <w:sz w:val="14"/>
                <w:szCs w:val="14"/>
              </w:rPr>
              <w:t xml:space="preserve">duration=tenure</w:t>
            </w:r>
            <w:r>
              <w:rPr>
                <w:rFonts w:ascii="Cambria" w:cs="Cambria" w:eastAsia="Cambria" w:hAnsi="Cambria"/>
                <w:color w:val="2D2D2D"/>
                <w:sz w:val="16"/>
                <w:szCs w:val="16"/>
              </w:rPr>
              <w:t xml:space="preserve">/</w:t>
            </w:r>
            <w:r>
              <w:rPr>
                <w:rFonts w:ascii="Consolas" w:cs="Consolas" w:eastAsia="Consolas" w:hAnsi="Consolas"/>
                <w:color w:val="7A1526"/>
                <w:sz w:val="14"/>
                <w:szCs w:val="14"/>
              </w:rPr>
              <w:t xml:space="preserve">event=Churn</w:t>
            </w:r>
            <w:r>
              <w:rPr>
                <w:rFonts w:ascii="Cambria" w:cs="Cambria" w:eastAsia="Cambria" w:hAnsi="Cambria"/>
                <w:color w:val="2D2D2D"/>
                <w:sz w:val="16"/>
                <w:szCs w:val="16"/>
              </w:rPr>
              <w:t xml:space="preserve"> correctos, y la </w:t>
            </w:r>
            <w:r>
              <w:rPr>
                <w:rFonts w:ascii="Cambria" w:cs="Cambria" w:eastAsia="Cambria" w:hAnsi="Cambria"/>
                <w:b/>
                <w:bCs/>
                <w:color w:val="2D2D2D"/>
                <w:sz w:val="16"/>
                <w:szCs w:val="16"/>
              </w:rPr>
              <w:t xml:space="preserve">censura por la derecha explicada</w:t>
            </w:r>
            <w:r>
              <w:rPr>
                <w:rFonts w:ascii="Cambria" w:cs="Cambria" w:eastAsia="Cambria" w:hAnsi="Cambria"/>
                <w:color w:val="2D2D2D"/>
                <w:sz w:val="16"/>
                <w:szCs w:val="16"/>
              </w:rPr>
              <w:t xml:space="preserve"> (por qué los activos no se descartan ni se tratan como completos, y por qué la regresión clásica no sirve).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C2. Curvas KM por segmento + log-rank</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estima curvas KM o no compara grupos.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Grafica una curva global sin segmentar o sin log-rank.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KM por segmento con </w:t>
            </w:r>
            <w:r>
              <w:rPr>
                <w:rFonts w:ascii="Consolas" w:cs="Consolas" w:eastAsia="Consolas" w:hAnsi="Consolas"/>
                <w:color w:val="7A1526"/>
                <w:sz w:val="14"/>
                <w:szCs w:val="14"/>
              </w:rPr>
              <w:t xml:space="preserve">S(t)</w:t>
            </w:r>
            <w:r>
              <w:rPr>
                <w:rFonts w:ascii="Cambria" w:cs="Cambria" w:eastAsia="Cambria" w:hAnsi="Cambria"/>
                <w:color w:val="2D2D2D"/>
                <w:sz w:val="16"/>
                <w:szCs w:val="16"/>
              </w:rPr>
              <w:t xml:space="preserve"> a algún horizonte y log-rank reportado.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KM por </w:t>
            </w:r>
            <w:r>
              <w:rPr>
                <w:rFonts w:ascii="Consolas" w:cs="Consolas" w:eastAsia="Consolas" w:hAnsi="Consolas"/>
                <w:color w:val="7A1526"/>
                <w:sz w:val="14"/>
                <w:szCs w:val="14"/>
              </w:rPr>
              <w:t xml:space="preserve">Contract</w:t>
            </w:r>
            <w:r>
              <w:rPr>
                <w:rFonts w:ascii="Cambria" w:cs="Cambria" w:eastAsia="Cambria" w:hAnsi="Cambria"/>
                <w:color w:val="2D2D2D"/>
                <w:sz w:val="16"/>
                <w:szCs w:val="16"/>
              </w:rPr>
              <w:t xml:space="preserve"> con </w:t>
            </w:r>
            <w:r>
              <w:rPr>
                <w:rFonts w:ascii="Consolas" w:cs="Consolas" w:eastAsia="Consolas" w:hAnsi="Consolas"/>
                <w:color w:val="7A1526"/>
                <w:sz w:val="14"/>
                <w:szCs w:val="14"/>
              </w:rPr>
              <w:t xml:space="preserve">S(t)</w:t>
            </w:r>
            <w:r>
              <w:rPr>
                <w:rFonts w:ascii="Cambria" w:cs="Cambria" w:eastAsia="Cambria" w:hAnsi="Cambria"/>
                <w:color w:val="2D2D2D"/>
                <w:sz w:val="16"/>
                <w:szCs w:val="16"/>
              </w:rPr>
              <w:t xml:space="preserve"> a horizontes clave (12/24/72) y </w:t>
            </w:r>
            <w:r>
              <w:rPr>
                <w:rFonts w:ascii="Cambria" w:cs="Cambria" w:eastAsia="Cambria" w:hAnsi="Cambria"/>
                <w:b/>
                <w:bCs/>
                <w:color w:val="2D2D2D"/>
                <w:sz w:val="16"/>
                <w:szCs w:val="16"/>
              </w:rPr>
              <w:t xml:space="preserve">mediana</w:t>
            </w:r>
            <w:r>
              <w:rPr>
                <w:rFonts w:ascii="Cambria" w:cs="Cambria" w:eastAsia="Cambria" w:hAnsi="Cambria"/>
                <w:color w:val="2D2D2D"/>
                <w:sz w:val="16"/>
                <w:szCs w:val="16"/>
              </w:rPr>
              <w:t xml:space="preserve"> (o «indefinida»), </w:t>
            </w:r>
            <w:r>
              <w:rPr>
                <w:rFonts w:ascii="Cambria" w:cs="Cambria" w:eastAsia="Cambria" w:hAnsi="Cambria"/>
                <w:b/>
                <w:bCs/>
                <w:color w:val="2D2D2D"/>
                <w:sz w:val="16"/>
                <w:szCs w:val="16"/>
              </w:rPr>
              <w:t xml:space="preserve">log-rank</w:t>
            </w:r>
            <w:r>
              <w:rPr>
                <w:rFonts w:ascii="Cambria" w:cs="Cambria" w:eastAsia="Cambria" w:hAnsi="Cambria"/>
                <w:color w:val="2D2D2D"/>
                <w:sz w:val="16"/>
                <w:szCs w:val="16"/>
              </w:rPr>
              <w:t xml:space="preserve"> con χ²/p e interpretación de la </w:t>
            </w:r>
            <w:r>
              <w:rPr>
                <w:rFonts w:ascii="Cambria" w:cs="Cambria" w:eastAsia="Cambria" w:hAnsi="Cambria"/>
                <w:b/>
                <w:bCs/>
                <w:color w:val="2D2D2D"/>
                <w:sz w:val="16"/>
                <w:szCs w:val="16"/>
              </w:rPr>
              <w:t xml:space="preserve">dirección</w:t>
            </w:r>
            <w:r>
              <w:rPr>
                <w:rFonts w:ascii="Cambria" w:cs="Cambria" w:eastAsia="Cambria" w:hAnsi="Cambria"/>
                <w:color w:val="2D2D2D"/>
                <w:sz w:val="16"/>
                <w:szCs w:val="16"/>
              </w:rPr>
              <w:t xml:space="preserve"> (qué contrato retiene mejor), curvas graficadas.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C3. Regresión de Cox (HR con IC y dirección)</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ajusta Cox o usa solo asociación cruda.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Ajusta Cox pero reporta HR sin IC o sin dirección.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Ajusta Cox, reporta HR con IC y dirección y la concordancia. </w:t>
            </w:r>
            <w:r>
              <w:rPr>
                <w:rFonts w:ascii="Cambria" w:cs="Cambria" w:eastAsia="Cambria" w:hAnsi="Cambria"/>
                <w:b/>
                <w:bCs/>
                <w:color w:val="2D2D2D"/>
                <w:sz w:val="16"/>
                <w:szCs w:val="16"/>
              </w:rPr>
              <w:t xml:space="preserve">(3)</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Cox bien especificada con </w:t>
            </w:r>
            <w:r>
              <w:rPr>
                <w:rFonts w:ascii="Cambria" w:cs="Cambria" w:eastAsia="Cambria" w:hAnsi="Cambria"/>
                <w:b/>
                <w:bCs/>
                <w:color w:val="2D2D2D"/>
                <w:sz w:val="16"/>
                <w:szCs w:val="16"/>
              </w:rPr>
              <w:t xml:space="preserve">HR + IC 95 % + dirección</w:t>
            </w:r>
            <w:r>
              <w:rPr>
                <w:rFonts w:ascii="Cambria" w:cs="Cambria" w:eastAsia="Cambria" w:hAnsi="Cambria"/>
                <w:color w:val="2D2D2D"/>
                <w:sz w:val="16"/>
                <w:szCs w:val="16"/>
              </w:rPr>
              <w:t xml:space="preserve"> por covariable, </w:t>
            </w:r>
            <w:r>
              <w:rPr>
                <w:rFonts w:ascii="Cambria" w:cs="Cambria" w:eastAsia="Cambria" w:hAnsi="Cambria"/>
                <w:b/>
                <w:bCs/>
                <w:color w:val="2D2D2D"/>
                <w:sz w:val="16"/>
                <w:szCs w:val="16"/>
              </w:rPr>
              <w:t xml:space="preserve">concordancia</w:t>
            </w:r>
            <w:r>
              <w:rPr>
                <w:rFonts w:ascii="Cambria" w:cs="Cambria" w:eastAsia="Cambria" w:hAnsi="Cambria"/>
                <w:color w:val="2D2D2D"/>
                <w:sz w:val="16"/>
                <w:szCs w:val="16"/>
              </w:rPr>
              <w:t xml:space="preserve"> reportada, covariables no significativas identificadas (IC cruza 1), </w:t>
            </w:r>
            <w:r>
              <w:rPr>
                <w:rFonts w:ascii="Cambria" w:cs="Cambria" w:eastAsia="Cambria" w:hAnsi="Cambria"/>
                <w:b/>
                <w:bCs/>
                <w:color w:val="2D2D2D"/>
                <w:sz w:val="16"/>
                <w:szCs w:val="16"/>
              </w:rPr>
              <w:t xml:space="preserve">efecto de supresión</w:t>
            </w:r>
            <w:r>
              <w:rPr>
                <w:rFonts w:ascii="Cambria" w:cs="Cambria" w:eastAsia="Cambria" w:hAnsi="Cambria"/>
                <w:color w:val="2D2D2D"/>
                <w:sz w:val="16"/>
                <w:szCs w:val="16"/>
              </w:rPr>
              <w:t xml:space="preserve"> comentado, y contraste con las curvas KM. </w:t>
            </w:r>
            <w:r>
              <w:rPr>
                <w:rFonts w:ascii="Cambria" w:cs="Cambria" w:eastAsia="Cambria" w:hAnsi="Cambria"/>
                <w:b/>
                <w:bCs/>
                <w:color w:val="2D2D2D"/>
                <w:sz w:val="16"/>
                <w:szCs w:val="16"/>
              </w:rPr>
              <w:t xml:space="preserve">(4)</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C4. Diagnóstico del supuesto de PH (Schoenfeld)</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diagnostica el supuesto de PH.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Corre el test pero no identifica cuál viola o confunde la lectura del p.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Identifica las covariables que violan PH (p &lt; 0,05) y las que cumplen.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Schoenfeld por covariable con la </w:t>
            </w:r>
            <w:r>
              <w:rPr>
                <w:rFonts w:ascii="Cambria" w:cs="Cambria" w:eastAsia="Cambria" w:hAnsi="Cambria"/>
                <w:b/>
                <w:bCs/>
                <w:color w:val="2D2D2D"/>
                <w:sz w:val="16"/>
                <w:szCs w:val="16"/>
              </w:rPr>
              <w:t xml:space="preserve">lectura correcta</w:t>
            </w:r>
            <w:r>
              <w:rPr>
                <w:rFonts w:ascii="Cambria" w:cs="Cambria" w:eastAsia="Cambria" w:hAnsi="Cambria"/>
                <w:color w:val="2D2D2D"/>
                <w:sz w:val="16"/>
                <w:szCs w:val="16"/>
              </w:rPr>
              <w:t xml:space="preserve"> (p bajo = viola, opuesto a Cox), covariable(s) en violación identificada(s), y </w:t>
            </w:r>
            <w:r>
              <w:rPr>
                <w:rFonts w:ascii="Cambria" w:cs="Cambria" w:eastAsia="Cambria" w:hAnsi="Cambria"/>
                <w:b/>
                <w:bCs/>
                <w:color w:val="2D2D2D"/>
                <w:sz w:val="16"/>
                <w:szCs w:val="16"/>
              </w:rPr>
              <w:t xml:space="preserve">corrección propuesta</w:t>
            </w:r>
            <w:r>
              <w:rPr>
                <w:rFonts w:ascii="Cambria" w:cs="Cambria" w:eastAsia="Cambria" w:hAnsi="Cambria"/>
                <w:color w:val="2D2D2D"/>
                <w:sz w:val="16"/>
                <w:szCs w:val="16"/>
              </w:rPr>
              <w:t xml:space="preserve"> (estratificar / interacción con el tiempo / splines) sin borrar la variable.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C5. Cálculo del valor por segmento (LTV bruto / CLV)</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calcula el valor o usa una vida fija.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Calcula el valor sin descuento o sin usar </w:t>
            </w:r>
            <w:r>
              <w:rPr>
                <w:rFonts w:ascii="Consolas" w:cs="Consolas" w:eastAsia="Consolas" w:hAnsi="Consolas"/>
                <w:color w:val="7A1526"/>
                <w:sz w:val="14"/>
                <w:szCs w:val="14"/>
              </w:rPr>
              <w:t xml:space="preserve">S(t)</w:t>
            </w:r>
            <w:r>
              <w:rPr>
                <w:rFonts w:ascii="Cambria" w:cs="Cambria" w:eastAsia="Cambria" w:hAnsi="Cambria"/>
                <w:color w:val="2D2D2D"/>
                <w:sz w:val="16"/>
                <w:szCs w:val="16"/>
              </w:rPr>
              <w:t xml:space="preserve"> periodo a periodo.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Valor por segmento con </w:t>
            </w:r>
            <w:r>
              <w:rPr>
                <w:rFonts w:ascii="Consolas" w:cs="Consolas" w:eastAsia="Consolas" w:hAnsi="Consolas"/>
                <w:color w:val="7A1526"/>
                <w:sz w:val="14"/>
                <w:szCs w:val="14"/>
              </w:rPr>
              <w:t xml:space="preserve">Σ m·S(t)/(1+d)ᵗ</w:t>
            </w:r>
            <w:r>
              <w:rPr>
                <w:rFonts w:ascii="Cambria" w:cs="Cambria" w:eastAsia="Cambria" w:hAnsi="Cambria"/>
                <w:color w:val="2D2D2D"/>
                <w:sz w:val="16"/>
                <w:szCs w:val="16"/>
              </w:rPr>
              <w:t xml:space="preserve">, descuento incluido. </w:t>
            </w:r>
            <w:r>
              <w:rPr>
                <w:rFonts w:ascii="Cambria" w:cs="Cambria" w:eastAsia="Cambria" w:hAnsi="Cambria"/>
                <w:b/>
                <w:bCs/>
                <w:color w:val="2D2D2D"/>
                <w:sz w:val="16"/>
                <w:szCs w:val="16"/>
              </w:rPr>
              <w:t xml:space="preserve">(3)</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Valor por segmento con </w:t>
            </w:r>
            <w:r>
              <w:rPr>
                <w:rFonts w:ascii="Consolas" w:cs="Consolas" w:eastAsia="Consolas" w:hAnsi="Consolas"/>
                <w:color w:val="7A1526"/>
                <w:sz w:val="14"/>
                <w:szCs w:val="14"/>
              </w:rPr>
              <w:t xml:space="preserve">S(t)</w:t>
            </w:r>
            <w:r>
              <w:rPr>
                <w:rFonts w:ascii="Cambria" w:cs="Cambria" w:eastAsia="Cambria" w:hAnsi="Cambria"/>
                <w:color w:val="2D2D2D"/>
                <w:sz w:val="16"/>
                <w:szCs w:val="16"/>
              </w:rPr>
              <w:t xml:space="preserve"> </w:t>
            </w:r>
            <w:r>
              <w:rPr>
                <w:rFonts w:ascii="Cambria" w:cs="Cambria" w:eastAsia="Cambria" w:hAnsi="Cambria"/>
                <w:b/>
                <w:bCs/>
                <w:color w:val="2D2D2D"/>
                <w:sz w:val="16"/>
                <w:szCs w:val="16"/>
              </w:rPr>
              <w:t xml:space="preserve">periodo a periodo</w:t>
            </w:r>
            <w:r>
              <w:rPr>
                <w:rFonts w:ascii="Cambria" w:cs="Cambria" w:eastAsia="Cambria" w:hAnsi="Cambria"/>
                <w:color w:val="2D2D2D"/>
                <w:sz w:val="16"/>
                <w:szCs w:val="16"/>
              </w:rPr>
              <w:t xml:space="preserve"> y </w:t>
            </w:r>
            <w:r>
              <w:rPr>
                <w:rFonts w:ascii="Cambria" w:cs="Cambria" w:eastAsia="Cambria" w:hAnsi="Cambria"/>
                <w:b/>
                <w:bCs/>
                <w:color w:val="2D2D2D"/>
                <w:sz w:val="16"/>
                <w:szCs w:val="16"/>
              </w:rPr>
              <w:t xml:space="preserve">descuento</w:t>
            </w:r>
            <w:r>
              <w:rPr>
                <w:rFonts w:ascii="Cambria" w:cs="Cambria" w:eastAsia="Cambria" w:hAnsi="Cambria"/>
                <w:color w:val="2D2D2D"/>
                <w:sz w:val="16"/>
                <w:szCs w:val="16"/>
              </w:rPr>
              <w:t xml:space="preserve">, parámetros m/d/horizonte declarados, y la lectura de que la </w:t>
            </w:r>
            <w:r>
              <w:rPr>
                <w:rFonts w:ascii="Cambria" w:cs="Cambria" w:eastAsia="Cambria" w:hAnsi="Cambria"/>
                <w:b/>
                <w:bCs/>
                <w:color w:val="2D2D2D"/>
                <w:sz w:val="16"/>
                <w:szCs w:val="16"/>
              </w:rPr>
              <w:t xml:space="preserve">retención domina el valor</w:t>
            </w:r>
            <w:r>
              <w:rPr>
                <w:rFonts w:ascii="Cambria" w:cs="Cambria" w:eastAsia="Cambria" w:hAnsi="Cambria"/>
                <w:color w:val="2D2D2D"/>
                <w:sz w:val="16"/>
                <w:szCs w:val="16"/>
              </w:rPr>
              <w:t xml:space="preserve"> (ingreso mensual alto </w:t>
            </w:r>
            <w:r>
              <w:rPr>
                <w:rFonts w:ascii="Calibri" w:cs="Calibri" w:eastAsia="Calibri" w:hAnsi="Calibri"/>
                <w:color w:val="2D2D2D"/>
                <w:sz w:val="16"/>
                <w:szCs w:val="16"/>
              </w:rPr>
              <w:t xml:space="preserve">≠</w:t>
            </w:r>
            <w:r>
              <w:rPr>
                <w:rFonts w:ascii="Cambria" w:cs="Cambria" w:eastAsia="Cambria" w:hAnsi="Cambria"/>
                <w:color w:val="2D2D2D"/>
                <w:sz w:val="16"/>
                <w:szCs w:val="16"/>
              </w:rPr>
              <w:t xml:space="preserve"> valor alto), y reconoce que con m=ingreso el resultado es un </w:t>
            </w:r>
            <w:r>
              <w:rPr>
                <w:rFonts w:ascii="Cambria" w:cs="Cambria" w:eastAsia="Cambria" w:hAnsi="Cambria"/>
                <w:b/>
                <w:bCs/>
                <w:color w:val="2D2D2D"/>
                <w:sz w:val="16"/>
                <w:szCs w:val="16"/>
              </w:rPr>
              <w:t xml:space="preserve">LTV bruto</w:t>
            </w:r>
            <w:r>
              <w:rPr>
                <w:rFonts w:ascii="Cambria" w:cs="Cambria" w:eastAsia="Cambria" w:hAnsi="Cambria"/>
                <w:color w:val="2D2D2D"/>
                <w:sz w:val="16"/>
                <w:szCs w:val="16"/>
              </w:rPr>
              <w:t xml:space="preserve"> y que un CLV real netea </w:t>
            </w:r>
            <w:r>
              <w:rPr>
                <w:rFonts w:ascii="Cambria" w:cs="Cambria" w:eastAsia="Cambria" w:hAnsi="Cambria"/>
                <w:b/>
                <w:bCs/>
                <w:color w:val="2D2D2D"/>
                <w:sz w:val="16"/>
                <w:szCs w:val="16"/>
              </w:rPr>
              <w:t xml:space="preserve">margen</w:t>
            </w:r>
            <w:r>
              <w:rPr>
                <w:rFonts w:ascii="Cambria" w:cs="Cambria" w:eastAsia="Cambria" w:hAnsi="Cambria"/>
                <w:color w:val="2D2D2D"/>
                <w:sz w:val="16"/>
                <w:szCs w:val="16"/>
              </w:rPr>
              <w:t xml:space="preserve"> y </w:t>
            </w:r>
            <w:r>
              <w:rPr>
                <w:rFonts w:ascii="Cambria" w:cs="Cambria" w:eastAsia="Cambria" w:hAnsi="Cambria"/>
                <w:b/>
                <w:bCs/>
                <w:color w:val="2D2D2D"/>
                <w:sz w:val="16"/>
                <w:szCs w:val="16"/>
              </w:rPr>
              <w:t xml:space="preserve">coste de campaña</w:t>
            </w:r>
            <w:r>
              <w:rPr>
                <w:rFonts w:ascii="Cambria" w:cs="Cambria" w:eastAsia="Cambria" w:hAnsi="Cambria"/>
                <w:color w:val="2D2D2D"/>
                <w:sz w:val="16"/>
                <w:szCs w:val="16"/>
              </w:rPr>
              <w:t xml:space="preserve">. </w:t>
            </w:r>
            <w:r>
              <w:rPr>
                <w:rFonts w:ascii="Cambria" w:cs="Cambria" w:eastAsia="Cambria" w:hAnsi="Cambria"/>
                <w:b/>
                <w:bCs/>
                <w:color w:val="2D2D2D"/>
                <w:sz w:val="16"/>
                <w:szCs w:val="16"/>
              </w:rPr>
              <w:t xml:space="preserve">(4)</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C6. Recomendación priorizada, rigor y trazabilidad + Excel</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Sin recomendación o decide sin considerar la censura/el HR.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vaga; sin techo de gasto o sin volcar a Excel.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Recomienda y prioriza por retención/HR/CLV con resultados en Excel.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accionable que </w:t>
            </w:r>
            <w:r>
              <w:rPr>
                <w:rFonts w:ascii="Cambria" w:cs="Cambria" w:eastAsia="Cambria" w:hAnsi="Cambria"/>
                <w:b/>
                <w:bCs/>
                <w:color w:val="2D2D2D"/>
                <w:sz w:val="16"/>
                <w:szCs w:val="16"/>
              </w:rPr>
              <w:t xml:space="preserve">prioriza</w:t>
            </w:r>
            <w:r>
              <w:rPr>
                <w:rFonts w:ascii="Cambria" w:cs="Cambria" w:eastAsia="Cambria" w:hAnsi="Cambria"/>
                <w:color w:val="2D2D2D"/>
                <w:sz w:val="16"/>
                <w:szCs w:val="16"/>
              </w:rPr>
              <w:t xml:space="preserve"> por retención + hazard + CLV, con </w:t>
            </w:r>
            <w:r>
              <w:rPr>
                <w:rFonts w:ascii="Cambria" w:cs="Cambria" w:eastAsia="Cambria" w:hAnsi="Cambria"/>
                <w:b/>
                <w:bCs/>
                <w:color w:val="2D2D2D"/>
                <w:sz w:val="16"/>
                <w:szCs w:val="16"/>
              </w:rPr>
              <w:t xml:space="preserve">techo de gasto = CLV</w:t>
            </w:r>
            <w:r>
              <w:rPr>
                <w:rFonts w:ascii="Cambria" w:cs="Cambria" w:eastAsia="Cambria" w:hAnsi="Cambria"/>
                <w:color w:val="2D2D2D"/>
                <w:sz w:val="16"/>
                <w:szCs w:val="16"/>
              </w:rPr>
              <w:t xml:space="preserve"> (o su diferencial), sin priorizar factores cuyo IC cruza 1, </w:t>
            </w:r>
            <w:r>
              <w:rPr>
                <w:rFonts w:ascii="Cambria" w:cs="Cambria" w:eastAsia="Cambria" w:hAnsi="Cambria"/>
                <w:b/>
                <w:bCs/>
                <w:color w:val="2D2D2D"/>
                <w:sz w:val="16"/>
                <w:szCs w:val="16"/>
              </w:rPr>
              <w:t xml:space="preserve">salvaguardas</w:t>
            </w:r>
            <w:r>
              <w:rPr>
                <w:rFonts w:ascii="Cambria" w:cs="Cambria" w:eastAsia="Cambria" w:hAnsi="Cambria"/>
                <w:color w:val="2D2D2D"/>
                <w:sz w:val="16"/>
                <w:szCs w:val="16"/>
              </w:rPr>
              <w:t xml:space="preserve"> declaradas, resultados en </w:t>
            </w:r>
            <w:r>
              <w:rPr>
                <w:rFonts w:ascii="Consolas" w:cs="Consolas" w:eastAsia="Consolas" w:hAnsi="Consolas"/>
                <w:color w:val="7A1526"/>
                <w:sz w:val="14"/>
                <w:szCs w:val="14"/>
              </w:rPr>
              <w:t xml:space="preserve">S13_resultados.xlsx</w:t>
            </w:r>
            <w:r>
              <w:rPr>
                <w:rFonts w:ascii="Cambria" w:cs="Cambria" w:eastAsia="Cambria" w:hAnsi="Cambria"/>
                <w:color w:val="2D2D2D"/>
                <w:sz w:val="16"/>
                <w:szCs w:val="16"/>
              </w:rPr>
              <w:t xml:space="preserve">, </w:t>
            </w:r>
            <w:r>
              <w:rPr>
                <w:rFonts w:ascii="Cambria" w:cs="Cambria" w:eastAsia="Cambria" w:hAnsi="Cambria"/>
                <w:b/>
                <w:bCs/>
                <w:color w:val="2D2D2D"/>
                <w:sz w:val="16"/>
                <w:szCs w:val="16"/>
              </w:rPr>
              <w:t xml:space="preserve">figuras leídas del Excel</w:t>
            </w:r>
            <w:r>
              <w:rPr>
                <w:rFonts w:ascii="Cambria" w:cs="Cambria" w:eastAsia="Cambria" w:hAnsi="Cambria"/>
                <w:color w:val="2D2D2D"/>
                <w:sz w:val="16"/>
                <w:szCs w:val="16"/>
              </w:rPr>
              <w:t xml:space="preserve"> y cifras trazables (operativo = venv; benchmark etiquetado).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bl>
    <w:p>
      <w:pP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single" w:color="D9D9D9" w:sz="4"/>
              <w:left w:val="none" w:color="FFFFFF" w:sz="0"/>
              <w:bottom w:val="single" w:color="D9D9D9" w:sz="4"/>
              <w:right w:val="none" w:color="FFFFFF" w:sz="0"/>
            </w:tcBorders>
            <w:shd w:fill="F2F3F5" w:color="auto" w:val="clear"/>
            <w:tcMar>
              <w:top w:type="dxa" w:w="130"/>
              <w:left w:type="dxa" w:w="150"/>
              <w:bottom w:type="dxa" w:w="130"/>
              <w:right w:type="dxa" w:w="150"/>
            </w:tcMar>
          </w:tcPr>
          <w:p>
            <w:pPr>
              <w:jc w:val="center"/>
            </w:pPr>
            <w:r>
              <w:rPr>
                <w:rFonts w:ascii="Calibri" w:cs="Calibri" w:eastAsia="Calibri" w:hAnsi="Calibri"/>
                <w:b/>
                <w:bCs/>
                <w:color w:val="7A1526"/>
                <w:sz w:val="18"/>
                <w:szCs w:val="18"/>
              </w:rPr>
              <w:t xml:space="preserve">Puntaje total = C1 + C2 + C3 + C4 + C5 + C6 = 3 + 3 + 4 + 3 + 4 + 3 = 20 puntos.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Nota de honestidad analítica</w:t>
            </w:r>
          </w:p>
          <w:p>
            <w:pPr>
              <w:spacing w:after="70" w:line="265"/>
            </w:pPr>
            <w:r>
              <w:rPr>
                <w:rFonts w:ascii="Cambria" w:cs="Cambria" w:eastAsia="Cambria" w:hAnsi="Cambria"/>
                <w:color w:val="3A3A3A"/>
                <w:sz w:val="18"/>
                <w:szCs w:val="18"/>
              </w:rPr>
              <w:t xml:space="preserve">No hay un único informe «correcto», pero el análisis debe ser </w:t>
            </w:r>
            <w:r>
              <w:rPr>
                <w:rFonts w:ascii="Cambria" w:cs="Cambria" w:eastAsia="Cambria" w:hAnsi="Cambria"/>
                <w:b/>
                <w:bCs/>
                <w:color w:val="3A3A3A"/>
                <w:sz w:val="18"/>
                <w:szCs w:val="18"/>
              </w:rPr>
              <w:t xml:space="preserve">coherente con la evidencia y trazable al Excel</w:t>
            </w:r>
            <w:r>
              <w:rPr>
                <w:rFonts w:ascii="Cambria" w:cs="Cambria" w:eastAsia="Cambria" w:hAnsi="Cambria"/>
                <w:color w:val="3A3A3A"/>
                <w:sz w:val="18"/>
                <w:szCs w:val="18"/>
              </w:rPr>
              <w:t xml:space="preserve">. Como referencia sobre Telco (</w:t>
            </w:r>
            <w:r>
              <w:rPr>
                <w:rFonts w:ascii="Consolas" w:cs="Consolas" w:eastAsia="Consolas" w:hAnsi="Consolas"/>
                <w:color w:val="7A1526"/>
                <w:sz w:val="16"/>
                <w:szCs w:val="16"/>
              </w:rPr>
              <w:t xml:space="preserve">duration=tenure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event=Churn</w:t>
            </w:r>
            <w:r>
              <w:rPr>
                <w:rFonts w:ascii="Cambria" w:cs="Cambria" w:eastAsia="Cambria" w:hAnsi="Cambria"/>
                <w:color w:val="3A3A3A"/>
                <w:sz w:val="18"/>
                <w:szCs w:val="18"/>
              </w:rPr>
              <w:t xml:space="preserve">, 7032 clientes, 1869 eventos), la curva KM por contrato separa de forma abrumadora (</w:t>
            </w:r>
            <w:r>
              <w:rPr>
                <w:rFonts w:ascii="Consolas" w:cs="Consolas" w:eastAsia="Consolas" w:hAnsi="Consolas"/>
                <w:color w:val="7A1526"/>
                <w:sz w:val="16"/>
                <w:szCs w:val="16"/>
              </w:rPr>
              <w:t xml:space="preserve">S(72)</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0,129</w:t>
            </w:r>
            <w:r>
              <w:rPr>
                <w:rFonts w:ascii="Cambria" w:cs="Cambria" w:eastAsia="Cambria" w:hAnsi="Cambria"/>
                <w:color w:val="3A3A3A"/>
                <w:sz w:val="18"/>
                <w:szCs w:val="18"/>
              </w:rPr>
              <w:t xml:space="preserve"> en Month-to-month vs. </w:t>
            </w:r>
            <w:r>
              <w:rPr>
                <w:rFonts w:ascii="Cambria" w:cs="Cambria" w:eastAsia="Cambria" w:hAnsi="Cambria"/>
                <w:b/>
                <w:bCs/>
                <w:color w:val="3A3A3A"/>
                <w:sz w:val="18"/>
                <w:szCs w:val="18"/>
              </w:rPr>
              <w:t xml:space="preserve">0,936</w:t>
            </w:r>
            <w:r>
              <w:rPr>
                <w:rFonts w:ascii="Cambria" w:cs="Cambria" w:eastAsia="Cambria" w:hAnsi="Cambria"/>
                <w:color w:val="3A3A3A"/>
                <w:sz w:val="18"/>
                <w:szCs w:val="18"/>
              </w:rPr>
              <w:t xml:space="preserve"> en Two year; log-rank χ² = </w:t>
            </w:r>
            <w:r>
              <w:rPr>
                <w:rFonts w:ascii="Cambria" w:cs="Cambria" w:eastAsia="Cambria" w:hAnsi="Cambria"/>
                <w:b/>
                <w:bCs/>
                <w:color w:val="3A3A3A"/>
                <w:sz w:val="18"/>
                <w:szCs w:val="18"/>
              </w:rPr>
              <w:t xml:space="preserve">2 352,87</w:t>
            </w:r>
            <w:r>
              <w:rPr>
                <w:rFonts w:ascii="Cambria" w:cs="Cambria" w:eastAsia="Cambria" w:hAnsi="Cambria"/>
                <w:color w:val="3A3A3A"/>
                <w:sz w:val="18"/>
                <w:szCs w:val="18"/>
              </w:rPr>
              <w:t xml:space="preserve">, p ≈ 0), la Cox tiempo-hasta-churn da un HR de </w:t>
            </w:r>
            <w:r>
              <w:rPr>
                <w:rFonts w:ascii="Consolas" w:cs="Consolas" w:eastAsia="Consolas" w:hAnsi="Consolas"/>
                <w:b/>
                <w:bCs/>
                <w:color w:val="7A1526"/>
                <w:sz w:val="16"/>
                <w:szCs w:val="16"/>
              </w:rPr>
              <w:t xml:space="preserve">contract_m2m</w:t>
            </w:r>
            <w:r>
              <w:rPr>
                <w:rFonts w:ascii="Cambria" w:cs="Cambria" w:eastAsia="Cambria" w:hAnsi="Cambria"/>
                <w:b/>
                <w:bCs/>
                <w:color w:val="3A3A3A"/>
                <w:sz w:val="18"/>
                <w:szCs w:val="18"/>
              </w:rPr>
              <w:t xml:space="preserve"> ≈ 15,7</w:t>
            </w:r>
            <w:r>
              <w:rPr>
                <w:rFonts w:ascii="Cambria" w:cs="Cambria" w:eastAsia="Cambria" w:hAnsi="Cambria"/>
                <w:color w:val="3A3A3A"/>
                <w:sz w:val="18"/>
                <w:szCs w:val="18"/>
              </w:rPr>
              <w:t xml:space="preserve"> (riesgo muy superior al de los demás contratos) y </w:t>
            </w:r>
            <w:r>
              <w:rPr>
                <w:rFonts w:ascii="Consolas" w:cs="Consolas" w:eastAsia="Consolas" w:hAnsi="Consolas"/>
                <w:color w:val="7A1526"/>
                <w:sz w:val="16"/>
                <w:szCs w:val="16"/>
              </w:rPr>
              <w:t xml:space="preserve">fiber</w:t>
            </w:r>
            <w:r>
              <w:rPr>
                <w:rFonts w:ascii="Cambria" w:cs="Cambria" w:eastAsia="Cambria" w:hAnsi="Cambria"/>
                <w:color w:val="3A3A3A"/>
                <w:sz w:val="18"/>
                <w:szCs w:val="18"/>
              </w:rPr>
              <w:t xml:space="preserve"> ≈ 3,49 (concordancia 0,807), y el </w:t>
            </w:r>
            <w:r>
              <w:rPr>
                <w:rFonts w:ascii="Cambria" w:cs="Cambria" w:eastAsia="Cambria" w:hAnsi="Cambria"/>
                <w:b/>
                <w:bCs/>
                <w:color w:val="3A3A3A"/>
                <w:sz w:val="18"/>
                <w:szCs w:val="18"/>
              </w:rPr>
              <w:t xml:space="preserve">ingreso descontado a 72 meses (LTV bruto, con m=</w:t>
            </w:r>
            <w:r>
              <w:rPr>
                <w:rFonts w:ascii="Consolas" w:cs="Consolas" w:eastAsia="Consolas" w:hAnsi="Consolas"/>
                <w:b/>
                <w:bCs/>
                <w:color w:val="7A1526"/>
                <w:sz w:val="16"/>
                <w:szCs w:val="16"/>
              </w:rPr>
              <w:t xml:space="preserve">MonthlyCharges</w:t>
            </w:r>
            <w:r>
              <w:rPr>
                <w:rFonts w:ascii="Cambria" w:cs="Cambria" w:eastAsia="Cambria" w:hAnsi="Cambria"/>
                <w:b/>
                <w:bCs/>
                <w:color w:val="3A3A3A"/>
                <w:sz w:val="18"/>
                <w:szCs w:val="18"/>
              </w:rPr>
              <w:t xml:space="preserve"> = ingreso, no margen)</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1 803,77</w:t>
            </w:r>
            <w:r>
              <w:rPr>
                <w:rFonts w:ascii="Cambria" w:cs="Cambria" w:eastAsia="Cambria" w:hAnsi="Cambria"/>
                <w:color w:val="3A3A3A"/>
                <w:sz w:val="18"/>
                <w:szCs w:val="18"/>
              </w:rPr>
              <w:t xml:space="preserve"> (mes-a-mes) </w:t>
            </w:r>
            <w:r>
              <w:rPr>
                <w:rFonts w:ascii="Cambria" w:cs="Cambria" w:eastAsia="Cambria" w:hAnsi="Cambria"/>
                <w:b/>
                <w:bCs/>
                <w:color w:val="3A3A3A"/>
                <w:sz w:val="18"/>
                <w:szCs w:val="18"/>
              </w:rPr>
              <w:t xml:space="preserve">≪ ~3 100</w:t>
            </w:r>
            <w:r>
              <w:rPr>
                <w:rFonts w:ascii="Cambria" w:cs="Cambria" w:eastAsia="Cambria" w:hAnsi="Cambria"/>
                <w:color w:val="3A3A3A"/>
                <w:sz w:val="18"/>
                <w:szCs w:val="18"/>
              </w:rPr>
              <w:t xml:space="preserve"> en los contratos anuales (</w:t>
            </w:r>
            <w:r>
              <w:rPr>
                <w:rFonts w:ascii="Cambria" w:cs="Cambria" w:eastAsia="Cambria" w:hAnsi="Cambria"/>
                <w:b/>
                <w:bCs/>
                <w:color w:val="3A3A3A"/>
                <w:sz w:val="18"/>
                <w:szCs w:val="18"/>
              </w:rPr>
              <w:t xml:space="preserve">3 096,58</w:t>
            </w:r>
            <w:r>
              <w:rPr>
                <w:rFonts w:ascii="Cambria" w:cs="Cambria" w:eastAsia="Cambria" w:hAnsi="Cambria"/>
                <w:color w:val="3A3A3A"/>
                <w:sz w:val="18"/>
                <w:szCs w:val="18"/>
              </w:rPr>
              <w:t xml:space="preserve"> dos años, </w:t>
            </w:r>
            <w:r>
              <w:rPr>
                <w:rFonts w:ascii="Cambria" w:cs="Cambria" w:eastAsia="Cambria" w:hAnsi="Cambria"/>
                <w:b/>
                <w:bCs/>
                <w:color w:val="3A3A3A"/>
                <w:sz w:val="18"/>
                <w:szCs w:val="18"/>
              </w:rPr>
              <w:t xml:space="preserve">3 105,36</w:t>
            </w:r>
            <w:r>
              <w:rPr>
                <w:rFonts w:ascii="Cambria" w:cs="Cambria" w:eastAsia="Cambria" w:hAnsi="Cambria"/>
                <w:color w:val="3A3A3A"/>
                <w:sz w:val="18"/>
                <w:szCs w:val="18"/>
              </w:rPr>
              <w:t xml:space="preserve"> un año — que difieren solo </w:t>
            </w:r>
            <w:r>
              <w:rPr>
                <w:rFonts w:ascii="Cambria" w:cs="Cambria" w:eastAsia="Cambria" w:hAnsi="Cambria"/>
                <w:b/>
                <w:bCs/>
                <w:color w:val="3A3A3A"/>
                <w:sz w:val="18"/>
                <w:szCs w:val="18"/>
              </w:rPr>
              <w:t xml:space="preserve">0,28 %</w:t>
            </w:r>
            <w:r>
              <w:rPr>
                <w:rFonts w:ascii="Cambria" w:cs="Cambria" w:eastAsia="Cambria" w:hAnsi="Cambria"/>
                <w:color w:val="3A3A3A"/>
                <w:sz w:val="18"/>
                <w:szCs w:val="18"/>
              </w:rPr>
              <w:t xml:space="preserve">, dentro del ruido y sensible al margen: su orden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 lee como lección), </w:t>
            </w:r>
            <w:r>
              <w:rPr>
                <w:rFonts w:ascii="Cambria" w:cs="Cambria" w:eastAsia="Cambria" w:hAnsi="Cambria"/>
                <w:b/>
                <w:bCs/>
                <w:color w:val="3A3A3A"/>
                <w:sz w:val="18"/>
                <w:szCs w:val="18"/>
              </w:rPr>
              <w:t xml:space="preserve">pese a que el ingreso mensual del mes-a-mes (66,40 USD) es el más alto</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retención domina el valor</w:t>
            </w:r>
            <w:r>
              <w:rPr>
                <w:rFonts w:ascii="Cambria" w:cs="Cambria" w:eastAsia="Cambria" w:hAnsi="Cambria"/>
                <w:color w:val="3A3A3A"/>
                <w:sz w:val="18"/>
                <w:szCs w:val="18"/>
              </w:rPr>
              <w:t xml:space="preserve"> (el motor real es retención × margen; un CLV real aún aplicaría un </w:t>
            </w:r>
            <w:r>
              <w:rPr>
                <w:rFonts w:ascii="Cambria" w:cs="Cambria" w:eastAsia="Cambria" w:hAnsi="Cambria"/>
                <w:b/>
                <w:bCs/>
                <w:color w:val="3A3A3A"/>
                <w:sz w:val="18"/>
                <w:szCs w:val="18"/>
              </w:rPr>
              <w:t xml:space="preserve">margen</w:t>
            </w:r>
            <w:r>
              <w:rPr>
                <w:rFonts w:ascii="Cambria" w:cs="Cambria" w:eastAsia="Cambria" w:hAnsi="Cambria"/>
                <w:color w:val="3A3A3A"/>
                <w:sz w:val="18"/>
                <w:szCs w:val="18"/>
              </w:rPr>
              <w:t xml:space="preserve"> y restaría el </w:t>
            </w:r>
            <w:r>
              <w:rPr>
                <w:rFonts w:ascii="Cambria" w:cs="Cambria" w:eastAsia="Cambria" w:hAnsi="Cambria"/>
                <w:b/>
                <w:bCs/>
                <w:color w:val="3A3A3A"/>
                <w:sz w:val="18"/>
                <w:szCs w:val="18"/>
              </w:rPr>
              <w:t xml:space="preserve">coste de campaña</w:t>
            </w:r>
            <w:r>
              <w:rPr>
                <w:rFonts w:ascii="Cambria" w:cs="Cambria" w:eastAsia="Cambria" w:hAnsi="Cambria"/>
                <w:color w:val="3A3A3A"/>
                <w:sz w:val="18"/>
                <w:szCs w:val="18"/>
              </w:rPr>
              <w:t xml:space="preserve">). La recomendación de referencia es </w:t>
            </w:r>
            <w:r>
              <w:rPr>
                <w:rFonts w:ascii="Cambria" w:cs="Cambria" w:eastAsia="Cambria" w:hAnsi="Cambria"/>
                <w:b/>
                <w:bCs/>
                <w:color w:val="3A3A3A"/>
                <w:sz w:val="18"/>
                <w:szCs w:val="18"/>
              </w:rPr>
              <w:t xml:space="preserve">migrar el segmento mes-a-mes a contratos anuales</w:t>
            </w:r>
            <w:r>
              <w:rPr>
                <w:rFonts w:ascii="Cambria" w:cs="Cambria" w:eastAsia="Cambria" w:hAnsi="Cambria"/>
                <w:color w:val="3A3A3A"/>
                <w:sz w:val="18"/>
                <w:szCs w:val="18"/>
              </w:rPr>
              <w:t xml:space="preserve">, con el techo de gasto fijado por el diferencial de valor (cota superior, una vez neteado el margen). Un trabajo que descarte los censurados, lea el HR como probabilidad, reporte HR sin IC, borre la covariable que viola PH, o calcule el valor con una vida fija </w:t>
            </w:r>
            <w:r>
              <w:rPr>
                <w:rFonts w:ascii="Cambria" w:cs="Cambria" w:eastAsia="Cambria" w:hAnsi="Cambria"/>
                <w:b/>
                <w:bCs/>
                <w:color w:val="3A3A3A"/>
                <w:sz w:val="18"/>
                <w:szCs w:val="18"/>
              </w:rPr>
              <w:t xml:space="preserve">no puede alcanzar C1/C3/C4/C5 altos</w:t>
            </w:r>
            <w:r>
              <w:rPr>
                <w:rFonts w:ascii="Cambria" w:cs="Cambria" w:eastAsia="Cambria" w:hAnsi="Cambria"/>
                <w:color w:val="3A3A3A"/>
                <w:sz w:val="18"/>
                <w:szCs w:val="18"/>
              </w:rPr>
              <w:t xml:space="preserve">. Otro segmento o especificación bien justificada puede puntuar alto si el razonamiento y las cifras son coherentes y trazables al Excel.</w:t>
            </w:r>
          </w:p>
        </w:tc>
      </w:tr>
    </w:tbl>
    <w:p>
      <w:pPr>
        <w:spacing w:after="220"/>
      </w:pPr>
    </w:p>
    <w:p>
      <w:pPr>
        <w:spacing w:after="260" w:line="265"/>
      </w:pPr>
      <w:r>
        <w:rPr>
          <w:rFonts w:ascii="Cambria" w:cs="Cambria" w:eastAsia="Cambria" w:hAnsi="Cambria"/>
          <w:i/>
          <w:iCs/>
          <w:color w:val="6E6E6E"/>
          <w:sz w:val="18"/>
          <w:szCs w:val="18"/>
        </w:rPr>
        <w:t xml:space="preserve">El desempeño en este entregable se refuerza con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y con los ítems [S13] del banco de exámenes. Alimenta la fase «Modelado / Despliegue» del proyecto integrador (mide </w:t>
      </w:r>
      <w:r>
        <w:rPr>
          <w:rFonts w:ascii="Cambria" w:cs="Cambria" w:eastAsia="Cambria" w:hAnsi="Cambria"/>
          <w:i/>
          <w:iCs/>
          <w:color w:val="6E6E6E"/>
          <w:sz w:val="18"/>
          <w:szCs w:val="18"/>
        </w:rPr>
        <w:t xml:space="preserve">cuándo</w:t>
      </w:r>
      <w:r>
        <w:rPr>
          <w:rFonts w:ascii="Cambria" w:cs="Cambria" w:eastAsia="Cambria" w:hAnsi="Cambria"/>
          <w:i/>
          <w:iCs/>
          <w:color w:val="6E6E6E"/>
          <w:sz w:val="18"/>
          <w:szCs w:val="18"/>
        </w:rPr>
        <w:t xml:space="preserve"> ocurre un evento y </w:t>
      </w:r>
      <w:r>
        <w:rPr>
          <w:rFonts w:ascii="Cambria" w:cs="Cambria" w:eastAsia="Cambria" w:hAnsi="Cambria"/>
          <w:i/>
          <w:iCs/>
          <w:color w:val="6E6E6E"/>
          <w:sz w:val="18"/>
          <w:szCs w:val="18"/>
        </w:rPr>
        <w:t xml:space="preserve">cuánto vale</w:t>
      </w:r>
      <w:r>
        <w:rPr>
          <w:rFonts w:ascii="Cambria" w:cs="Cambria" w:eastAsia="Cambria" w:hAnsi="Cambria"/>
          <w:i/>
          <w:iCs/>
          <w:color w:val="6E6E6E"/>
          <w:sz w:val="18"/>
          <w:szCs w:val="18"/>
        </w:rPr>
        <w:t xml:space="preserve"> un cliente, no solo </w:t>
      </w:r>
      <w:r>
        <w:rPr>
          <w:rFonts w:ascii="Cambria" w:cs="Cambria" w:eastAsia="Cambria" w:hAnsi="Cambria"/>
          <w:i/>
          <w:iCs/>
          <w:color w:val="6E6E6E"/>
          <w:sz w:val="18"/>
          <w:szCs w:val="18"/>
        </w:rPr>
        <w:t xml:space="preserve">si</w:t>
      </w:r>
      <w:r>
        <w:rPr>
          <w:rFonts w:ascii="Cambria" w:cs="Cambria" w:eastAsia="Cambria" w:hAnsi="Cambria"/>
          <w:i/>
          <w:iCs/>
          <w:color w:val="6E6E6E"/>
          <w:sz w:val="18"/>
          <w:szCs w:val="18"/>
        </w:rPr>
        <w:t xml:space="preserve"> ocurrirá); conecta con el churn de S09 (logística) y con la causalidad de S12 (tiempo-hasta-evento). Lecturas de apoyo: ISLP cap. 11 (Survival Analysis); Kleinbaum &amp; Klein (2012), cap. 1–4; Cox (1972); Kaplan &amp; Meier (1958); Fader, Hardie &amp; Lee (2005, CLV); Therneau &amp; Grambsch (2000, Schoenfeld) — en la bibliografía de la sesión.</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Entregable evaluable — Sesión S13: análisis de supervivencia de churn (curvas KM por segmento + Cox + CLV) con recomendación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evaluable — Sesión S13</dc:title>
  <dc:creator>UPC</dc:creator>
  <dc:description>Análisis de supervivencia de churn (curvas KM por segmento + Cox + CLV) con recomendación</dc:description>
  <cp:lastModifiedBy>Un-named</cp:lastModifiedBy>
  <cp:revision>1</cp:revision>
  <dcterms:created xsi:type="dcterms:W3CDTF">2026-09-11T14:14:31.992Z</dcterms:created>
  <dcterms:modified xsi:type="dcterms:W3CDTF">2026-09-11T14:14:31.992Z</dcterms:modified>
</cp:coreProperties>
</file>

<file path=docProps/custom.xml><?xml version="1.0" encoding="utf-8"?>
<Properties xmlns="http://schemas.openxmlformats.org/officeDocument/2006/custom-properties" xmlns:vt="http://schemas.openxmlformats.org/officeDocument/2006/docPropsVTypes"/>
</file>