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w:t>
      </w:r>
    </w:p>
    <w:p>
      <w:pPr>
        <w:spacing w:after="40"/>
      </w:pPr>
      <w:r>
        <w:rPr>
          <w:rFonts w:ascii="Cambria" w:cs="Cambria" w:eastAsia="Cambria" w:hAnsi="Cambria"/>
          <w:b/>
          <w:bCs/>
          <w:color w:val="2D2D2D"/>
          <w:sz w:val="36"/>
          <w:szCs w:val="36"/>
        </w:rPr>
        <w:t xml:space="preserve">Guía de laboratorio — Sesión 14</w:t>
      </w:r>
    </w:p>
    <w:p>
      <w:pPr>
        <w:pBdr>
          <w:bottom w:val="single" w:color="E4002B" w:sz="18" w:space="10"/>
        </w:pBdr>
        <w:spacing w:after="160"/>
      </w:pPr>
      <w:r>
        <w:rPr>
          <w:rFonts w:ascii="Cambria" w:cs="Cambria" w:eastAsia="Cambria" w:hAnsi="Cambria"/>
          <w:color w:val="7A1526"/>
          <w:sz w:val="28"/>
          <w:szCs w:val="28"/>
        </w:rPr>
        <w:t xml:space="preserve">Sistemas de recomendación: filtrado colaborativo, SVD y evaluación top-k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14: Sistemas de recomendación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~140 min</w:t>
            </w:r>
            <w:r>
              <w:rPr>
                <w:rFonts w:ascii="Cambria" w:cs="Cambria" w:eastAsia="Cambria" w:hAnsi="Cambria"/>
                <w:color w:val="2D2D2D"/>
                <w:sz w:val="19"/>
                <w:szCs w:val="19"/>
              </w:rPr>
              <w:t xml:space="preserve"> totales (</w:t>
            </w:r>
            <w:r>
              <w:rPr>
                <w:rFonts w:ascii="Cambria" w:cs="Cambria" w:eastAsia="Cambria" w:hAnsi="Cambria"/>
                <w:b/>
                <w:bCs/>
                <w:color w:val="2D2D2D"/>
                <w:sz w:val="19"/>
                <w:szCs w:val="19"/>
              </w:rPr>
              <w:t xml:space="preserve">pasos 0–5</w:t>
            </w:r>
            <w:r>
              <w:rPr>
                <w:rFonts w:ascii="Cambria" w:cs="Cambria" w:eastAsia="Cambria" w:hAnsi="Cambria"/>
                <w:color w:val="2D2D2D"/>
                <w:sz w:val="19"/>
                <w:szCs w:val="19"/>
              </w:rPr>
              <w:t xml:space="preserve"> ≈112 min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capítulo 14.5, bloque A2;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≈28 min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capítulo 14.8, bloque B) · Ningún paso es trabajo domiciliario: en casa se redacta el </w:t>
            </w:r>
            <w:r>
              <w:rPr>
                <w:rFonts w:ascii="Cambria" w:cs="Cambria" w:eastAsia="Cambria" w:hAnsi="Cambria"/>
                <w:b/>
                <w:bCs/>
                <w:color w:val="2D2D2D"/>
                <w:sz w:val="19"/>
                <w:szCs w:val="19"/>
              </w:rPr>
              <w:t xml:space="preserve">entregable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notebook/S14_recomendacion.ipynb</w:t>
            </w:r>
            <w:r>
              <w:rPr>
                <w:rFonts w:ascii="Cambria" w:cs="Cambria" w:eastAsia="Cambria" w:hAnsi="Cambria"/>
                <w:color w:val="2D2D2D"/>
                <w:sz w:val="19"/>
                <w:szCs w:val="19"/>
              </w:rPr>
              <w:t xml:space="preserve"> (botón «Abrir en Colab» en su portada) · </w:t>
            </w:r>
            <w:r>
              <w:rPr>
                <w:rFonts w:ascii="Cambria" w:cs="Cambria" w:eastAsia="Cambria" w:hAnsi="Cambria"/>
                <w:b/>
                <w:bCs/>
                <w:color w:val="2D2D2D"/>
                <w:sz w:val="19"/>
                <w:szCs w:val="19"/>
              </w:rPr>
              <w:t xml:space="preserve">Sección de Replicación</w:t>
            </w:r>
            <w:r>
              <w:rPr>
                <w:rFonts w:ascii="Cambria" w:cs="Cambria" w:eastAsia="Cambria" w:hAnsi="Cambria"/>
                <w:color w:val="2D2D2D"/>
                <w:sz w:val="19"/>
                <w:szCs w:val="19"/>
              </w:rPr>
              <w:t xml:space="preserve"> = pasos 0–5 · </w:t>
            </w:r>
            <w:r>
              <w:rPr>
                <w:rFonts w:ascii="Cambria" w:cs="Cambria" w:eastAsia="Cambria" w:hAnsi="Cambria"/>
                <w:b/>
                <w:bCs/>
                <w:color w:val="2D2D2D"/>
                <w:sz w:val="19"/>
                <w:szCs w:val="19"/>
              </w:rPr>
              <w:t xml:space="preserve">Sección de Laboratorio de negocio</w:t>
            </w:r>
            <w:r>
              <w:rPr>
                <w:rFonts w:ascii="Cambria" w:cs="Cambria" w:eastAsia="Cambria" w:hAnsi="Cambria"/>
                <w:color w:val="2D2D2D"/>
                <w:sz w:val="19"/>
                <w:szCs w:val="19"/>
              </w:rPr>
              <w:t xml:space="preserve"> = paso 6</w:t>
            </w:r>
          </w:p>
        </w:tc>
      </w:tr>
    </w:tbl>
    <w:p>
      <w:pPr>
        <w:spacing w:after="150"/>
      </w:pPr>
    </w:p>
    <w:p>
      <w:pPr>
        <w:spacing w:after="180" w:line="265"/>
      </w:pPr>
      <w:r>
        <w:rPr>
          <w:rFonts w:ascii="Cambria" w:cs="Cambria" w:eastAsia="Cambria" w:hAnsi="Cambria"/>
          <w:b/>
          <w:bCs/>
          <w:color w:val="3A3A3A"/>
          <w:sz w:val="18"/>
          <w:szCs w:val="18"/>
        </w:rPr>
        <w:t xml:space="preserve">Última sesión de contenido del curso: cierra el arco completo y alimenta la sustentación del proyecto integrador</w:t>
      </w:r>
      <w:r>
        <w:rPr>
          <w:rFonts w:ascii="Cambria" w:cs="Cambria" w:eastAsia="Cambria" w:hAnsi="Cambria"/>
          <w:color w:val="3A3A3A"/>
          <w:sz w:val="18"/>
          <w:szCs w:val="18"/>
        </w:rPr>
        <w:t xml:space="preserve"> (Sección 3 de este documento).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MovieLens 100k los targets de la </w:t>
            </w:r>
            <w:r>
              <w:rPr>
                <w:rFonts w:ascii="Cambria" w:cs="Cambria" w:eastAsia="Cambria" w:hAnsi="Cambria"/>
                <w:b/>
                <w:bCs/>
                <w:color w:val="FFFFFF"/>
                <w:sz w:val="21"/>
                <w:szCs w:val="21"/>
              </w:rPr>
              <w:t xml:space="preserve">factorización de matrices</w:t>
            </w:r>
            <w:r>
              <w:rPr>
                <w:rFonts w:ascii="Cambria" w:cs="Cambria" w:eastAsia="Cambria" w:hAnsi="Cambria"/>
                <w:color w:val="FFFFFF"/>
                <w:sz w:val="21"/>
                <w:szCs w:val="21"/>
              </w:rPr>
              <w:t xml:space="preserve"> (SVD) de </w:t>
            </w:r>
            <w:r>
              <w:rPr>
                <w:rFonts w:ascii="Cambria" w:cs="Cambria" w:eastAsia="Cambria" w:hAnsi="Cambria"/>
                <w:b/>
                <w:bCs/>
                <w:color w:val="FFFFFF"/>
                <w:sz w:val="21"/>
                <w:szCs w:val="21"/>
              </w:rPr>
              <w:t xml:space="preserve">Koren, Bell &amp; Volinsky (2009)</w:t>
            </w:r>
            <w:r>
              <w:rPr>
                <w:rFonts w:ascii="Cambria" w:cs="Cambria" w:eastAsia="Cambria" w:hAnsi="Cambria"/>
                <w:color w:val="FFFFFF"/>
                <w:sz w:val="21"/>
                <w:szCs w:val="21"/>
              </w:rPr>
              <w:t xml:space="preserve"> frente a los baselines de media y de solo sesgos, contrastarla con el vecindario </w:t>
            </w:r>
            <w:r>
              <w:rPr>
                <w:rFonts w:ascii="Cambria" w:cs="Cambria" w:eastAsia="Cambria" w:hAnsi="Cambria"/>
                <w:b/>
                <w:bCs/>
                <w:color w:val="FFFFFF"/>
                <w:sz w:val="21"/>
                <w:szCs w:val="21"/>
              </w:rPr>
              <w:t xml:space="preserve">item-based</w:t>
            </w:r>
            <w:r>
              <w:rPr>
                <w:rFonts w:ascii="Cambria" w:cs="Cambria" w:eastAsia="Cambria" w:hAnsi="Cambria"/>
                <w:color w:val="FFFFFF"/>
                <w:sz w:val="21"/>
                <w:szCs w:val="21"/>
              </w:rPr>
              <w:t xml:space="preserve"> de </w:t>
            </w:r>
            <w:r>
              <w:rPr>
                <w:rFonts w:ascii="Cambria" w:cs="Cambria" w:eastAsia="Cambria" w:hAnsi="Cambria"/>
                <w:b/>
                <w:bCs/>
                <w:color w:val="FFFFFF"/>
                <w:sz w:val="21"/>
                <w:szCs w:val="21"/>
              </w:rPr>
              <w:t xml:space="preserve">Sarwar (2001)</w:t>
            </w:r>
            <w:r>
              <w:rPr>
                <w:rFonts w:ascii="Cambria" w:cs="Cambria" w:eastAsia="Cambria" w:hAnsi="Cambria"/>
                <w:color w:val="FFFFFF"/>
                <w:sz w:val="21"/>
                <w:szCs w:val="21"/>
              </w:rPr>
              <w:t xml:space="preserve"> y con un recomendador </w:t>
            </w:r>
            <w:r>
              <w:rPr>
                <w:rFonts w:ascii="Cambria" w:cs="Cambria" w:eastAsia="Cambria" w:hAnsi="Cambria"/>
                <w:b/>
                <w:bCs/>
                <w:color w:val="FFFFFF"/>
                <w:sz w:val="21"/>
                <w:szCs w:val="21"/>
              </w:rPr>
              <w:t xml:space="preserve">content-based</w:t>
            </w:r>
            <w:r>
              <w:rPr>
                <w:rFonts w:ascii="Cambria" w:cs="Cambria" w:eastAsia="Cambria" w:hAnsi="Cambria"/>
                <w:color w:val="FFFFFF"/>
                <w:sz w:val="21"/>
                <w:szCs w:val="21"/>
              </w:rPr>
              <w:t xml:space="preserve">, evaluar con métricas </w:t>
            </w:r>
            <w:r>
              <w:rPr>
                <w:rFonts w:ascii="Cambria" w:cs="Cambria" w:eastAsia="Cambria" w:hAnsi="Cambria"/>
                <w:b/>
                <w:bCs/>
                <w:color w:val="FFFFFF"/>
                <w:sz w:val="21"/>
                <w:szCs w:val="21"/>
              </w:rPr>
              <w:t xml:space="preserve">top-k</w:t>
            </w:r>
            <w:r>
              <w:rPr>
                <w:rFonts w:ascii="Cambria" w:cs="Cambria" w:eastAsia="Cambria" w:hAnsi="Cambria"/>
                <w:color w:val="FFFFFF"/>
                <w:sz w:val="21"/>
                <w:szCs w:val="21"/>
              </w:rPr>
              <w:t xml:space="preserve"> (NDCG@10, precisión@10) sobre </w:t>
            </w:r>
            <w:r>
              <w:rPr>
                <w:rFonts w:ascii="Cambria" w:cs="Cambria" w:eastAsia="Cambria" w:hAnsi="Cambria"/>
                <w:b/>
                <w:bCs/>
                <w:color w:val="FFFFFF"/>
                <w:sz w:val="21"/>
                <w:szCs w:val="21"/>
              </w:rPr>
              <w:t xml:space="preserve">partición temporal</w:t>
            </w:r>
            <w:r>
              <w:rPr>
                <w:rFonts w:ascii="Cambria" w:cs="Cambria" w:eastAsia="Cambria" w:hAnsi="Cambria"/>
                <w:color w:val="FFFFFF"/>
                <w:sz w:val="21"/>
                <w:szCs w:val="21"/>
              </w:rPr>
              <w:t xml:space="preserve">, y trasladar la técnica a un caso de negocio con feedback </w:t>
            </w:r>
            <w:r>
              <w:rPr>
                <w:rFonts w:ascii="Cambria" w:cs="Cambria" w:eastAsia="Cambria" w:hAnsi="Cambria"/>
                <w:b/>
                <w:bCs/>
                <w:color w:val="FFFFFF"/>
                <w:sz w:val="21"/>
                <w:szCs w:val="21"/>
              </w:rPr>
              <w:t xml:space="preserve">implícito</w:t>
            </w:r>
            <w:r>
              <w:rPr>
                <w:rFonts w:ascii="Cambria" w:cs="Cambria" w:eastAsia="Cambria" w:hAnsi="Cambria"/>
                <w:color w:val="FFFFFF"/>
                <w:sz w:val="21"/>
                <w:szCs w:val="21"/>
              </w:rPr>
              <w:t xml:space="preserve"> (</w:t>
            </w:r>
            <w:r>
              <w:rPr>
                <w:rFonts w:ascii="Consolas" w:cs="Consolas" w:eastAsia="Consolas" w:hAnsi="Consolas"/>
                <w:color w:val="FFFFFF"/>
                <w:sz w:val="19"/>
                <w:szCs w:val="19"/>
              </w:rPr>
              <w:t xml:space="preserve">implicit</w:t>
            </w:r>
            <w:r>
              <w:rPr>
                <w:rFonts w:ascii="Cambria" w:cs="Cambria" w:eastAsia="Cambria" w:hAnsi="Cambria"/>
                <w:color w:val="FFFFFF"/>
                <w:sz w:val="21"/>
                <w:szCs w:val="21"/>
              </w:rPr>
              <w:t xml:space="preserve"> ALS) sobre </w:t>
            </w:r>
            <w:r>
              <w:rPr>
                <w:rFonts w:ascii="Cambria" w:cs="Cambria" w:eastAsia="Cambria" w:hAnsi="Cambria"/>
                <w:b/>
                <w:bCs/>
                <w:color w:val="FFFFFF"/>
                <w:sz w:val="21"/>
                <w:szCs w:val="21"/>
              </w:rPr>
              <w:t xml:space="preserve">Online Retail II</w:t>
            </w:r>
            <w:r>
              <w:rPr>
                <w:rFonts w:ascii="Cambria" w:cs="Cambria" w:eastAsia="Cambria" w:hAnsi="Cambria"/>
                <w:color w:val="FFFFFF"/>
                <w:sz w:val="21"/>
                <w:szCs w:val="21"/>
              </w:rPr>
              <w:t xml:space="preserve">, para leer el </w:t>
            </w:r>
            <w:r>
              <w:rPr>
                <w:rFonts w:ascii="Cambria" w:cs="Cambria" w:eastAsia="Cambria" w:hAnsi="Cambria"/>
                <w:b/>
                <w:bCs/>
                <w:color w:val="FFFFFF"/>
                <w:sz w:val="21"/>
                <w:szCs w:val="21"/>
              </w:rPr>
              <w:t xml:space="preserve">ingreso potencial</w:t>
            </w:r>
            <w:r>
              <w:rPr>
                <w:rFonts w:ascii="Cambria" w:cs="Cambria" w:eastAsia="Cambria" w:hAnsi="Cambria"/>
                <w:color w:val="FFFFFF"/>
                <w:sz w:val="21"/>
                <w:szCs w:val="21"/>
              </w:rPr>
              <w:t xml:space="preserve"> de cross/up-selling.</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 (mapa de insumos)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Protocolo de replicación (Koren 2009): pasos 0–5 sobre MovieLens 100k</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~112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paso 6, feedback implícito sobre Online Retail II</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~28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conexión con el entregable y el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 (5 targets)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9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w:t>
      </w:r>
      <w:r>
        <w:rPr>
          <w:rFonts w:ascii="Consolas" w:cs="Consolas" w:eastAsia="Consolas" w:hAnsi="Consolas"/>
          <w:color w:val="7A1526"/>
          <w:sz w:val="17"/>
          <w:szCs w:val="17"/>
        </w:rPr>
        <w:t xml:space="preserve">notebook/S14_recomendacion.ipynb</w:t>
      </w:r>
      <w:r>
        <w:rPr>
          <w:rFonts w:ascii="Cambria" w:cs="Cambria" w:eastAsia="Cambria" w:hAnsi="Cambria"/>
          <w:color w:val="2D2D2D"/>
          <w:sz w:val="19"/>
          <w:szCs w:val="19"/>
        </w:rPr>
        <w:t xml:space="preserve"> en Google Colab: la </w:t>
      </w:r>
      <w:r>
        <w:rPr>
          <w:rFonts w:ascii="Cambria" w:cs="Cambria" w:eastAsia="Cambria" w:hAnsi="Cambria"/>
          <w:b/>
          <w:bCs/>
          <w:color w:val="2D2D2D"/>
          <w:sz w:val="19"/>
          <w:szCs w:val="19"/>
        </w:rPr>
        <w:t xml:space="preserve">sección de Replicación</w:t>
      </w:r>
      <w:r>
        <w:rPr>
          <w:rFonts w:ascii="Cambria" w:cs="Cambria" w:eastAsia="Cambria" w:hAnsi="Cambria"/>
          <w:color w:val="2D2D2D"/>
          <w:sz w:val="19"/>
          <w:szCs w:val="19"/>
        </w:rPr>
        <w:t xml:space="preserve"> cubre los pasos 0–5 y la </w:t>
      </w:r>
      <w:r>
        <w:rPr>
          <w:rFonts w:ascii="Cambria" w:cs="Cambria" w:eastAsia="Cambria" w:hAnsi="Cambria"/>
          <w:b/>
          <w:bCs/>
          <w:color w:val="2D2D2D"/>
          <w:sz w:val="19"/>
          <w:szCs w:val="19"/>
        </w:rPr>
        <w:t xml:space="preserve">sección de Laboratorio de negocio</w:t>
      </w:r>
      <w:r>
        <w:rPr>
          <w:rFonts w:ascii="Cambria" w:cs="Cambria" w:eastAsia="Cambria" w:hAnsi="Cambria"/>
          <w:color w:val="2D2D2D"/>
          <w:sz w:val="19"/>
          <w:szCs w:val="19"/>
        </w:rPr>
        <w:t xml:space="preserve"> cubre el paso 6.</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obtiene </w:t>
      </w:r>
      <w:r>
        <w:rPr>
          <w:rFonts w:ascii="Cambria" w:cs="Cambria" w:eastAsia="Cambria" w:hAnsi="Cambria"/>
          <w:b/>
          <w:bCs/>
          <w:color w:val="2D2D2D"/>
          <w:sz w:val="19"/>
          <w:szCs w:val="19"/>
        </w:rPr>
        <w:t xml:space="preserve">MovieLens 100k</w:t>
      </w:r>
      <w:r>
        <w:rPr>
          <w:rFonts w:ascii="Cambria" w:cs="Cambria" w:eastAsia="Cambria" w:hAnsi="Cambria"/>
          <w:color w:val="2D2D2D"/>
          <w:sz w:val="19"/>
          <w:szCs w:val="19"/>
        </w:rPr>
        <w:t xml:space="preserve"> (ratings + géneros) y una muestra de </w:t>
      </w:r>
      <w:r>
        <w:rPr>
          <w:rFonts w:ascii="Cambria" w:cs="Cambria" w:eastAsia="Cambria" w:hAnsi="Cambria"/>
          <w:b/>
          <w:bCs/>
          <w:color w:val="2D2D2D"/>
          <w:sz w:val="19"/>
          <w:szCs w:val="19"/>
        </w:rPr>
        <w:t xml:space="preserve">Online Retail II</w:t>
      </w:r>
      <w:r>
        <w:rPr>
          <w:rFonts w:ascii="Cambria" w:cs="Cambria" w:eastAsia="Cambria" w:hAnsi="Cambria"/>
          <w:color w:val="2D2D2D"/>
          <w:sz w:val="19"/>
          <w:szCs w:val="19"/>
        </w:rPr>
        <w:t xml:space="preserve">; verificar esquema y checksum SHA256 — significado y fecha de verificación en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(ml-100k 100.000×4, 943 usuarios × 1.682 películas + géneros 1.682×22; Online Retail II muestra 8.829×8, 80 clientes).</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Tener a la vista </w:t>
      </w:r>
      <w:r>
        <w:rPr>
          <w:rFonts w:ascii="Consolas" w:cs="Consolas" w:eastAsia="Consolas" w:hAnsi="Consolas"/>
          <w:color w:val="7A1526"/>
          <w:sz w:val="17"/>
          <w:szCs w:val="17"/>
        </w:rPr>
        <w:t xml:space="preserve">plantillas/eval_recomendador_topk.docx</w:t>
      </w:r>
      <w:r>
        <w:rPr>
          <w:rFonts w:ascii="Cambria" w:cs="Cambria" w:eastAsia="Cambria" w:hAnsi="Cambria"/>
          <w:color w:val="2D2D2D"/>
          <w:sz w:val="19"/>
          <w:szCs w:val="19"/>
        </w:rPr>
        <w:t xml:space="preserve"> (estructura precisión@k, recall@k, MAP@k y </w:t>
      </w:r>
      <w:r>
        <w:rPr>
          <w:rFonts w:ascii="Cambria" w:cs="Cambria" w:eastAsia="Cambria" w:hAnsi="Cambria"/>
          <w:b/>
          <w:bCs/>
          <w:color w:val="2D2D2D"/>
          <w:sz w:val="19"/>
          <w:szCs w:val="19"/>
        </w:rPr>
        <w:t xml:space="preserve">NDCG@k</w:t>
      </w:r>
      <w:r>
        <w:rPr>
          <w:rFonts w:ascii="Cambria" w:cs="Cambria" w:eastAsia="Cambria" w:hAnsi="Cambria"/>
          <w:color w:val="2D2D2D"/>
          <w:sz w:val="19"/>
          <w:szCs w:val="19"/>
        </w:rPr>
        <w:t xml:space="preserve"> con partición temporal y baselines) y </w:t>
      </w:r>
      <w:r>
        <w:rPr>
          <w:rFonts w:ascii="Consolas" w:cs="Consolas" w:eastAsia="Consolas" w:hAnsi="Consolas"/>
          <w:color w:val="7A1526"/>
          <w:sz w:val="17"/>
          <w:szCs w:val="17"/>
        </w:rPr>
        <w:t xml:space="preserve">plantillas/guia_matriz_particion.docx</w:t>
      </w:r>
      <w:r>
        <w:rPr>
          <w:rFonts w:ascii="Cambria" w:cs="Cambria" w:eastAsia="Cambria" w:hAnsi="Cambria"/>
          <w:color w:val="2D2D2D"/>
          <w:sz w:val="19"/>
          <w:szCs w:val="19"/>
        </w:rPr>
        <w:t xml:space="preserve"> (matriz usuario-ítem, </w:t>
      </w:r>
      <w:r>
        <w:rPr>
          <w:rFonts w:ascii="Cambria" w:cs="Cambria" w:eastAsia="Cambria" w:hAnsi="Cambria"/>
          <w:b/>
          <w:bCs/>
          <w:color w:val="2D2D2D"/>
          <w:sz w:val="19"/>
          <w:szCs w:val="19"/>
        </w:rPr>
        <w:t xml:space="preserve">árbol de decisión</w:t>
      </w:r>
      <w:r>
        <w:rPr>
          <w:rFonts w:ascii="Cambria" w:cs="Cambria" w:eastAsia="Cambria" w:hAnsi="Cambria"/>
          <w:color w:val="2D2D2D"/>
          <w:sz w:val="19"/>
          <w:szCs w:val="19"/>
        </w:rPr>
        <w:t xml:space="preserve"> de qué recomendador usar, </w:t>
      </w:r>
      <w:r>
        <w:rPr>
          <w:rFonts w:ascii="Cambria" w:cs="Cambria" w:eastAsia="Cambria" w:hAnsi="Cambria"/>
          <w:b/>
          <w:bCs/>
          <w:color w:val="2D2D2D"/>
          <w:sz w:val="19"/>
          <w:szCs w:val="19"/>
        </w:rPr>
        <w:t xml:space="preserve">checklist</w:t>
      </w:r>
      <w:r>
        <w:rPr>
          <w:rFonts w:ascii="Cambria" w:cs="Cambria" w:eastAsia="Cambria" w:hAnsi="Cambria"/>
          <w:color w:val="2D2D2D"/>
          <w:sz w:val="19"/>
          <w:szCs w:val="19"/>
        </w:rPr>
        <w:t xml:space="preserve"> de partición temporal).</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Enunciado y rúbrica del entregable en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(escala vigesimal, total 20); los tres ejercicios de práctica en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Convención del curso: toda cifra citada existe en el cuaderno o en </w:t>
      </w:r>
      <w:r>
        <w:rPr>
          <w:rFonts w:ascii="Consolas" w:cs="Consolas" w:eastAsia="Consolas" w:hAnsi="Consolas"/>
          <w:color w:val="7A1526"/>
          <w:sz w:val="17"/>
          <w:szCs w:val="17"/>
        </w:rPr>
        <w:t xml:space="preserve">resultados/S14_resultados.xlsx</w:t>
      </w:r>
      <w:r>
        <w:rPr>
          <w:rFonts w:ascii="Cambria" w:cs="Cambria" w:eastAsia="Cambria" w:hAnsi="Cambria"/>
          <w:color w:val="2D2D2D"/>
          <w:sz w:val="19"/>
          <w:szCs w:val="19"/>
        </w:rPr>
        <w:t xml:space="preserve"> (hoja recsys); </w:t>
      </w:r>
      <w:r>
        <w:rPr>
          <w:rFonts w:ascii="Cambria" w:cs="Cambria" w:eastAsia="Cambria" w:hAnsi="Cambria"/>
          <w:b/>
          <w:bCs/>
          <w:color w:val="2D2D2D"/>
          <w:sz w:val="19"/>
          <w:szCs w:val="19"/>
        </w:rPr>
        <w:t xml:space="preserve">las gráficas de resultados se generan al leer ese Excel</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Fuentes de actualidad que anclan el laboratorio en la práctica: las fuentes de actualidad de la sesión (Netflix cuantifica el valor de recomendar; Shopify; privacidad).</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Las definiciones, la interpretación de cada salida, la réplica del paper y la bibliografía verificada provienen de el glosario de la sesión, la guía de interpretación de resultados, la ficha de la sesión de réplica del paper e la bibliografía de la sesión.</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PROTOCOLO DE REPLICACIÓN DE LA FACTORIZACIÓN DE MATRICES (KOREN 2009) SOBRE MOVIELENS 100K</w:t>
      </w:r>
    </w:p>
    <w:p>
      <w:pPr>
        <w:keepNext/>
        <w:pBdr>
          <w:bottom w:val="single" w:color="E4002B" w:sz="14" w:space="8"/>
        </w:pBdr>
        <w:spacing w:after="140"/>
      </w:pPr>
      <w:r>
        <w:rPr>
          <w:rFonts w:ascii="Cambria" w:cs="Cambria" w:eastAsia="Cambria" w:hAnsi="Cambria"/>
          <w:i/>
          <w:iCs/>
          <w:color w:val="6E6E6E"/>
          <w:sz w:val="19"/>
          <w:szCs w:val="19"/>
        </w:rPr>
        <w:t xml:space="preserve">MovieLens 100k · jueves, capítulo 14.5, bloque A2 · Sección de Replicación del cuaderno, pasos 0–5</w:t>
      </w:r>
      <w:r>
        <w:rPr>
          <w:rFonts w:ascii="Cambria" w:cs="Cambria" w:eastAsia="Cambria" w:hAnsi="Cambria"/>
          <w:b/>
          <w:bCs/>
          <w:color w:val="7A1526"/>
          <w:sz w:val="19"/>
          <w:szCs w:val="19"/>
        </w:rPr>
        <w:t xml:space="preserve">   |   ~112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Ubicar el paper de Koren, Bell &amp; Volinsky (2009), </w:t>
            </w:r>
            <w:r>
              <w:rPr>
                <w:rFonts w:ascii="Cambria" w:cs="Cambria" w:eastAsia="Cambria" w:hAnsi="Cambria"/>
                <w:i/>
                <w:iCs/>
                <w:color w:val="2D2D2D"/>
                <w:sz w:val="19"/>
                <w:szCs w:val="19"/>
              </w:rPr>
              <w:t xml:space="preserve">Matrix Factorization Techniques for Recommender Systems</w:t>
            </w:r>
            <w:r>
              <w:rPr>
                <w:rFonts w:ascii="Cambria" w:cs="Cambria" w:eastAsia="Cambria" w:hAnsi="Cambria"/>
                <w:color w:val="2D2D2D"/>
                <w:sz w:val="19"/>
                <w:szCs w:val="19"/>
              </w:rPr>
              <w:t xml:space="preserve"> (IEEE Computer 42(8):30-37): sintetiza las técnicas de </w:t>
            </w:r>
            <w:r>
              <w:rPr>
                <w:rFonts w:ascii="Cambria" w:cs="Cambria" w:eastAsia="Cambria" w:hAnsi="Cambria"/>
                <w:b/>
                <w:bCs/>
                <w:color w:val="2D2D2D"/>
                <w:sz w:val="19"/>
                <w:szCs w:val="19"/>
              </w:rPr>
              <w:t xml:space="preserve">factorización de matrices</w:t>
            </w:r>
            <w:r>
              <w:rPr>
                <w:rFonts w:ascii="Cambria" w:cs="Cambria" w:eastAsia="Cambria" w:hAnsi="Cambria"/>
                <w:color w:val="2D2D2D"/>
                <w:sz w:val="19"/>
                <w:szCs w:val="19"/>
              </w:rPr>
              <w:t xml:space="preserve"> que ganaron el </w:t>
            </w:r>
            <w:r>
              <w:rPr>
                <w:rFonts w:ascii="Cambria" w:cs="Cambria" w:eastAsia="Cambria" w:hAnsi="Cambria"/>
                <w:b/>
                <w:bCs/>
                <w:color w:val="2D2D2D"/>
                <w:sz w:val="19"/>
                <w:szCs w:val="19"/>
              </w:rPr>
              <w:t xml:space="preserve">Netflix Prize</w:t>
            </w:r>
            <w:r>
              <w:rPr>
                <w:rFonts w:ascii="Cambria" w:cs="Cambria" w:eastAsia="Cambria" w:hAnsi="Cambria"/>
                <w:color w:val="2D2D2D"/>
                <w:sz w:val="19"/>
                <w:szCs w:val="19"/>
              </w:rPr>
              <w:t xml:space="preserve">. Cada usuario u e ítem i se representan por vectores de </w:t>
            </w:r>
            <w:r>
              <w:rPr>
                <w:rFonts w:ascii="Cambria" w:cs="Cambria" w:eastAsia="Cambria" w:hAnsi="Cambria"/>
                <w:b/>
                <w:bCs/>
                <w:color w:val="2D2D2D"/>
                <w:sz w:val="19"/>
                <w:szCs w:val="19"/>
              </w:rPr>
              <w:t xml:space="preserve">factores latentes</w:t>
            </w:r>
            <w:r>
              <w:rPr>
                <w:rFonts w:ascii="Cambria" w:cs="Cambria" w:eastAsia="Cambria" w:hAnsi="Cambria"/>
                <w:color w:val="2D2D2D"/>
                <w:sz w:val="19"/>
                <w:szCs w:val="19"/>
              </w:rPr>
              <w:t xml:space="preserve"> pᵤ, qᵢ ∈ ℝᶠ y la calificación se predice como </w:t>
            </w:r>
            <w:r>
              <w:rPr>
                <w:rFonts w:ascii="Consolas" w:cs="Consolas" w:eastAsia="Consolas" w:hAnsi="Consolas"/>
                <w:color w:val="7A1526"/>
                <w:sz w:val="17"/>
                <w:szCs w:val="17"/>
              </w:rPr>
              <w:t xml:space="preserve">r̂ᵤᵢ = μ + bᵤ + bᵢ + qᵢᵀpᵤ</w:t>
            </w:r>
            <w:r>
              <w:rPr>
                <w:rFonts w:ascii="Cambria" w:cs="Cambria" w:eastAsia="Cambria" w:hAnsi="Cambria"/>
                <w:color w:val="2D2D2D"/>
                <w:sz w:val="19"/>
                <w:szCs w:val="19"/>
              </w:rPr>
              <w:t xml:space="preserve"> (media global + sesgo del usuario + sesgo del ítem + interacción de gustos), estimados al minimizar el </w:t>
            </w:r>
            <w:r>
              <w:rPr>
                <w:rFonts w:ascii="Cambria" w:cs="Cambria" w:eastAsia="Cambria" w:hAnsi="Cambria"/>
                <w:b/>
                <w:bCs/>
                <w:color w:val="2D2D2D"/>
                <w:sz w:val="19"/>
                <w:szCs w:val="19"/>
              </w:rPr>
              <w:t xml:space="preserve">error cuadrático regularizado</w:t>
            </w:r>
            <w:r>
              <w:rPr>
                <w:rFonts w:ascii="Cambria" w:cs="Cambria" w:eastAsia="Cambria" w:hAnsi="Cambria"/>
                <w:color w:val="2D2D2D"/>
                <w:sz w:val="19"/>
                <w:szCs w:val="19"/>
              </w:rPr>
              <w:t xml:space="preserve"> sobre las calificaciones </w:t>
            </w:r>
            <w:r>
              <w:rPr>
                <w:rFonts w:ascii="Cambria" w:cs="Cambria" w:eastAsia="Cambria" w:hAnsi="Cambria"/>
                <w:b/>
                <w:bCs/>
                <w:color w:val="2D2D2D"/>
                <w:sz w:val="19"/>
                <w:szCs w:val="19"/>
              </w:rPr>
              <w:t xml:space="preserve">observadas</w:t>
            </w:r>
            <w:r>
              <w:rPr>
                <w:rFonts w:ascii="Cambria" w:cs="Cambria" w:eastAsia="Cambria" w:hAnsi="Cambria"/>
                <w:color w:val="2D2D2D"/>
                <w:sz w:val="19"/>
                <w:szCs w:val="19"/>
              </w:rPr>
              <w:t xml:space="preserve">, por descenso de gradiente estocástico (ver el glosario de la sesión e la ficha de la sesión de réplica del paper). Declarar por escrito que la base original de Koren-Bell-Volinsky fue el </w:t>
            </w:r>
            <w:r>
              <w:rPr>
                <w:rFonts w:ascii="Cambria" w:cs="Cambria" w:eastAsia="Cambria" w:hAnsi="Cambria"/>
                <w:b/>
                <w:bCs/>
                <w:color w:val="2D2D2D"/>
                <w:sz w:val="19"/>
                <w:szCs w:val="19"/>
              </w:rPr>
              <w:t xml:space="preserve">Netflix Prize</w:t>
            </w:r>
            <w:r>
              <w:rPr>
                <w:rFonts w:ascii="Cambria" w:cs="Cambria" w:eastAsia="Cambria" w:hAnsi="Cambria"/>
                <w:color w:val="2D2D2D"/>
                <w:sz w:val="19"/>
                <w:szCs w:val="19"/>
              </w:rPr>
              <w:t xml:space="preserve"> (~100 M de calificaciones), </w:t>
            </w:r>
            <w:r>
              <w:rPr>
                <w:rFonts w:ascii="Cambria" w:cs="Cambria" w:eastAsia="Cambria" w:hAnsi="Cambria"/>
                <w:b/>
                <w:bCs/>
                <w:color w:val="2D2D2D"/>
                <w:sz w:val="19"/>
                <w:szCs w:val="19"/>
              </w:rPr>
              <w:t xml:space="preserve">retirado de distribución</w:t>
            </w:r>
            <w:r>
              <w:rPr>
                <w:rFonts w:ascii="Cambria" w:cs="Cambria" w:eastAsia="Cambria" w:hAnsi="Cambria"/>
                <w:color w:val="2D2D2D"/>
                <w:sz w:val="19"/>
                <w:szCs w:val="19"/>
              </w:rPr>
              <w:t xml:space="preserve"> tras la de-anonimización de Narayanan &amp; Shmatikov (2008) y el litigio de privacidad cerrado en 2010, y que </w:t>
            </w:r>
            <w:r>
              <w:rPr>
                <w:rFonts w:ascii="Cambria" w:cs="Cambria" w:eastAsia="Cambria" w:hAnsi="Cambria"/>
                <w:b/>
                <w:bCs/>
                <w:color w:val="2D2D2D"/>
                <w:sz w:val="19"/>
                <w:szCs w:val="19"/>
              </w:rPr>
              <w:t xml:space="preserve">MovieLens 100k</w:t>
            </w:r>
            <w:r>
              <w:rPr>
                <w:rFonts w:ascii="Cambria" w:cs="Cambria" w:eastAsia="Cambria" w:hAnsi="Cambria"/>
                <w:color w:val="2D2D2D"/>
                <w:sz w:val="19"/>
                <w:szCs w:val="19"/>
              </w:rPr>
              <w:t xml:space="preserve"> (GroupLens) es el </w:t>
            </w:r>
            <w:r>
              <w:rPr>
                <w:rFonts w:ascii="Cambria" w:cs="Cambria" w:eastAsia="Cambria" w:hAnsi="Cambria"/>
                <w:b/>
                <w:bCs/>
                <w:color w:val="2D2D2D"/>
                <w:sz w:val="19"/>
                <w:szCs w:val="19"/>
              </w:rPr>
              <w:t xml:space="preserve">sustituto canónico</w:t>
            </w:r>
            <w:r>
              <w:rPr>
                <w:rFonts w:ascii="Cambria" w:cs="Cambria" w:eastAsia="Cambria" w:hAnsi="Cambria"/>
                <w:color w:val="2D2D2D"/>
                <w:sz w:val="19"/>
                <w:szCs w:val="19"/>
              </w:rPr>
              <w:t xml:space="preserve"> con el que la literatura y </w:t>
            </w:r>
            <w:r>
              <w:rPr>
                <w:rFonts w:ascii="Consolas" w:cs="Consolas" w:eastAsia="Consolas" w:hAnsi="Consolas"/>
                <w:color w:val="7A1526"/>
                <w:sz w:val="17"/>
                <w:szCs w:val="17"/>
              </w:rPr>
              <w:t xml:space="preserve">surprise</w:t>
            </w:r>
            <w:r>
              <w:rPr>
                <w:rFonts w:ascii="Cambria" w:cs="Cambria" w:eastAsia="Cambria" w:hAnsi="Cambria"/>
                <w:color w:val="2D2D2D"/>
                <w:sz w:val="19"/>
                <w:szCs w:val="19"/>
              </w:rPr>
              <w:t xml:space="preserve"> reproducen la factorización («Base original: </w:t>
            </w:r>
            <w:r>
              <w:rPr>
                <w:rFonts w:ascii="Cambria" w:cs="Cambria" w:eastAsia="Cambria" w:hAnsi="Cambria"/>
                <w:b/>
                <w:bCs/>
                <w:color w:val="2D2D2D"/>
                <w:sz w:val="19"/>
                <w:szCs w:val="19"/>
              </w:rPr>
              <w:t xml:space="preserve">sustituto — justificado</w:t>
            </w:r>
            <w:r>
              <w:rPr>
                <w:rFonts w:ascii="Cambria" w:cs="Cambria" w:eastAsia="Cambria" w:hAnsi="Cambria"/>
                <w:color w:val="2D2D2D"/>
                <w:sz w:val="19"/>
                <w:szCs w:val="19"/>
              </w:rPr>
              <w:t xml:space="preserve">»); declarar también que el algoritmo SVD de </w:t>
            </w:r>
            <w:r>
              <w:rPr>
                <w:rFonts w:ascii="Consolas" w:cs="Consolas" w:eastAsia="Consolas" w:hAnsi="Consolas"/>
                <w:color w:val="7A1526"/>
                <w:sz w:val="17"/>
                <w:szCs w:val="17"/>
              </w:rPr>
              <w:t xml:space="preserve">surprise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 es la SVD algebraica</w:t>
            </w:r>
            <w:r>
              <w:rPr>
                <w:rFonts w:ascii="Cambria" w:cs="Cambria" w:eastAsia="Cambria" w:hAnsi="Cambria"/>
                <w:color w:val="2D2D2D"/>
                <w:sz w:val="19"/>
                <w:szCs w:val="19"/>
              </w:rPr>
              <w:t xml:space="preserve"> (numpy.linalg.svd), sino la </w:t>
            </w:r>
            <w:r>
              <w:rPr>
                <w:rFonts w:ascii="Cambria" w:cs="Cambria" w:eastAsia="Cambria" w:hAnsi="Cambria"/>
                <w:b/>
                <w:bCs/>
                <w:color w:val="2D2D2D"/>
                <w:sz w:val="19"/>
                <w:szCs w:val="19"/>
              </w:rPr>
              <w:t xml:space="preserve">factorización de matrices sesgada y regularizada</w:t>
            </w:r>
            <w:r>
              <w:rPr>
                <w:rFonts w:ascii="Cambria" w:cs="Cambria" w:eastAsia="Cambria" w:hAnsi="Cambria"/>
                <w:color w:val="2D2D2D"/>
                <w:sz w:val="19"/>
                <w:szCs w:val="19"/>
              </w:rPr>
              <w:t xml:space="preserve"> de Koren (popularizada por Simon Funk), entrenada por SGD </w:t>
            </w:r>
            <w:r>
              <w:rPr>
                <w:rFonts w:ascii="Cambria" w:cs="Cambria" w:eastAsia="Cambria" w:hAnsi="Cambria"/>
                <w:b/>
                <w:bCs/>
                <w:color w:val="2D2D2D"/>
                <w:sz w:val="19"/>
                <w:szCs w:val="19"/>
              </w:rPr>
              <w:t xml:space="preserve">solo sobre las celdas observadas</w:t>
            </w:r>
            <w:r>
              <w:rPr>
                <w:rFonts w:ascii="Cambria" w:cs="Cambria" w:eastAsia="Cambria" w:hAnsi="Cambria"/>
                <w:color w:val="2D2D2D"/>
                <w:sz w:val="19"/>
                <w:szCs w:val="19"/>
              </w:rPr>
              <w:t xml:space="preserve"> — el nombre es histórico, y comunicarlo con honestidad es el punto central de la sesión. El vínculo con la actualidad: un estudio con datos reales de </w:t>
            </w:r>
            <w:r>
              <w:rPr>
                <w:rFonts w:ascii="Cambria" w:cs="Cambria" w:eastAsia="Cambria" w:hAnsi="Cambria"/>
                <w:b/>
                <w:bCs/>
                <w:color w:val="2D2D2D"/>
                <w:sz w:val="19"/>
                <w:szCs w:val="19"/>
              </w:rPr>
              <w:t xml:space="preserve">Netflix</w:t>
            </w:r>
            <w:r>
              <w:rPr>
                <w:rFonts w:ascii="Cambria" w:cs="Cambria" w:eastAsia="Cambria" w:hAnsi="Cambria"/>
                <w:color w:val="2D2D2D"/>
                <w:sz w:val="19"/>
                <w:szCs w:val="19"/>
              </w:rPr>
              <w:t xml:space="preserve"> (arXiv 2511.07280, 11/2025) estima que sustituir el recomendador por una </w:t>
            </w:r>
            <w:r>
              <w:rPr>
                <w:rFonts w:ascii="Cambria" w:cs="Cambria" w:eastAsia="Cambria" w:hAnsi="Cambria"/>
                <w:b/>
                <w:bCs/>
                <w:color w:val="2D2D2D"/>
                <w:sz w:val="19"/>
                <w:szCs w:val="19"/>
              </w:rPr>
              <w:t xml:space="preserve">factorización de matrices</w:t>
            </w:r>
            <w:r>
              <w:rPr>
                <w:rFonts w:ascii="Cambria" w:cs="Cambria" w:eastAsia="Cambria" w:hAnsi="Cambria"/>
                <w:color w:val="2D2D2D"/>
                <w:sz w:val="19"/>
                <w:szCs w:val="19"/>
              </w:rPr>
              <w:t xml:space="preserve"> reduciría el engagement ~</w:t>
            </w:r>
            <w:r>
              <w:rPr>
                <w:rFonts w:ascii="Cambria" w:cs="Cambria" w:eastAsia="Cambria" w:hAnsi="Cambria"/>
                <w:b/>
                <w:bCs/>
                <w:color w:val="2D2D2D"/>
                <w:sz w:val="19"/>
                <w:szCs w:val="19"/>
              </w:rPr>
              <w:t xml:space="preserve">4 %</w:t>
            </w:r>
            <w:r>
              <w:rPr>
                <w:rFonts w:ascii="Cambria" w:cs="Cambria" w:eastAsia="Cambria" w:hAnsi="Cambria"/>
                <w:color w:val="2D2D2D"/>
                <w:sz w:val="19"/>
                <w:szCs w:val="19"/>
              </w:rPr>
              <w:t xml:space="preserve">, y por </w:t>
            </w:r>
            <w:r>
              <w:rPr>
                <w:rFonts w:ascii="Cambria" w:cs="Cambria" w:eastAsia="Cambria" w:hAnsi="Cambria"/>
                <w:b/>
                <w:bCs/>
                <w:color w:val="2D2D2D"/>
                <w:sz w:val="19"/>
                <w:szCs w:val="19"/>
              </w:rPr>
              <w:t xml:space="preserve">popularidad</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12 %</w:t>
            </w:r>
            <w:r>
              <w:rPr>
                <w:rFonts w:ascii="Cambria" w:cs="Cambria" w:eastAsia="Cambria" w:hAnsi="Cambria"/>
                <w:color w:val="2D2D2D"/>
                <w:sz w:val="19"/>
                <w:szCs w:val="19"/>
              </w:rPr>
              <w:t xml:space="preserve"> — la mayor parte del valor proviene del </w:t>
            </w:r>
            <w:r>
              <w:rPr>
                <w:rFonts w:ascii="Cambria" w:cs="Cambria" w:eastAsia="Cambria" w:hAnsi="Cambria"/>
                <w:b/>
                <w:bCs/>
                <w:color w:val="2D2D2D"/>
                <w:sz w:val="19"/>
                <w:szCs w:val="19"/>
              </w:rPr>
              <w:t xml:space="preserve">targeting</w:t>
            </w:r>
            <w:r>
              <w:rPr>
                <w:rFonts w:ascii="Cambria" w:cs="Cambria" w:eastAsia="Cambria" w:hAnsi="Cambria"/>
                <w:color w:val="2D2D2D"/>
                <w:sz w:val="19"/>
                <w:szCs w:val="19"/>
              </w:rPr>
              <w:t xml:space="preserve">; Shopify reporta subidas de </w:t>
            </w:r>
            <w:r>
              <w:rPr>
                <w:rFonts w:ascii="Cambria" w:cs="Cambria" w:eastAsia="Cambria" w:hAnsi="Cambria"/>
                <w:b/>
                <w:bCs/>
                <w:color w:val="2D2D2D"/>
                <w:sz w:val="19"/>
                <w:szCs w:val="19"/>
              </w:rPr>
              <w:t xml:space="preserve">10-15 % en el ticket medio</w:t>
            </w:r>
            <w:r>
              <w:rPr>
                <w:rFonts w:ascii="Cambria" w:cs="Cambria" w:eastAsia="Cambria" w:hAnsi="Cambria"/>
                <w:color w:val="2D2D2D"/>
                <w:sz w:val="19"/>
                <w:szCs w:val="19"/>
              </w:rPr>
              <w:t xml:space="preserve"> al activar recomendaciones (03/04/2026).</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los targets de la réplica declarados (qué se reproduce y de dónde proviene, tabla T1–T5 siguiente), una frase que aclare la relación entre el paper (Netflix Prize) y el dataset de trabajo (MovieLens), y la </w:t>
            </w:r>
            <w:r>
              <w:rPr>
                <w:rFonts w:ascii="Cambria" w:cs="Cambria" w:eastAsia="Cambria" w:hAnsi="Cambria"/>
                <w:b/>
                <w:bCs/>
                <w:color w:val="2D2D2D"/>
                <w:sz w:val="19"/>
                <w:szCs w:val="19"/>
              </w:rPr>
              <w:t xml:space="preserve">reconstrucción de una decisión de método</w:t>
            </w:r>
            <w:r>
              <w:rPr>
                <w:rFonts w:ascii="Cambria" w:cs="Cambria" w:eastAsia="Cambria" w:hAnsi="Cambria"/>
                <w:color w:val="2D2D2D"/>
                <w:sz w:val="19"/>
                <w:szCs w:val="19"/>
              </w:rPr>
              <w:t xml:space="preserve"> —de Sarwar o de Hu— con qué pregunta respondía su autor y qué habría fallado sin ella.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Qué preguntaban estos papers, y por qué usaron lo que usaron</w:t>
            </w:r>
          </w:p>
          <w:p>
            <w:pPr>
              <w:spacing w:after="70" w:line="265"/>
            </w:pPr>
            <w:r>
              <w:rPr>
                <w:rFonts w:ascii="Cambria" w:cs="Cambria" w:eastAsia="Cambria" w:hAnsi="Cambria"/>
                <w:color w:val="3A3A3A"/>
                <w:sz w:val="18"/>
                <w:szCs w:val="18"/>
              </w:rPr>
              <w:t xml:space="preserve">Antes de ejecutar una sola celda conviene entender </w:t>
            </w:r>
            <w:r>
              <w:rPr>
                <w:rFonts w:ascii="Cambria" w:cs="Cambria" w:eastAsia="Cambria" w:hAnsi="Cambria"/>
                <w:b/>
                <w:bCs/>
                <w:color w:val="3A3A3A"/>
                <w:sz w:val="18"/>
                <w:szCs w:val="18"/>
              </w:rPr>
              <w:t xml:space="preserve">qué buscaba cada autor</w:t>
            </w:r>
            <w:r>
              <w:rPr>
                <w:rFonts w:ascii="Cambria" w:cs="Cambria" w:eastAsia="Cambria" w:hAnsi="Cambria"/>
                <w:color w:val="3A3A3A"/>
                <w:sz w:val="18"/>
                <w:szCs w:val="18"/>
              </w:rPr>
              <w:t xml:space="preserve">, porque de ahí salen todas sus decisiones de método. La sesión descansa sobre dos artículos seminales que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son dos intentos sucesivos de recomendar mejor: son dos respuestas a dos preguntas de ingeniería distintas, y en ninguno de los dos casos la pregunta fue «¿cómo subo la precisión?». </w:t>
            </w:r>
            <w:r>
              <w:rPr>
                <w:rFonts w:ascii="Cambria" w:cs="Cambria" w:eastAsia="Cambria" w:hAnsi="Cambria"/>
                <w:b/>
                <w:bCs/>
                <w:color w:val="3A3A3A"/>
                <w:sz w:val="18"/>
                <w:szCs w:val="18"/>
              </w:rPr>
              <w:t xml:space="preserve">Sarwar (2001) preguntó CUÁNDO se puede calcular la recomendación; Hu, Koren &amp; Volinsky (2008) preguntaron QUÉ se puede modelar cuando el usuario nunca califica nada</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(desarrollo completo, con las citas de los originales: la ficha de la sesión de réplica del paper)</w:t>
            </w:r>
          </w:p>
          <w:p>
            <w:pPr>
              <w:spacing w:after="70" w:line="265"/>
            </w:pPr>
            <w:r>
              <w:rPr>
                <w:rFonts w:ascii="Cambria" w:cs="Cambria" w:eastAsia="Cambria" w:hAnsi="Cambria"/>
                <w:b/>
                <w:bCs/>
                <w:color w:val="3A3A3A"/>
                <w:sz w:val="18"/>
                <w:szCs w:val="18"/>
              </w:rPr>
              <w:t xml:space="preserve">Sarwar: la pregunta era el tiempo de respuesta, no el error.</w:t>
            </w:r>
            <w:r>
              <w:rPr>
                <w:rFonts w:ascii="Cambria" w:cs="Cambria" w:eastAsia="Cambria" w:hAnsi="Cambria"/>
                <w:color w:val="3A3A3A"/>
                <w:sz w:val="18"/>
                <w:szCs w:val="18"/>
              </w:rPr>
              <w:t xml:space="preserve"> El artículo abre con un desafío de escala: «</w:t>
            </w:r>
            <w:r>
              <w:rPr>
                <w:rFonts w:ascii="Cambria" w:cs="Cambria" w:eastAsia="Cambria" w:hAnsi="Cambria"/>
                <w:i/>
                <w:iCs/>
                <w:color w:val="3A3A3A"/>
                <w:sz w:val="18"/>
                <w:szCs w:val="18"/>
              </w:rPr>
              <w:t xml:space="preserve">El primer desafío es mejorar la escalabilidad de los algoritmos de filtrado colaborativo. Estos algoritmos pueden buscar entre decenas de miles de vecinos potenciales en tiempo real, pero lo que exigen los sistemas modernos es buscar entre decenas de millones</w:t>
            </w:r>
            <w:r>
              <w:rPr>
                <w:rFonts w:ascii="Cambria" w:cs="Cambria" w:eastAsia="Cambria" w:hAnsi="Cambria"/>
                <w:color w:val="3A3A3A"/>
                <w:sz w:val="18"/>
                <w:szCs w:val="18"/>
              </w:rPr>
              <w:t xml:space="preserve">» (Sección 1). Lo que estaba en juego no era un decimal de error: era si un sitio de comercio electrónico podía </w:t>
            </w:r>
            <w:r>
              <w:rPr>
                <w:rFonts w:ascii="Cambria" w:cs="Cambria" w:eastAsia="Cambria" w:hAnsi="Cambria"/>
                <w:b/>
                <w:bCs/>
                <w:color w:val="3A3A3A"/>
                <w:sz w:val="18"/>
                <w:szCs w:val="18"/>
              </w:rPr>
              <w:t xml:space="preserve">poner recomendaciones personalizadas en la página mientras el cliente la mira</w:t>
            </w:r>
            <w:r>
              <w:rPr>
                <w:rFonts w:ascii="Cambria" w:cs="Cambria" w:eastAsia="Cambria" w:hAnsi="Cambria"/>
                <w:color w:val="3A3A3A"/>
                <w:sz w:val="18"/>
                <w:szCs w:val="18"/>
              </w:rPr>
              <w:t xml:space="preserve">, o si debía renunciar a personalizar. Y el cuello de botella tiene nombre: el vecindario de un usuario </w:t>
            </w:r>
            <w:r>
              <w:rPr>
                <w:rFonts w:ascii="Cambria" w:cs="Cambria" w:eastAsia="Cambria" w:hAnsi="Cambria"/>
                <w:b/>
                <w:bCs/>
                <w:color w:val="3A3A3A"/>
                <w:sz w:val="18"/>
                <w:szCs w:val="18"/>
              </w:rPr>
              <w:t xml:space="preserve">caduca cada vez que ese usuario actúa</w:t>
            </w:r>
            <w:r>
              <w:rPr>
                <w:rFonts w:ascii="Cambria" w:cs="Cambria" w:eastAsia="Cambria" w:hAnsi="Cambria"/>
                <w:color w:val="3A3A3A"/>
                <w:sz w:val="18"/>
                <w:szCs w:val="18"/>
              </w:rPr>
              <w:t xml:space="preserve">, de modo que su cálculo cae íntegro sobre el momento de servir la página.</w:t>
            </w:r>
          </w:p>
          <w:p>
            <w:pPr>
              <w:spacing w:after="70" w:line="265"/>
            </w:pPr>
            <w:r>
              <w:rPr>
                <w:rFonts w:ascii="Cambria" w:cs="Cambria" w:eastAsia="Cambria" w:hAnsi="Cambria"/>
                <w:b/>
                <w:bCs/>
                <w:color w:val="3A3A3A"/>
                <w:sz w:val="18"/>
                <w:szCs w:val="18"/>
              </w:rPr>
              <w:t xml:space="preserve">Por qué la similitud entre ítems y no entre usuarios.</w:t>
            </w:r>
            <w:r>
              <w:rPr>
                <w:rFonts w:ascii="Cambria" w:cs="Cambria" w:eastAsia="Cambria" w:hAnsi="Cambria"/>
                <w:color w:val="3A3A3A"/>
                <w:sz w:val="18"/>
                <w:szCs w:val="18"/>
              </w:rPr>
              <w:t xml:space="preserve"> La práctica estándar de la época era el vecindario de usuarios. El giro del paper es una decisión sobre </w:t>
            </w:r>
            <w:r>
              <w:rPr>
                <w:rFonts w:ascii="Cambria" w:cs="Cambria" w:eastAsia="Cambria" w:hAnsi="Cambria"/>
                <w:b/>
                <w:bCs/>
                <w:color w:val="3A3A3A"/>
                <w:sz w:val="18"/>
                <w:szCs w:val="18"/>
              </w:rPr>
              <w:t xml:space="preserve">qué objeto es estable</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Como las relaciones entre ítems son relativamente estáticas, los algoritmos basados en ítems podrían dar la misma calidad que los basados en usuarios con menos cómputo en línea</w:t>
            </w:r>
            <w:r>
              <w:rPr>
                <w:rFonts w:ascii="Cambria" w:cs="Cambria" w:eastAsia="Cambria" w:hAnsi="Cambria"/>
                <w:color w:val="3A3A3A"/>
                <w:sz w:val="18"/>
                <w:szCs w:val="18"/>
              </w:rPr>
              <w:t xml:space="preserve">» (Sección 1). El algoritmo queda partido en dos: una fase </w:t>
            </w:r>
            <w:r>
              <w:rPr>
                <w:rFonts w:ascii="Cambria" w:cs="Cambria" w:eastAsia="Cambria" w:hAnsi="Cambria"/>
                <w:b/>
                <w:bCs/>
                <w:color w:val="3A3A3A"/>
                <w:sz w:val="18"/>
                <w:szCs w:val="18"/>
              </w:rPr>
              <w:t xml:space="preserve">fuera de línea</w:t>
            </w:r>
            <w:r>
              <w:rPr>
                <w:rFonts w:ascii="Cambria" w:cs="Cambria" w:eastAsia="Cambria" w:hAnsi="Cambria"/>
                <w:color w:val="3A3A3A"/>
                <w:sz w:val="18"/>
                <w:szCs w:val="18"/>
              </w:rPr>
              <w:t xml:space="preserve"> que calcula la similitud ítem-ítem y una fase </w:t>
            </w:r>
            <w:r>
              <w:rPr>
                <w:rFonts w:ascii="Cambria" w:cs="Cambria" w:eastAsia="Cambria" w:hAnsi="Cambria"/>
                <w:b/>
                <w:bCs/>
                <w:color w:val="3A3A3A"/>
                <w:sz w:val="18"/>
                <w:szCs w:val="18"/>
              </w:rPr>
              <w:t xml:space="preserve">en línea</w:t>
            </w:r>
            <w:r>
              <w:rPr>
                <w:rFonts w:ascii="Cambria" w:cs="Cambria" w:eastAsia="Cambria" w:hAnsi="Cambria"/>
                <w:color w:val="3A3A3A"/>
                <w:sz w:val="18"/>
                <w:szCs w:val="18"/>
              </w:rPr>
              <w:t xml:space="preserve"> que solo consulta una tabla y promedia las notas del usuario a los ítems parecidos. La escalabilidad no se ganó con más máquina: se ganó al </w:t>
            </w:r>
            <w:r>
              <w:rPr>
                <w:rFonts w:ascii="Cambria" w:cs="Cambria" w:eastAsia="Cambria" w:hAnsi="Cambria"/>
                <w:b/>
                <w:bCs/>
                <w:color w:val="3A3A3A"/>
                <w:sz w:val="18"/>
                <w:szCs w:val="18"/>
              </w:rPr>
              <w:t xml:space="preserve">mover el cómputo de la hora punta a la madrugada</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Y cada decisión se midió antes de adoptarla.</w:t>
            </w:r>
            <w:r>
              <w:rPr>
                <w:rFonts w:ascii="Cambria" w:cs="Cambria" w:eastAsia="Cambria" w:hAnsi="Cambria"/>
                <w:color w:val="3A3A3A"/>
                <w:sz w:val="18"/>
                <w:szCs w:val="18"/>
              </w:rPr>
              <w:t xml:space="preserve"> La medida de similitud no se fijó por costumbre: los autores compararon tres —coseno básico, correlación de Pearson y coseno ajustado— sobre los mismos datos, y el </w:t>
            </w:r>
            <w:r>
              <w:rPr>
                <w:rFonts w:ascii="Cambria" w:cs="Cambria" w:eastAsia="Cambria" w:hAnsi="Cambria"/>
                <w:b/>
                <w:bCs/>
                <w:color w:val="3A3A3A"/>
                <w:sz w:val="18"/>
                <w:szCs w:val="18"/>
              </w:rPr>
              <w:t xml:space="preserve">coseno ajustado</w:t>
            </w:r>
            <w:r>
              <w:rPr>
                <w:rFonts w:ascii="Cambria" w:cs="Cambria" w:eastAsia="Cambria" w:hAnsi="Cambria"/>
                <w:color w:val="3A3A3A"/>
                <w:sz w:val="18"/>
                <w:szCs w:val="18"/>
              </w:rPr>
              <w:t xml:space="preserve">, que resta a cada calificación la media del usuario que la emitió, resultó superior, con el menor error. Tampoco guardaron el modelo entero: la matriz de similitud completa exige un espacio del orden de n² para n ítems, así que retuvieron solo los </w:t>
            </w:r>
            <w:r>
              <w:rPr>
                <w:rFonts w:ascii="Cambria" w:cs="Cambria" w:eastAsia="Cambria" w:hAnsi="Cambria"/>
                <w:i/>
                <w:iCs/>
                <w:color w:val="3A3A3A"/>
                <w:sz w:val="18"/>
                <w:szCs w:val="18"/>
              </w:rPr>
              <w:t xml:space="preserve">k</w:t>
            </w:r>
            <w:r>
              <w:rPr>
                <w:rFonts w:ascii="Cambria" w:cs="Cambria" w:eastAsia="Cambria" w:hAnsi="Cambria"/>
                <w:color w:val="3A3A3A"/>
                <w:sz w:val="18"/>
                <w:szCs w:val="18"/>
              </w:rPr>
              <w:t xml:space="preserve"> ítems más similares de cada ítem y midieron cuánto se perdía. Con un tamaño de modelo de 200, el tiempo de respuesta del artículo baja de </w:t>
            </w:r>
            <w:r>
              <w:rPr>
                <w:rFonts w:ascii="Cambria" w:cs="Cambria" w:eastAsia="Cambria" w:hAnsi="Cambria"/>
                <w:b/>
                <w:bCs/>
                <w:color w:val="3A3A3A"/>
                <w:sz w:val="18"/>
                <w:szCs w:val="18"/>
              </w:rPr>
              <w:t xml:space="preserve">36,34 s a 1,292 s</w:t>
            </w:r>
            <w:r>
              <w:rPr>
                <w:rFonts w:ascii="Cambria" w:cs="Cambria" w:eastAsia="Cambria" w:hAnsi="Cambria"/>
                <w:color w:val="3A3A3A"/>
                <w:sz w:val="18"/>
                <w:szCs w:val="18"/>
              </w:rPr>
              <w:t xml:space="preserve"> (cifras del paper), a cambio de unos pocos puntos porcentuales de exactitud. Ese intercambio, y no un decimal de MAE, es el argumento del trabajo.</w:t>
            </w:r>
          </w:p>
          <w:p>
            <w:pPr>
              <w:spacing w:after="70" w:line="265"/>
            </w:pPr>
            <w:r>
              <w:rPr>
                <w:rFonts w:ascii="Cambria" w:cs="Cambria" w:eastAsia="Cambria" w:hAnsi="Cambria"/>
                <w:b/>
                <w:bCs/>
                <w:color w:val="3A3A3A"/>
                <w:sz w:val="18"/>
                <w:szCs w:val="18"/>
              </w:rPr>
              <w:t xml:space="preserve">Hu, Koren &amp; Volinsky: la pregunta era anterior, qué medir cuando nadie califica.</w:t>
            </w:r>
            <w:r>
              <w:rPr>
                <w:rFonts w:ascii="Cambria" w:cs="Cambria" w:eastAsia="Cambria" w:hAnsi="Cambria"/>
                <w:color w:val="3A3A3A"/>
                <w:sz w:val="18"/>
                <w:szCs w:val="18"/>
              </w:rPr>
              <w:t xml:space="preserve"> Su punto de partida es una carencia declarada en el resumen: «</w:t>
            </w:r>
            <w:r>
              <w:rPr>
                <w:rFonts w:ascii="Cambria" w:cs="Cambria" w:eastAsia="Cambria" w:hAnsi="Cambria"/>
                <w:i/>
                <w:iCs/>
                <w:color w:val="3A3A3A"/>
                <w:sz w:val="18"/>
                <w:szCs w:val="18"/>
              </w:rPr>
              <w:t xml:space="preserve">A diferencia del feedback explícito, mucho más estudiado, no tenemos ninguna entrada directa de los usuarios sobre sus preferencias. En particular, carecemos de evidencia sustancial sobre qué productos les disgustan</w:t>
            </w:r>
            <w:r>
              <w:rPr>
                <w:rFonts w:ascii="Cambria" w:cs="Cambria" w:eastAsia="Cambria" w:hAnsi="Cambria"/>
                <w:color w:val="3A3A3A"/>
                <w:sz w:val="18"/>
                <w:szCs w:val="18"/>
              </w:rPr>
              <w:t xml:space="preserve">» (Resumen, p. 263). Es la situación normal de una empresa: casi ningún dato de negocio viene con una nota del 1 al 5; hay compras, clics, minutos vistos, visitas. Y ese dato no admite el trasplante directo del modelo explícito, porque «</w:t>
            </w:r>
            <w:r>
              <w:rPr>
                <w:rFonts w:ascii="Cambria" w:cs="Cambria" w:eastAsia="Cambria" w:hAnsi="Cambria"/>
                <w:i/>
                <w:iCs/>
                <w:color w:val="3A3A3A"/>
                <w:sz w:val="18"/>
                <w:szCs w:val="18"/>
              </w:rPr>
              <w:t xml:space="preserve">el valor numérico del feedback explícito indica preferencia; el del feedback implícito indica confianza</w:t>
            </w:r>
            <w:r>
              <w:rPr>
                <w:rFonts w:ascii="Cambria" w:cs="Cambria" w:eastAsia="Cambria" w:hAnsi="Cambria"/>
                <w:color w:val="3A3A3A"/>
                <w:sz w:val="18"/>
                <w:szCs w:val="18"/>
              </w:rPr>
              <w:t xml:space="preserve">» (Sección 1, p. 264) — la película preferida se ve una sola vez, mientras que una serie que apenas gusta se ve todas las semanas.</w:t>
            </w:r>
          </w:p>
          <w:p>
            <w:pPr>
              <w:spacing w:after="70" w:line="265"/>
            </w:pPr>
            <w:r>
              <w:rPr>
                <w:rFonts w:ascii="Cambria" w:cs="Cambria" w:eastAsia="Cambria" w:hAnsi="Cambria"/>
                <w:b/>
                <w:bCs/>
                <w:color w:val="3A3A3A"/>
                <w:sz w:val="18"/>
                <w:szCs w:val="18"/>
              </w:rPr>
              <w:t xml:space="preserve">De ahí las dos decisiones que reproduce el caso de negocio.</w:t>
            </w:r>
            <w:r>
              <w:rPr>
                <w:rFonts w:ascii="Cambria" w:cs="Cambria" w:eastAsia="Cambria" w:hAnsi="Cambria"/>
                <w:color w:val="3A3A3A"/>
                <w:sz w:val="18"/>
                <w:szCs w:val="18"/>
              </w:rPr>
              <w:t xml:space="preserve"> La primera: partir cada observación en dos magnitudes —la </w:t>
            </w:r>
            <w:r>
              <w:rPr>
                <w:rFonts w:ascii="Cambria" w:cs="Cambria" w:eastAsia="Cambria" w:hAnsi="Cambria"/>
                <w:b/>
                <w:bCs/>
                <w:color w:val="3A3A3A"/>
                <w:sz w:val="18"/>
                <w:szCs w:val="18"/>
              </w:rPr>
              <w:t xml:space="preserve">preferencia</w:t>
            </w:r>
            <w:r>
              <w:rPr>
                <w:rFonts w:ascii="Cambria" w:cs="Cambria" w:eastAsia="Cambria" w:hAnsi="Cambria"/>
                <w:color w:val="3A3A3A"/>
                <w:sz w:val="18"/>
                <w:szCs w:val="18"/>
              </w:rPr>
              <w:t xml:space="preserve"> pᵤᵢ, binaria, y la </w:t>
            </w:r>
            <w:r>
              <w:rPr>
                <w:rFonts w:ascii="Cambria" w:cs="Cambria" w:eastAsia="Cambria" w:hAnsi="Cambria"/>
                <w:b/>
                <w:bCs/>
                <w:color w:val="3A3A3A"/>
                <w:sz w:val="18"/>
                <w:szCs w:val="18"/>
              </w:rPr>
              <w:t xml:space="preserve">confianza</w:t>
            </w:r>
            <w:r>
              <w:rPr>
                <w:rFonts w:ascii="Cambria" w:cs="Cambria" w:eastAsia="Cambria" w:hAnsi="Cambria"/>
                <w:color w:val="3A3A3A"/>
                <w:sz w:val="18"/>
                <w:szCs w:val="18"/>
              </w:rPr>
              <w:t xml:space="preserve"> cᵤᵢ = 1 + α·rᵤᵢ, creciente con la evidencia acumulada (α = 40 en el artículo)— y minimizar el coste sobre </w:t>
            </w:r>
            <w:r>
              <w:rPr>
                <w:rFonts w:ascii="Cambria" w:cs="Cambria" w:eastAsia="Cambria" w:hAnsi="Cambria"/>
                <w:b/>
                <w:bCs/>
                <w:color w:val="3A3A3A"/>
                <w:sz w:val="18"/>
                <w:szCs w:val="18"/>
              </w:rPr>
              <w:t xml:space="preserve">todos</w:t>
            </w:r>
            <w:r>
              <w:rPr>
                <w:rFonts w:ascii="Cambria" w:cs="Cambria" w:eastAsia="Cambria" w:hAnsi="Cambria"/>
                <w:color w:val="3A3A3A"/>
                <w:sz w:val="18"/>
                <w:szCs w:val="18"/>
              </w:rPr>
              <w:t xml:space="preserve"> los pares usuario-ítem, no solo sobre los observados; los ceros entran en el modelo, pero con </w:t>
            </w:r>
            <w:r>
              <w:rPr>
                <w:rFonts w:ascii="Cambria" w:cs="Cambria" w:eastAsia="Cambria" w:hAnsi="Cambria"/>
                <w:b/>
                <w:bCs/>
                <w:color w:val="3A3A3A"/>
                <w:sz w:val="18"/>
                <w:szCs w:val="18"/>
              </w:rPr>
              <w:t xml:space="preserve">confianza mínima</w:t>
            </w:r>
            <w:r>
              <w:rPr>
                <w:rFonts w:ascii="Cambria" w:cs="Cambria" w:eastAsia="Cambria" w:hAnsi="Cambria"/>
                <w:color w:val="3A3A3A"/>
                <w:sz w:val="18"/>
                <w:szCs w:val="18"/>
              </w:rPr>
              <w:t xml:space="preserve">: significan «no observado», nunca «lo detesta». La segunda: </w:t>
            </w:r>
            <w:r>
              <w:rPr>
                <w:rFonts w:ascii="Cambria" w:cs="Cambria" w:eastAsia="Cambria" w:hAnsi="Cambria"/>
                <w:b/>
                <w:bCs/>
                <w:color w:val="3A3A3A"/>
                <w:sz w:val="18"/>
                <w:szCs w:val="18"/>
              </w:rPr>
              <w:t xml:space="preserve">mínimos cuadrados alternados</w:t>
            </w:r>
            <w:r>
              <w:rPr>
                <w:rFonts w:ascii="Cambria" w:cs="Cambria" w:eastAsia="Cambria" w:hAnsi="Cambria"/>
                <w:color w:val="3A3A3A"/>
                <w:sz w:val="18"/>
                <w:szCs w:val="18"/>
              </w:rPr>
              <w:t xml:space="preserve"> en lugar de descenso de gradiente estocástico, que no es un detalle de implementación sino una consecuencia forzosa de la primera —al sumar sobre toda la matriz hay tantos términos como celdas, y solo la alternancia (con los factores de un lado fijos, el problema es cuadrático y tiene solución exacta) permite mirarla entera sin submuestrear—.</w:t>
            </w:r>
          </w:p>
          <w:p>
            <w:pPr>
              <w:spacing w:after="70" w:line="265"/>
            </w:pPr>
            <w:r>
              <w:rPr>
                <w:rFonts w:ascii="Cambria" w:cs="Cambria" w:eastAsia="Cambria" w:hAnsi="Cambria"/>
                <w:b/>
                <w:bCs/>
                <w:color w:val="3A3A3A"/>
                <w:sz w:val="18"/>
                <w:szCs w:val="18"/>
              </w:rPr>
              <w:t xml:space="preserve">Qué se replica de cada uno, y qué no.</w:t>
            </w:r>
            <w:r>
              <w:rPr>
                <w:rFonts w:ascii="Cambria" w:cs="Cambria" w:eastAsia="Cambria" w:hAnsi="Cambria"/>
                <w:color w:val="3A3A3A"/>
                <w:sz w:val="18"/>
                <w:szCs w:val="18"/>
              </w:rPr>
              <w:t xml:space="preserve"> De Sarwar se reproduce la </w:t>
            </w:r>
            <w:r>
              <w:rPr>
                <w:rFonts w:ascii="Cambria" w:cs="Cambria" w:eastAsia="Cambria" w:hAnsi="Cambria"/>
                <w:b/>
                <w:bCs/>
                <w:color w:val="3A3A3A"/>
                <w:sz w:val="18"/>
                <w:szCs w:val="18"/>
              </w:rPr>
              <w:t xml:space="preserve">dirección</w:t>
            </w:r>
            <w:r>
              <w:rPr>
                <w:rFonts w:ascii="Cambria" w:cs="Cambria" w:eastAsia="Cambria" w:hAnsi="Cambria"/>
                <w:color w:val="3A3A3A"/>
                <w:sz w:val="18"/>
                <w:szCs w:val="18"/>
              </w:rPr>
              <w:t xml:space="preserve">, no el número: el target T3 exige que el item-based quede por debajo del user-based con </w:t>
            </w:r>
            <w:r>
              <w:rPr>
                <w:rFonts w:ascii="Cambria" w:cs="Cambria" w:eastAsia="Cambria" w:hAnsi="Cambria"/>
                <w:b/>
                <w:bCs/>
                <w:color w:val="3A3A3A"/>
                <w:sz w:val="18"/>
                <w:szCs w:val="18"/>
              </w:rPr>
              <w:t xml:space="preserve">RMSE</w:t>
            </w:r>
            <w:r>
              <w:rPr>
                <w:rFonts w:ascii="Cambria" w:cs="Cambria" w:eastAsia="Cambria" w:hAnsi="Cambria"/>
                <w:color w:val="3A3A3A"/>
                <w:sz w:val="18"/>
                <w:szCs w:val="18"/>
              </w:rPr>
              <w:t xml:space="preserve"> en validación cruzada de cinco pliegues, mientras que el paper reportó </w:t>
            </w:r>
            <w:r>
              <w:rPr>
                <w:rFonts w:ascii="Cambria" w:cs="Cambria" w:eastAsia="Cambria" w:hAnsi="Cambria"/>
                <w:b/>
                <w:bCs/>
                <w:color w:val="3A3A3A"/>
                <w:sz w:val="18"/>
                <w:szCs w:val="18"/>
              </w:rPr>
              <w:t xml:space="preserve">MAE</w:t>
            </w:r>
            <w:r>
              <w:rPr>
                <w:rFonts w:ascii="Cambria" w:cs="Cambria" w:eastAsia="Cambria" w:hAnsi="Cambria"/>
                <w:color w:val="3A3A3A"/>
                <w:sz w:val="18"/>
                <w:szCs w:val="18"/>
              </w:rPr>
              <w:t xml:space="preserve"> con particiones propias y coseno ajustado. Son dos métricas y dos protocolos distintos sobre el mismo dataset: la comparación legítima es el </w:t>
            </w:r>
            <w:r>
              <w:rPr>
                <w:rFonts w:ascii="Cambria" w:cs="Cambria" w:eastAsia="Cambria" w:hAnsi="Cambria"/>
                <w:b/>
                <w:bCs/>
                <w:color w:val="3A3A3A"/>
                <w:sz w:val="18"/>
                <w:szCs w:val="18"/>
              </w:rPr>
              <w:t xml:space="preserve">orden entre esquemas</w:t>
            </w:r>
            <w:r>
              <w:rPr>
                <w:rFonts w:ascii="Cambria" w:cs="Cambria" w:eastAsia="Cambria" w:hAnsi="Cambria"/>
                <w:color w:val="3A3A3A"/>
                <w:sz w:val="18"/>
                <w:szCs w:val="18"/>
              </w:rPr>
              <w:t xml:space="preserve">, nunca la coincidencia decimal. De Hu </w:t>
            </w:r>
            <w:r>
              <w:rPr>
                <w:rFonts w:ascii="Cambria" w:cs="Cambria" w:eastAsia="Cambria" w:hAnsi="Cambria"/>
                <w:b/>
                <w:bCs/>
                <w:color w:val="3A3A3A"/>
                <w:sz w:val="18"/>
                <w:szCs w:val="18"/>
              </w:rPr>
              <w:t xml:space="preserve">no se replica ninguna cifra</w:t>
            </w:r>
            <w:r>
              <w:rPr>
                <w:rFonts w:ascii="Cambria" w:cs="Cambria" w:eastAsia="Cambria" w:hAnsi="Cambria"/>
                <w:color w:val="3A3A3A"/>
                <w:sz w:val="18"/>
                <w:szCs w:val="18"/>
              </w:rPr>
              <w:t xml:space="preserve">, porque el dataset de descodificadores de televisión del artículo nunca se publicó; el caso de negocio con Online Retail II </w:t>
            </w:r>
            <w:r>
              <w:rPr>
                <w:rFonts w:ascii="Cambria" w:cs="Cambria" w:eastAsia="Cambria" w:hAnsi="Cambria"/>
                <w:b/>
                <w:bCs/>
                <w:color w:val="3A3A3A"/>
                <w:sz w:val="18"/>
                <w:szCs w:val="18"/>
              </w:rPr>
              <w:t xml:space="preserve">ejercita</w:t>
            </w:r>
            <w:r>
              <w:rPr>
                <w:rFonts w:ascii="Cambria" w:cs="Cambria" w:eastAsia="Cambria" w:hAnsi="Cambria"/>
                <w:color w:val="3A3A3A"/>
                <w:sz w:val="18"/>
                <w:szCs w:val="18"/>
              </w:rPr>
              <w:t xml:space="preserve"> el modelo de preferencia y confianza, no replica 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Fuente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RMSE de SVD</w:t>
            </w:r>
            <w:r>
              <w:rPr>
                <w:rFonts w:ascii="Calibri" w:cs="Calibri" w:eastAsia="Calibri" w:hAnsi="Calibri"/>
                <w:b w:val="false"/>
                <w:bCs w:val="false"/>
                <w:color w:val="2D2D2D"/>
                <w:sz w:val="18"/>
                <w:szCs w:val="18"/>
              </w:rPr>
              <w:t xml:space="preserve"> (5-fold CV, ml-100k)</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0,9350</w:t>
            </w:r>
            <w:r>
              <w:rPr>
                <w:rFonts w:ascii="Calibri" w:cs="Calibri" w:eastAsia="Calibri" w:hAnsi="Calibri"/>
                <w:b w:val="false"/>
                <w:bCs w:val="false"/>
                <w:color w:val="2D2D2D"/>
                <w:sz w:val="18"/>
                <w:szCs w:val="18"/>
              </w:rPr>
              <w:t xml:space="preserve"> (MAE 0,7372)</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 — </w:t>
            </w:r>
            <w:r>
              <w:rPr>
                <w:rFonts w:ascii="Calibri" w:cs="Calibri" w:eastAsia="Calibri" w:hAnsi="Calibri"/>
                <w:b/>
                <w:bCs/>
                <w:color w:val="2D2D2D"/>
                <w:sz w:val="18"/>
                <w:szCs w:val="18"/>
              </w:rPr>
              <w:t xml:space="preserve">&lt; 1,0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benchmark </w:t>
            </w:r>
            <w:r>
              <w:rPr>
                <w:rFonts w:ascii="Consolas" w:cs="Consolas" w:eastAsia="Consolas" w:hAnsi="Consolas"/>
                <w:b w:val="false"/>
                <w:bCs w:val="false"/>
                <w:color w:val="7A1526"/>
                <w:sz w:val="16"/>
                <w:szCs w:val="16"/>
              </w:rPr>
              <w:t xml:space="preserve">surprise</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RMSE(SVD) &lt; RMSE(baseline de media)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0,9350 </w:t>
            </w:r>
            <w:r>
              <w:rPr>
                <w:rFonts w:ascii="Calibri" w:cs="Calibri" w:eastAsia="Calibri" w:hAnsi="Calibri"/>
                <w:b/>
                <w:bCs/>
                <w:color w:val="2D2D2D"/>
                <w:sz w:val="18"/>
                <w:szCs w:val="18"/>
              </w:rPr>
              <w:t xml:space="preserve">&lt;</w:t>
            </w:r>
            <w:r>
              <w:rPr>
                <w:rFonts w:ascii="Calibri" w:cs="Calibri" w:eastAsia="Calibri" w:hAnsi="Calibri"/>
                <w:b w:val="false"/>
                <w:bCs w:val="false"/>
                <w:color w:val="2D2D2D"/>
                <w:sz w:val="18"/>
                <w:szCs w:val="18"/>
              </w:rPr>
              <w:t xml:space="preserve"> 1,1257 (y &lt; solo-sesgos 0,9436)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SVD&lt;1,0 y &lt;baseline </w:t>
            </w:r>
            <w:r>
              <w:rPr>
                <w:rFonts w:ascii="Calibri" w:cs="Calibri" w:eastAsia="Calibri" w:hAnsi="Calibri"/>
                <w:b/>
                <w:bCs/>
                <w:color w:val="2D2D2D"/>
                <w:sz w:val="18"/>
                <w:szCs w:val="18"/>
              </w:rPr>
              <w:t xml:space="preserve">obligatorio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cálculo directo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Item-based competitivo y &lt; user-based</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KNNBaseline item </w:t>
            </w:r>
            <w:r>
              <w:rPr>
                <w:rFonts w:ascii="Calibri" w:cs="Calibri" w:eastAsia="Calibri" w:hAnsi="Calibri"/>
                <w:b/>
                <w:bCs/>
                <w:color w:val="2D2D2D"/>
                <w:sz w:val="18"/>
                <w:szCs w:val="18"/>
              </w:rPr>
              <w:t xml:space="preserve">0,9155</w:t>
            </w:r>
            <w:r>
              <w:rPr>
                <w:rFonts w:ascii="Calibri" w:cs="Calibri" w:eastAsia="Calibri" w:hAnsi="Calibri"/>
                <w:b w:val="false"/>
                <w:bCs w:val="false"/>
                <w:color w:val="2D2D2D"/>
                <w:sz w:val="18"/>
                <w:szCs w:val="18"/>
              </w:rPr>
              <w:t xml:space="preserve"> &lt; KNNBasic user </w:t>
            </w:r>
            <w:r>
              <w:rPr>
                <w:rFonts w:ascii="Calibri" w:cs="Calibri" w:eastAsia="Calibri" w:hAnsi="Calibri"/>
                <w:b/>
                <w:bCs/>
                <w:color w:val="2D2D2D"/>
                <w:sz w:val="18"/>
                <w:szCs w:val="18"/>
              </w:rPr>
              <w:t xml:space="preserve">0,9789</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 — </w:t>
            </w:r>
            <w:r>
              <w:rPr>
                <w:rFonts w:ascii="Calibri" w:cs="Calibri" w:eastAsia="Calibri" w:hAnsi="Calibri"/>
                <w:b/>
                <w:bCs/>
                <w:color w:val="2D2D2D"/>
                <w:sz w:val="18"/>
                <w:szCs w:val="18"/>
              </w:rPr>
              <w:t xml:space="preserve">item </w:t>
            </w:r>
            <w:r>
              <w:rPr>
                <w:rFonts w:ascii="Calibri" w:cs="Calibri" w:eastAsia="Calibri" w:hAnsi="Calibri"/>
                <w:b/>
                <w:bCs/>
                <w:color w:val="2D2D2D"/>
                <w:sz w:val="18"/>
                <w:szCs w:val="18"/>
              </w:rPr>
              <w:t xml:space="preserve">≤</w:t>
            </w:r>
            <w:r>
              <w:rPr>
                <w:rFonts w:ascii="Calibri" w:cs="Calibri" w:eastAsia="Calibri" w:hAnsi="Calibri"/>
                <w:b/>
                <w:bCs/>
                <w:color w:val="2D2D2D"/>
                <w:sz w:val="18"/>
                <w:szCs w:val="18"/>
              </w:rPr>
              <w:t xml:space="preserve"> user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benchmark </w:t>
            </w:r>
            <w:r>
              <w:rPr>
                <w:rFonts w:ascii="Consolas" w:cs="Consolas" w:eastAsia="Consolas" w:hAnsi="Consolas"/>
                <w:b w:val="false"/>
                <w:bCs w:val="false"/>
                <w:color w:val="7A1526"/>
                <w:sz w:val="16"/>
                <w:szCs w:val="16"/>
              </w:rPr>
              <w:t xml:space="preserve">surprise</w:t>
            </w:r>
            <w:r>
              <w:rPr>
                <w:rFonts w:ascii="Calibri" w:cs="Calibri" w:eastAsia="Calibri" w:hAnsi="Calibri"/>
                <w:b w:val="false"/>
                <w:bCs w:val="false"/>
                <w:color w:val="2D2D2D"/>
                <w:sz w:val="18"/>
                <w:szCs w:val="18"/>
              </w:rPr>
              <w:t xml:space="preserve"> (Sarwar)</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NDCG@10(SVD) ≈ NDCG@10(popularidad)</w:t>
            </w:r>
            <w:r>
              <w:rPr>
                <w:rFonts w:ascii="Calibri" w:cs="Calibri" w:eastAsia="Calibri" w:hAnsi="Calibri"/>
                <w:b w:val="false"/>
                <w:bCs w:val="false"/>
                <w:color w:val="2D2D2D"/>
                <w:sz w:val="18"/>
                <w:szCs w:val="18"/>
              </w:rPr>
              <w:t xml:space="preserve"> — empate dentro del ruido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0,7789 ≈ 0,7775</w:t>
            </w:r>
            <w:r>
              <w:rPr>
                <w:rFonts w:ascii="Calibri" w:cs="Calibri" w:eastAsia="Calibri" w:hAnsi="Calibri"/>
                <w:b w:val="false"/>
                <w:bCs w:val="false"/>
                <w:color w:val="2D2D2D"/>
                <w:sz w:val="18"/>
                <w:szCs w:val="18"/>
              </w:rPr>
              <w:t xml:space="preserve"> (partición temporal; diferencia &lt;0,02)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empate</w:t>
            </w:r>
            <w:r>
              <w:rPr>
                <w:rFonts w:ascii="Calibri" w:cs="Calibri" w:eastAsia="Calibri" w:hAnsi="Calibri"/>
                <w:b w:val="false"/>
                <w:bCs w:val="false"/>
                <w:color w:val="2D2D2D"/>
                <w:sz w:val="18"/>
                <w:szCs w:val="18"/>
              </w:rPr>
              <w:t xml:space="preserve">, diferencia &lt;0,02 (objetivo robusto: </w:t>
            </w:r>
            <w:r>
              <w:rPr>
                <w:rFonts w:ascii="Calibri" w:cs="Calibri" w:eastAsia="Calibri" w:hAnsi="Calibri"/>
                <w:b/>
                <w:bCs/>
                <w:color w:val="2D2D2D"/>
                <w:sz w:val="18"/>
                <w:szCs w:val="18"/>
              </w:rPr>
              <w:t xml:space="preserve">RMSE</w:t>
            </w:r>
            <w:r>
              <w:rPr>
                <w:rFonts w:ascii="Calibri" w:cs="Calibri" w:eastAsia="Calibri" w:hAnsi="Calibri"/>
                <w:b w:val="false"/>
                <w:bCs w:val="false"/>
                <w:color w:val="2D2D2D"/>
                <w:sz w:val="18"/>
                <w:szCs w:val="18"/>
              </w:rPr>
              <w:t xml:space="preserve">)</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Järvelin-Kekäläinen 2002</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precisión@10(SVD) &gt; precisión@10(azar)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0,7169 &gt; 0,5212</w:t>
            </w:r>
            <w:r>
              <w:rPr>
                <w:rFonts w:ascii="Calibri" w:cs="Calibri" w:eastAsia="Calibri" w:hAnsi="Calibri"/>
                <w:b w:val="false"/>
                <w:bCs w:val="false"/>
                <w:color w:val="2D2D2D"/>
                <w:sz w:val="18"/>
                <w:szCs w:val="18"/>
              </w:rPr>
              <w:t xml:space="preserve"> (partición temporal)</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handoff</w:t>
            </w:r>
            <w:r>
              <w:rPr>
                <w:rFonts w:ascii="Calibri" w:cs="Calibri" w:eastAsia="Calibri" w:hAnsi="Calibri"/>
                <w:b w:val="false"/>
                <w:bCs w:val="false"/>
                <w:color w:val="2D2D2D"/>
                <w:sz w:val="18"/>
                <w:szCs w:val="18"/>
              </w:rPr>
              <w:t xml:space="preserve">: dirección anclada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Surprise FAQ (umbral 3,5)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Regla de oro de la sesión: valor operativo vs. publicado</w:t>
            </w:r>
          </w:p>
          <w:p>
            <w:pPr>
              <w:spacing w:after="70" w:line="265"/>
            </w:pPr>
            <w:r>
              <w:rPr>
                <w:rFonts w:ascii="Cambria" w:cs="Cambria" w:eastAsia="Cambria" w:hAnsi="Cambria"/>
                <w:color w:val="3A3A3A"/>
                <w:sz w:val="18"/>
                <w:szCs w:val="18"/>
              </w:rPr>
              <w:t xml:space="preserve">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de la literatura (benchmark de </w:t>
            </w:r>
            <w:r>
              <w:rPr>
                <w:rFonts w:ascii="Consolas" w:cs="Consolas" w:eastAsia="Consolas" w:hAnsi="Consolas"/>
                <w:color w:val="7A1526"/>
                <w:sz w:val="16"/>
                <w:szCs w:val="16"/>
              </w:rPr>
              <w:t xml:space="preserve">surprise</w:t>
            </w:r>
            <w:r>
              <w:rPr>
                <w:rFonts w:ascii="Cambria" w:cs="Cambria" w:eastAsia="Cambria" w:hAnsi="Cambria"/>
                <w:color w:val="3A3A3A"/>
                <w:sz w:val="18"/>
                <w:szCs w:val="18"/>
              </w:rPr>
              <w:t xml:space="preserve">, HR de Koren/Sarwar) se muestra </w:t>
            </w:r>
            <w:r>
              <w:rPr>
                <w:rFonts w:ascii="Cambria" w:cs="Cambria" w:eastAsia="Cambria" w:hAnsi="Cambria"/>
                <w:b/>
                <w:bCs/>
                <w:color w:val="3A3A3A"/>
                <w:sz w:val="18"/>
                <w:szCs w:val="18"/>
              </w:rPr>
              <w:t xml:space="preserve">etiquetada como benchmark publicado</w:t>
            </w:r>
            <w:r>
              <w:rPr>
                <w:rFonts w:ascii="Cambria" w:cs="Cambria" w:eastAsia="Cambria" w:hAnsi="Cambria"/>
                <w:color w:val="3A3A3A"/>
                <w:sz w:val="18"/>
                <w:szCs w:val="18"/>
              </w:rPr>
              <w:t xml:space="preserve">, nunca mezclada como resultado propio. La confirmación numérica con tolerancias vive en el material de referencia de la sesión (la ficha de la sesión de réplica del paper),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sin assert en las celdas.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   </w:t>
            </w:r>
            <w:r>
              <w:rPr>
                <w:rFonts w:ascii="Calibri" w:cs="Calibri" w:eastAsia="Calibri" w:hAnsi="Calibri"/>
                <w:b/>
                <w:bCs/>
                <w:color w:val="7A1526"/>
                <w:sz w:val="19"/>
                <w:szCs w:val="19"/>
              </w:rPr>
              <w:t xml:space="preserve">Cargar MovieLens 100k y medir la dispersión</w:t>
            </w:r>
          </w:p>
          <w:p>
            <w:pPr>
              <w:spacing w:line="265"/>
            </w:pPr>
            <w:r>
              <w:rPr>
                <w:rFonts w:ascii="Cambria" w:cs="Cambria" w:eastAsia="Cambria" w:hAnsi="Cambria"/>
                <w:color w:val="2D2D2D"/>
                <w:sz w:val="19"/>
                <w:szCs w:val="19"/>
              </w:rPr>
              <w:t xml:space="preserve">Cargar los datos con </w:t>
            </w:r>
            <w:r>
              <w:rPr>
                <w:rFonts w:ascii="Consolas" w:cs="Consolas" w:eastAsia="Consolas" w:hAnsi="Consolas"/>
                <w:color w:val="7A1526"/>
                <w:sz w:val="17"/>
                <w:szCs w:val="17"/>
              </w:rPr>
              <w:t xml:space="preserve">cargar_ratings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ml100k_ratings.csv</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user_id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item_id</w:t>
            </w:r>
            <w:r>
              <w:rPr>
                <w:rFonts w:ascii="Cambria" w:cs="Cambria" w:eastAsia="Cambria" w:hAnsi="Cambria"/>
                <w:color w:val="2D2D2D"/>
                <w:sz w:val="19"/>
                <w:szCs w:val="19"/>
              </w:rPr>
              <w:t xml:space="preserve">, rating, </w:t>
            </w:r>
            <w:r>
              <w:rPr>
                <w:rFonts w:ascii="Consolas" w:cs="Consolas" w:eastAsia="Consolas" w:hAnsi="Consolas"/>
                <w:color w:val="7A1526"/>
                <w:sz w:val="17"/>
                <w:szCs w:val="17"/>
              </w:rPr>
              <w:t xml:space="preserve">timestamp</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cargar_movies</w:t>
            </w:r>
            <w:r>
              <w:rPr>
                <w:rFonts w:ascii="Cambria" w:cs="Cambria" w:eastAsia="Cambria" w:hAnsi="Cambria"/>
                <w:color w:val="2D2D2D"/>
                <w:sz w:val="19"/>
                <w:szCs w:val="19"/>
              </w:rPr>
              <w:t xml:space="preserve"> (géneros); verificar por código </w:t>
            </w:r>
            <w:r>
              <w:rPr>
                <w:rFonts w:ascii="Cambria" w:cs="Cambria" w:eastAsia="Cambria" w:hAnsi="Cambria"/>
                <w:b/>
                <w:bCs/>
                <w:color w:val="2D2D2D"/>
                <w:sz w:val="19"/>
                <w:szCs w:val="19"/>
              </w:rPr>
              <w:t xml:space="preserve">100.000 calificaciones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943 usuarios</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1.682 películas</w:t>
            </w:r>
            <w:r>
              <w:rPr>
                <w:rFonts w:ascii="Cambria" w:cs="Cambria" w:eastAsia="Cambria" w:hAnsi="Cambria"/>
                <w:color w:val="2D2D2D"/>
                <w:sz w:val="19"/>
                <w:szCs w:val="19"/>
              </w:rPr>
              <w:t xml:space="preserve"> (A1-A2), y anotar la fecha de verificación (DD/MM/YYYY, ver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Sección 1). Calcular la media global μ = </w:t>
            </w:r>
            <w:r>
              <w:rPr>
                <w:rFonts w:ascii="Cambria" w:cs="Cambria" w:eastAsia="Cambria" w:hAnsi="Cambria"/>
                <w:b/>
                <w:bCs/>
                <w:color w:val="2D2D2D"/>
                <w:sz w:val="19"/>
                <w:szCs w:val="19"/>
              </w:rPr>
              <w:t xml:space="preserve">3,53</w:t>
            </w:r>
            <w:r>
              <w:rPr>
                <w:rFonts w:ascii="Cambria" w:cs="Cambria" w:eastAsia="Cambria" w:hAnsi="Cambria"/>
                <w:color w:val="2D2D2D"/>
                <w:sz w:val="19"/>
                <w:szCs w:val="19"/>
              </w:rPr>
              <w:t xml:space="preserve"> (base del baseline de media) y la dispersión de la matriz (A3-A4): densidad = 100.000 / (943 · 1.682) = </w:t>
            </w:r>
            <w:r>
              <w:rPr>
                <w:rFonts w:ascii="Cambria" w:cs="Cambria" w:eastAsia="Cambria" w:hAnsi="Cambria"/>
                <w:b/>
                <w:bCs/>
                <w:color w:val="2D2D2D"/>
                <w:sz w:val="19"/>
                <w:szCs w:val="19"/>
              </w:rPr>
              <w:t xml:space="preserve">6,3 %</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sparsity 93,7 %</w:t>
            </w:r>
            <w:r>
              <w:rPr>
                <w:rFonts w:ascii="Cambria" w:cs="Cambria" w:eastAsia="Cambria" w:hAnsi="Cambria"/>
                <w:color w:val="2D2D2D"/>
                <w:sz w:val="19"/>
                <w:szCs w:val="19"/>
              </w:rPr>
              <w:t xml:space="preserve"> (ver el glosario de la sesión). Construir un trozo de la matriz usuario-ítem con los usuarios y películas más activos (drill 1) y observar que, incluso entre los más activos, la mayoría de las celdas está vacía (ver </w:t>
            </w:r>
            <w:r>
              <w:rPr>
                <w:rFonts w:ascii="Consolas" w:cs="Consolas" w:eastAsia="Consolas" w:hAnsi="Consolas"/>
                <w:color w:val="7A1526"/>
                <w:sz w:val="17"/>
                <w:szCs w:val="17"/>
              </w:rPr>
              <w:t xml:space="preserve">plantillas/guia_matriz_particion.docx</w:t>
            </w:r>
            <w:r>
              <w:rPr>
                <w:rFonts w:ascii="Cambria" w:cs="Cambria" w:eastAsia="Cambria" w:hAnsi="Cambria"/>
                <w:color w:val="2D2D2D"/>
                <w:sz w:val="19"/>
                <w:szCs w:val="19"/>
              </w:rPr>
              <w:t xml:space="preserve"> Sección 1).</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dataset cargado y verificado (100.000 calificaciones, 943 usuarios, 1.682 películas, μ≈3,53) con la fecha (DD/MM/YYYY), y la </w:t>
            </w:r>
            <w:r>
              <w:rPr>
                <w:rFonts w:ascii="Cambria" w:cs="Cambria" w:eastAsia="Cambria" w:hAnsi="Cambria"/>
                <w:b/>
                <w:bCs/>
                <w:color w:val="2D2D2D"/>
                <w:sz w:val="19"/>
                <w:szCs w:val="19"/>
              </w:rPr>
              <w:t xml:space="preserve">dispersión</w:t>
            </w:r>
            <w:r>
              <w:rPr>
                <w:rFonts w:ascii="Cambria" w:cs="Cambria" w:eastAsia="Cambria" w:hAnsi="Cambria"/>
                <w:color w:val="2D2D2D"/>
                <w:sz w:val="19"/>
                <w:szCs w:val="19"/>
              </w:rPr>
              <w:t xml:space="preserve"> medida (densidad 6,3 %, sparsity 93,7 %); el trozo de la matriz usuario-ítem armado (drill 1).</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Errores a evitar al construir la matriz</w:t>
            </w:r>
          </w:p>
          <w:p>
            <w:pPr>
              <w:spacing w:after="70" w:line="265"/>
            </w:pPr>
            <w:r>
              <w:rPr>
                <w:rFonts w:ascii="Cambria" w:cs="Cambria" w:eastAsia="Cambria" w:hAnsi="Cambria"/>
                <w:color w:val="3A3A3A"/>
                <w:sz w:val="18"/>
                <w:szCs w:val="18"/>
              </w:rPr>
              <w:t xml:space="preserve">No rellenar con ceros la matriz para la factorización de rating explícito: un 0 no es una nota en escala 1-5 (trataría «no visto» como «lo odió») y sesga el modelo (ver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30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P2   </w:t>
            </w:r>
            <w:r>
              <w:rPr>
                <w:rFonts w:ascii="Calibri" w:cs="Calibri" w:eastAsia="Calibri" w:hAnsi="Calibri"/>
                <w:b/>
                <w:bCs/>
                <w:color w:val="7A1526"/>
                <w:sz w:val="19"/>
                <w:szCs w:val="19"/>
              </w:rPr>
              <w:t xml:space="preserve">Baselines y filtrado colaborativo (item-based, user-based, SVD)</w:t>
            </w:r>
          </w:p>
          <w:p>
            <w:pPr>
              <w:spacing w:line="265"/>
            </w:pPr>
            <w:r>
              <w:rPr>
                <w:rFonts w:ascii="Cambria" w:cs="Cambria" w:eastAsia="Cambria" w:hAnsi="Cambria"/>
                <w:color w:val="2D2D2D"/>
                <w:sz w:val="19"/>
                <w:szCs w:val="19"/>
              </w:rPr>
              <w:t xml:space="preserve">Calcular los dos suelos: el baseline de media global predice μ a todo par usuario-ítem, con RMSE igual a la desviación típica de las calificaciones (</w:t>
            </w:r>
            <w:r>
              <w:rPr>
                <w:rFonts w:ascii="Cambria" w:cs="Cambria" w:eastAsia="Cambria" w:hAnsi="Cambria"/>
                <w:b/>
                <w:bCs/>
                <w:color w:val="2D2D2D"/>
                <w:sz w:val="19"/>
                <w:szCs w:val="19"/>
              </w:rPr>
              <w:t xml:space="preserve">1,1257</w:t>
            </w:r>
            <w:r>
              <w:rPr>
                <w:rFonts w:ascii="Cambria" w:cs="Cambria" w:eastAsia="Cambria" w:hAnsi="Cambria"/>
                <w:color w:val="2D2D2D"/>
                <w:sz w:val="19"/>
                <w:szCs w:val="19"/>
              </w:rPr>
              <w:t xml:space="preserve">, T2); el azar (NormalPredictor) da </w:t>
            </w:r>
            <w:r>
              <w:rPr>
                <w:rFonts w:ascii="Cambria" w:cs="Cambria" w:eastAsia="Cambria" w:hAnsi="Cambria"/>
                <w:b/>
                <w:bCs/>
                <w:color w:val="2D2D2D"/>
                <w:sz w:val="19"/>
                <w:szCs w:val="19"/>
              </w:rPr>
              <w:t xml:space="preserve">≈1,52</w:t>
            </w:r>
            <w:r>
              <w:rPr>
                <w:rFonts w:ascii="Cambria" w:cs="Cambria" w:eastAsia="Cambria" w:hAnsi="Cambria"/>
                <w:color w:val="2D2D2D"/>
                <w:sz w:val="19"/>
                <w:szCs w:val="19"/>
              </w:rPr>
              <w:t xml:space="preserve"> (A5). Entrenar el vecindario item-based (KNNBaseline y KNNWithMeans con </w:t>
            </w:r>
            <w:r>
              <w:rPr>
                <w:rFonts w:ascii="Consolas" w:cs="Consolas" w:eastAsia="Consolas" w:hAnsi="Consolas"/>
                <w:color w:val="7A1526"/>
                <w:sz w:val="17"/>
                <w:szCs w:val="17"/>
              </w:rPr>
              <w:t xml:space="preserve">sim_options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user_based</w:t>
            </w:r>
            <w:r>
              <w:rPr>
                <w:rFonts w:ascii="Cambria" w:cs="Cambria" w:eastAsia="Cambria" w:hAnsi="Cambria"/>
                <w:color w:val="2D2D2D"/>
                <w:sz w:val="19"/>
                <w:szCs w:val="19"/>
              </w:rPr>
              <w:t xml:space="preserve">=False, similitud Pearson-baseline: RMSE </w:t>
            </w:r>
            <w:r>
              <w:rPr>
                <w:rFonts w:ascii="Cambria" w:cs="Cambria" w:eastAsia="Cambria" w:hAnsi="Cambria"/>
                <w:b/>
                <w:bCs/>
                <w:color w:val="2D2D2D"/>
                <w:sz w:val="19"/>
                <w:szCs w:val="19"/>
              </w:rPr>
              <w:t xml:space="preserve">0,9155</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0,9199</w:t>
            </w:r>
            <w:r>
              <w:rPr>
                <w:rFonts w:ascii="Cambria" w:cs="Cambria" w:eastAsia="Cambria" w:hAnsi="Cambria"/>
                <w:color w:val="2D2D2D"/>
                <w:sz w:val="19"/>
                <w:szCs w:val="19"/>
              </w:rPr>
              <w:t xml:space="preserve">, hoja recsys celdas B4-B5) y el user-based (KNNBasic: RMSE </w:t>
            </w:r>
            <w:r>
              <w:rPr>
                <w:rFonts w:ascii="Cambria" w:cs="Cambria" w:eastAsia="Cambria" w:hAnsi="Cambria"/>
                <w:b/>
                <w:bCs/>
                <w:color w:val="2D2D2D"/>
                <w:sz w:val="19"/>
                <w:szCs w:val="19"/>
              </w:rPr>
              <w:t xml:space="preserve">0,9789</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item-based</w:t>
            </w:r>
            <w:r>
              <w:rPr>
                <w:rFonts w:ascii="Cambria" w:cs="Cambria" w:eastAsia="Cambria" w:hAnsi="Cambria"/>
                <w:color w:val="2D2D2D"/>
                <w:sz w:val="19"/>
                <w:szCs w:val="19"/>
              </w:rPr>
              <w:t xml:space="preserve"> queda por debajo del </w:t>
            </w:r>
            <w:r>
              <w:rPr>
                <w:rFonts w:ascii="Cambria" w:cs="Cambria" w:eastAsia="Cambria" w:hAnsi="Cambria"/>
                <w:b/>
                <w:bCs/>
                <w:color w:val="2D2D2D"/>
                <w:sz w:val="19"/>
                <w:szCs w:val="19"/>
              </w:rPr>
              <w:t xml:space="preserve">user-based</w:t>
            </w:r>
            <w:r>
              <w:rPr>
                <w:rFonts w:ascii="Cambria" w:cs="Cambria" w:eastAsia="Cambria" w:hAnsi="Cambria"/>
                <w:color w:val="2D2D2D"/>
                <w:sz w:val="19"/>
                <w:szCs w:val="19"/>
              </w:rPr>
              <w:t xml:space="preserve"> (T3, el mensaje de Sarwar 2001) y además escala mejor, porque la similitud ítem-ítem se precalcula fuera de línea. Entrenar la factorización SVD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5-fold CV: RMSE </w:t>
            </w:r>
            <w:r>
              <w:rPr>
                <w:rFonts w:ascii="Cambria" w:cs="Cambria" w:eastAsia="Cambria" w:hAnsi="Cambria"/>
                <w:b/>
                <w:bCs/>
                <w:color w:val="2D2D2D"/>
                <w:sz w:val="19"/>
                <w:szCs w:val="19"/>
              </w:rPr>
              <w:t xml:space="preserve">0,9350</w:t>
            </w:r>
            <w:r>
              <w:rPr>
                <w:rFonts w:ascii="Cambria" w:cs="Cambria" w:eastAsia="Cambria" w:hAnsi="Cambria"/>
                <w:color w:val="2D2D2D"/>
                <w:sz w:val="19"/>
                <w:szCs w:val="19"/>
              </w:rPr>
              <w:t xml:space="preserve">, MAE 0,7372, hoja recsys celda B2) y compararla con el baseline de media (celda B3, 16,9 % de mejora) y con el de solo-sesgos (BaselineOnly, RMSE </w:t>
            </w:r>
            <w:r>
              <w:rPr>
                <w:rFonts w:ascii="Cambria" w:cs="Cambria" w:eastAsia="Cambria" w:hAnsi="Cambria"/>
                <w:b/>
                <w:bCs/>
                <w:color w:val="2D2D2D"/>
                <w:sz w:val="19"/>
                <w:szCs w:val="19"/>
              </w:rPr>
              <w:t xml:space="preserve">0,9436</w:t>
            </w:r>
            <w:r>
              <w:rPr>
                <w:rFonts w:ascii="Cambria" w:cs="Cambria" w:eastAsia="Cambria" w:hAnsi="Cambria"/>
                <w:color w:val="2D2D2D"/>
                <w:sz w:val="19"/>
                <w:szCs w:val="19"/>
              </w:rPr>
              <w:t xml:space="preserve">): la SVD queda por debajo de ambos, así que los </w:t>
            </w:r>
            <w:r>
              <w:rPr>
                <w:rFonts w:ascii="Cambria" w:cs="Cambria" w:eastAsia="Cambria" w:hAnsi="Cambria"/>
                <w:b/>
                <w:bCs/>
                <w:color w:val="2D2D2D"/>
                <w:sz w:val="19"/>
                <w:szCs w:val="19"/>
              </w:rPr>
              <w:t xml:space="preserve">factores latentes aportan valor propio</w:t>
            </w:r>
            <w:r>
              <w:rPr>
                <w:rFonts w:ascii="Cambria" w:cs="Cambria" w:eastAsia="Cambria" w:hAnsi="Cambria"/>
                <w:color w:val="2D2D2D"/>
                <w:sz w:val="19"/>
                <w:szCs w:val="19"/>
              </w:rPr>
              <w:t xml:space="preserve"> por encima de las medias y los sesgos (T1-T2, el mensaje de Koren) (ver el glosario de la sesión e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baselines de media y azar, la tabla de RMSE del vecindario item/user-based (</w:t>
            </w:r>
            <w:r>
              <w:rPr>
                <w:rFonts w:ascii="Cambria" w:cs="Cambria" w:eastAsia="Cambria" w:hAnsi="Cambria"/>
                <w:b/>
                <w:bCs/>
                <w:color w:val="2D2D2D"/>
                <w:sz w:val="19"/>
                <w:szCs w:val="19"/>
              </w:rPr>
              <w:t xml:space="preserve">T3</w:t>
            </w:r>
            <w:r>
              <w:rPr>
                <w:rFonts w:ascii="Cambria" w:cs="Cambria" w:eastAsia="Cambria" w:hAnsi="Cambria"/>
                <w:color w:val="2D2D2D"/>
                <w:sz w:val="19"/>
                <w:szCs w:val="19"/>
              </w:rPr>
              <w:t xml:space="preserve">) y la SVD 5-fold CV (</w:t>
            </w:r>
            <w:r>
              <w:rPr>
                <w:rFonts w:ascii="Cambria" w:cs="Cambria" w:eastAsia="Cambria" w:hAnsi="Cambria"/>
                <w:b/>
                <w:bCs/>
                <w:color w:val="2D2D2D"/>
                <w:sz w:val="19"/>
                <w:szCs w:val="19"/>
              </w:rPr>
              <w:t xml:space="preserve">T1</w:t>
            </w:r>
            <w:r>
              <w:rPr>
                <w:rFonts w:ascii="Cambria" w:cs="Cambria" w:eastAsia="Cambria" w:hAnsi="Cambria"/>
                <w:color w:val="2D2D2D"/>
                <w:sz w:val="19"/>
                <w:szCs w:val="19"/>
              </w:rPr>
              <w:t xml:space="preserve">) con su ventaja sobre los baselines (</w:t>
            </w:r>
            <w:r>
              <w:rPr>
                <w:rFonts w:ascii="Cambria" w:cs="Cambria" w:eastAsia="Cambria" w:hAnsi="Cambria"/>
                <w:b/>
                <w:bCs/>
                <w:color w:val="2D2D2D"/>
                <w:sz w:val="19"/>
                <w:szCs w:val="19"/>
              </w:rPr>
              <w:t xml:space="preserve">T2</w:t>
            </w:r>
            <w:r>
              <w:rPr>
                <w:rFonts w:ascii="Cambria" w:cs="Cambria" w:eastAsia="Cambria" w:hAnsi="Cambria"/>
                <w:color w:val="2D2D2D"/>
                <w:sz w:val="19"/>
                <w:szCs w:val="19"/>
              </w:rPr>
              <w:t xml:space="preserve">); una frase escrita sobre por qué los factores latentes «añaden valor» sobre los sesgos.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La lectura clave: el RMSE solo significa algo frente a un baseline</w:t>
            </w:r>
          </w:p>
          <w:p>
            <w:pPr>
              <w:spacing w:after="70" w:line="265"/>
            </w:pPr>
            <w:r>
              <w:rPr>
                <w:rFonts w:ascii="Cambria" w:cs="Cambria" w:eastAsia="Cambria" w:hAnsi="Cambria"/>
                <w:color w:val="3A3A3A"/>
                <w:sz w:val="18"/>
                <w:szCs w:val="18"/>
              </w:rPr>
              <w:t xml:space="preserve">El RMSE </w:t>
            </w:r>
            <w:r>
              <w:rPr>
                <w:rFonts w:ascii="Cambria" w:cs="Cambria" w:eastAsia="Cambria" w:hAnsi="Cambria"/>
                <w:b/>
                <w:bCs/>
                <w:color w:val="3A3A3A"/>
                <w:sz w:val="18"/>
                <w:szCs w:val="18"/>
              </w:rPr>
              <w:t xml:space="preserve">solo significa algo frente a un baseline</w:t>
            </w:r>
            <w:r>
              <w:rPr>
                <w:rFonts w:ascii="Cambria" w:cs="Cambria" w:eastAsia="Cambria" w:hAnsi="Cambria"/>
                <w:color w:val="3A3A3A"/>
                <w:sz w:val="18"/>
                <w:szCs w:val="18"/>
              </w:rPr>
              <w:t xml:space="preserve">: 0,9350 es bueno </w:t>
            </w:r>
            <w:r>
              <w:rPr>
                <w:rFonts w:ascii="Cambria" w:cs="Cambria" w:eastAsia="Cambria" w:hAnsi="Cambria"/>
                <w:b/>
                <w:bCs/>
                <w:color w:val="3A3A3A"/>
                <w:sz w:val="18"/>
                <w:szCs w:val="18"/>
              </w:rPr>
              <w:t xml:space="preserve">porque</w:t>
            </w:r>
            <w:r>
              <w:rPr>
                <w:rFonts w:ascii="Cambria" w:cs="Cambria" w:eastAsia="Cambria" w:hAnsi="Cambria"/>
                <w:color w:val="3A3A3A"/>
                <w:sz w:val="18"/>
                <w:szCs w:val="18"/>
              </w:rPr>
              <w:t xml:space="preserve"> supera a la media (1,1257) y al solo-sesgos (0,9436), y queda muy por debajo del azar (≈1,52). Nunca se reporta un RMSE aislado.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P3   </w:t>
            </w:r>
            <w:r>
              <w:rPr>
                <w:rFonts w:ascii="Calibri" w:cs="Calibri" w:eastAsia="Calibri" w:hAnsi="Calibri"/>
                <w:b/>
                <w:bCs/>
                <w:color w:val="7A1526"/>
                <w:sz w:val="19"/>
                <w:szCs w:val="19"/>
              </w:rPr>
              <w:t xml:space="preserve">Content-based con géneros y comparación</w:t>
            </w:r>
          </w:p>
          <w:p>
            <w:pPr>
              <w:spacing w:line="265"/>
            </w:pPr>
            <w:r>
              <w:rPr>
                <w:rFonts w:ascii="Cambria" w:cs="Cambria" w:eastAsia="Cambria" w:hAnsi="Cambria"/>
                <w:color w:val="2D2D2D"/>
                <w:sz w:val="19"/>
                <w:szCs w:val="19"/>
              </w:rPr>
              <w:t xml:space="preserve">Con las 19 flags de género de </w:t>
            </w:r>
            <w:r>
              <w:rPr>
                <w:rFonts w:ascii="Consolas" w:cs="Consolas" w:eastAsia="Consolas" w:hAnsi="Consolas"/>
                <w:color w:val="7A1526"/>
                <w:sz w:val="17"/>
                <w:szCs w:val="17"/>
              </w:rPr>
              <w:t xml:space="preserve">data/ml100k_movies.csv</w:t>
            </w:r>
            <w:r>
              <w:rPr>
                <w:rFonts w:ascii="Cambria" w:cs="Cambria" w:eastAsia="Cambria" w:hAnsi="Cambria"/>
                <w:color w:val="2D2D2D"/>
                <w:sz w:val="19"/>
                <w:szCs w:val="19"/>
              </w:rPr>
              <w:t xml:space="preserve">, construir el </w:t>
            </w:r>
            <w:r>
              <w:rPr>
                <w:rFonts w:ascii="Cambria" w:cs="Cambria" w:eastAsia="Cambria" w:hAnsi="Cambria"/>
                <w:b/>
                <w:bCs/>
                <w:color w:val="2D2D2D"/>
                <w:sz w:val="19"/>
                <w:szCs w:val="19"/>
              </w:rPr>
              <w:t xml:space="preserve">perfil</w:t>
            </w:r>
            <w:r>
              <w:rPr>
                <w:rFonts w:ascii="Cambria" w:cs="Cambria" w:eastAsia="Cambria" w:hAnsi="Cambria"/>
                <w:color w:val="2D2D2D"/>
                <w:sz w:val="19"/>
                <w:szCs w:val="19"/>
              </w:rPr>
              <w:t xml:space="preserve"> del usuario como la suma de los vectores de género de las películas que calificó alto, y puntuar las películas no vistas por similitud del </w:t>
            </w:r>
            <w:r>
              <w:rPr>
                <w:rFonts w:ascii="Cambria" w:cs="Cambria" w:eastAsia="Cambria" w:hAnsi="Cambria"/>
                <w:b/>
                <w:bCs/>
                <w:color w:val="2D2D2D"/>
                <w:sz w:val="19"/>
                <w:szCs w:val="19"/>
              </w:rPr>
              <w:t xml:space="preserve">coseno</w:t>
            </w:r>
            <w:r>
              <w:rPr>
                <w:rFonts w:ascii="Cambria" w:cs="Cambria" w:eastAsia="Cambria" w:hAnsi="Cambria"/>
                <w:color w:val="2D2D2D"/>
                <w:sz w:val="19"/>
                <w:szCs w:val="19"/>
              </w:rPr>
              <w:t xml:space="preserve"> con ese perfil. Para el mismo usuario, comparar el top-5 </w:t>
            </w:r>
            <w:r>
              <w:rPr>
                <w:rFonts w:ascii="Cambria" w:cs="Cambria" w:eastAsia="Cambria" w:hAnsi="Cambria"/>
                <w:b/>
                <w:bCs/>
                <w:color w:val="2D2D2D"/>
                <w:sz w:val="19"/>
                <w:szCs w:val="19"/>
              </w:rPr>
              <w:t xml:space="preserve">content-based</w:t>
            </w:r>
            <w:r>
              <w:rPr>
                <w:rFonts w:ascii="Cambria" w:cs="Cambria" w:eastAsia="Cambria" w:hAnsi="Cambria"/>
                <w:color w:val="2D2D2D"/>
                <w:sz w:val="19"/>
                <w:szCs w:val="19"/>
              </w:rPr>
              <w:t xml:space="preserve"> con el top-5 </w:t>
            </w:r>
            <w:r>
              <w:rPr>
                <w:rFonts w:ascii="Cambria" w:cs="Cambria" w:eastAsia="Cambria" w:hAnsi="Cambria"/>
                <w:b/>
                <w:bCs/>
                <w:color w:val="2D2D2D"/>
                <w:sz w:val="19"/>
                <w:szCs w:val="19"/>
              </w:rPr>
              <w:t xml:space="preserve">colaborativo</w:t>
            </w:r>
            <w:r>
              <w:rPr>
                <w:rFonts w:ascii="Cambria" w:cs="Cambria" w:eastAsia="Cambria" w:hAnsi="Cambria"/>
                <w:color w:val="2D2D2D"/>
                <w:sz w:val="19"/>
                <w:szCs w:val="19"/>
              </w:rPr>
              <w:t xml:space="preserve"> (SVD): el content-based propone «más de lo mismo» (</w:t>
            </w:r>
            <w:r>
              <w:rPr>
                <w:rFonts w:ascii="Cambria" w:cs="Cambria" w:eastAsia="Cambria" w:hAnsi="Cambria"/>
                <w:b/>
                <w:bCs/>
                <w:color w:val="2D2D2D"/>
                <w:sz w:val="19"/>
                <w:szCs w:val="19"/>
              </w:rPr>
              <w:t xml:space="preserve">sobre-especialización</w:t>
            </w:r>
            <w:r>
              <w:rPr>
                <w:rFonts w:ascii="Cambria" w:cs="Cambria" w:eastAsia="Cambria" w:hAnsi="Cambria"/>
                <w:color w:val="2D2D2D"/>
                <w:sz w:val="19"/>
                <w:szCs w:val="19"/>
              </w:rPr>
              <w:t xml:space="preserve">), mientras el colaborativo descubre afinidades no obvias (ver el glosario de la sesión e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 recomendador content-based por géneros y el contraste de su top-N con el del colaborativo (SVD) para un usuario; dos frases escritas: una sobre la sobre-especialización del content-based y otra sobre cuándo conviene cada enfoque (drill 2).</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Cuándo conviene cada enfoque, y por qué la respuesta de producción es híbrida</w:t>
            </w:r>
          </w:p>
          <w:p>
            <w:pPr>
              <w:spacing w:after="70" w:line="265"/>
            </w:pPr>
            <w:r>
              <w:rPr>
                <w:rFonts w:ascii="Cambria" w:cs="Cambria" w:eastAsia="Cambria" w:hAnsi="Cambria"/>
                <w:color w:val="3A3A3A"/>
                <w:sz w:val="18"/>
                <w:szCs w:val="18"/>
              </w:rPr>
              <w:t xml:space="preserve">El content-based funciona </w:t>
            </w:r>
            <w:r>
              <w:rPr>
                <w:rFonts w:ascii="Cambria" w:cs="Cambria" w:eastAsia="Cambria" w:hAnsi="Cambria"/>
                <w:b/>
                <w:bCs/>
                <w:color w:val="3A3A3A"/>
                <w:sz w:val="18"/>
                <w:szCs w:val="18"/>
              </w:rPr>
              <w:t xml:space="preserve">sin historial de otros</w:t>
            </w:r>
            <w:r>
              <w:rPr>
                <w:rFonts w:ascii="Cambria" w:cs="Cambria" w:eastAsia="Cambria" w:hAnsi="Cambria"/>
                <w:color w:val="3A3A3A"/>
                <w:sz w:val="18"/>
                <w:szCs w:val="18"/>
              </w:rPr>
              <w:t xml:space="preserve"> y resuelve el cold start de ítems nuevos (basta describir el producto), pero se sobre-especializa; el colaborativo generaliza mejor pero necesita historial. La respuesta de producción es </w:t>
            </w:r>
            <w:r>
              <w:rPr>
                <w:rFonts w:ascii="Cambria" w:cs="Cambria" w:eastAsia="Cambria" w:hAnsi="Cambria"/>
                <w:b/>
                <w:bCs/>
                <w:color w:val="3A3A3A"/>
                <w:sz w:val="18"/>
                <w:szCs w:val="18"/>
              </w:rPr>
              <w:t xml:space="preserve">híbrida</w:t>
            </w:r>
            <w:r>
              <w:rPr>
                <w:rFonts w:ascii="Cambria" w:cs="Cambria" w:eastAsia="Cambria" w:hAnsi="Cambria"/>
                <w:color w:val="3A3A3A"/>
                <w:sz w:val="18"/>
                <w:szCs w:val="18"/>
              </w:rPr>
              <w:t xml:space="preserve"> (ver </w:t>
            </w:r>
            <w:r>
              <w:rPr>
                <w:rFonts w:ascii="Consolas" w:cs="Consolas" w:eastAsia="Consolas" w:hAnsi="Consolas"/>
                <w:color w:val="7A1526"/>
                <w:sz w:val="16"/>
                <w:szCs w:val="16"/>
              </w:rPr>
              <w:t xml:space="preserve">plantillas/guia_matriz_particion.docx</w:t>
            </w:r>
            <w:r>
              <w:rPr>
                <w:rFonts w:ascii="Cambria" w:cs="Cambria" w:eastAsia="Cambria" w:hAnsi="Cambria"/>
                <w:color w:val="3A3A3A"/>
                <w:sz w:val="18"/>
                <w:szCs w:val="18"/>
              </w:rPr>
              <w:t xml:space="preserve"> Sección 2).</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P4   </w:t>
            </w:r>
            <w:r>
              <w:rPr>
                <w:rFonts w:ascii="Calibri" w:cs="Calibri" w:eastAsia="Calibri" w:hAnsi="Calibri"/>
                <w:b/>
                <w:bCs/>
                <w:color w:val="7A1526"/>
                <w:sz w:val="19"/>
                <w:szCs w:val="19"/>
              </w:rPr>
              <w:t xml:space="preserve">Cold start y dispersión</w:t>
            </w:r>
          </w:p>
          <w:p>
            <w:pPr>
              <w:spacing w:line="265"/>
            </w:pPr>
            <w:r>
              <w:rPr>
                <w:rFonts w:ascii="Cambria" w:cs="Cambria" w:eastAsia="Cambria" w:hAnsi="Cambria"/>
                <w:color w:val="2D2D2D"/>
                <w:sz w:val="19"/>
                <w:szCs w:val="19"/>
              </w:rPr>
              <w:t xml:space="preserve">Predecir con la SVD para un </w:t>
            </w:r>
            <w:r>
              <w:rPr>
                <w:rFonts w:ascii="Consolas" w:cs="Consolas" w:eastAsia="Consolas" w:hAnsi="Consolas"/>
                <w:color w:val="7A1526"/>
                <w:sz w:val="17"/>
                <w:szCs w:val="17"/>
              </w:rPr>
              <w:t xml:space="preserve">user_id</w:t>
            </w:r>
            <w:r>
              <w:rPr>
                <w:rFonts w:ascii="Cambria" w:cs="Cambria" w:eastAsia="Cambria" w:hAnsi="Cambria"/>
                <w:color w:val="2D2D2D"/>
                <w:sz w:val="19"/>
                <w:szCs w:val="19"/>
              </w:rPr>
              <w:t xml:space="preserve"> inexistente sobre un ítem conocido: sin fila de usuario (</w:t>
            </w:r>
            <w:r>
              <w:rPr>
                <w:rFonts w:ascii="Consolas" w:cs="Consolas" w:eastAsia="Consolas" w:hAnsi="Consolas"/>
                <w:color w:val="7A1526"/>
                <w:sz w:val="17"/>
                <w:szCs w:val="17"/>
              </w:rPr>
              <w:t xml:space="preserve">b_u</w:t>
            </w:r>
            <w:r>
              <w:rPr>
                <w:rFonts w:ascii="Cambria" w:cs="Cambria" w:eastAsia="Cambria" w:hAnsi="Cambria"/>
                <w:color w:val="2D2D2D"/>
                <w:sz w:val="19"/>
                <w:szCs w:val="19"/>
              </w:rPr>
              <w:t xml:space="preserve"> = 0, </w:t>
            </w:r>
            <w:r>
              <w:rPr>
                <w:rFonts w:ascii="Consolas" w:cs="Consolas" w:eastAsia="Consolas" w:hAnsi="Consolas"/>
                <w:color w:val="7A1526"/>
                <w:sz w:val="17"/>
                <w:szCs w:val="17"/>
              </w:rPr>
              <w:t xml:space="preserve">p_u</w:t>
            </w:r>
            <w:r>
              <w:rPr>
                <w:rFonts w:ascii="Cambria" w:cs="Cambria" w:eastAsia="Cambria" w:hAnsi="Cambria"/>
                <w:color w:val="2D2D2D"/>
                <w:sz w:val="19"/>
                <w:szCs w:val="19"/>
              </w:rPr>
              <w:t xml:space="preserve"> = 0) la estimación se reduce a </w:t>
            </w:r>
            <w:r>
              <w:rPr>
                <w:rFonts w:ascii="Cambria" w:cs="Cambria" w:eastAsia="Cambria" w:hAnsi="Cambria"/>
                <w:b/>
                <w:bCs/>
                <w:color w:val="2D2D2D"/>
                <w:sz w:val="19"/>
                <w:szCs w:val="19"/>
              </w:rPr>
              <w:t xml:space="preserve">μ + </w:t>
            </w:r>
            <w:r>
              <w:rPr>
                <w:rFonts w:ascii="Consolas" w:cs="Consolas" w:eastAsia="Consolas" w:hAnsi="Consolas"/>
                <w:b/>
                <w:bCs/>
                <w:color w:val="7A1526"/>
                <w:sz w:val="17"/>
                <w:szCs w:val="17"/>
              </w:rPr>
              <w:t xml:space="preserve">b_i</w:t>
            </w:r>
            <w:r>
              <w:rPr>
                <w:rFonts w:ascii="Cambria" w:cs="Cambria" w:eastAsia="Cambria" w:hAnsi="Cambria"/>
                <w:color w:val="2D2D2D"/>
                <w:sz w:val="19"/>
                <w:szCs w:val="19"/>
              </w:rPr>
              <w:t xml:space="preserve"> (el sesgo del ítem sobrevive), y solo cae a </w:t>
            </w:r>
            <w:r>
              <w:rPr>
                <w:rFonts w:ascii="Cambria" w:cs="Cambria" w:eastAsia="Cambria" w:hAnsi="Cambria"/>
                <w:b/>
                <w:bCs/>
                <w:color w:val="2D2D2D"/>
                <w:sz w:val="19"/>
                <w:szCs w:val="19"/>
              </w:rPr>
              <w:t xml:space="preserve">μ exacto</w:t>
            </w:r>
            <w:r>
              <w:rPr>
                <w:rFonts w:ascii="Cambria" w:cs="Cambria" w:eastAsia="Cambria" w:hAnsi="Cambria"/>
                <w:color w:val="2D2D2D"/>
                <w:sz w:val="19"/>
                <w:szCs w:val="19"/>
              </w:rPr>
              <w:t xml:space="preserve"> cuando el ítem </w:t>
            </w:r>
            <w:r>
              <w:rPr>
                <w:rFonts w:ascii="Cambria" w:cs="Cambria" w:eastAsia="Cambria" w:hAnsi="Cambria"/>
                <w:b/>
                <w:bCs/>
                <w:color w:val="2D2D2D"/>
                <w:sz w:val="19"/>
                <w:szCs w:val="19"/>
              </w:rPr>
              <w:t xml:space="preserve">también</w:t>
            </w:r>
            <w:r>
              <w:rPr>
                <w:rFonts w:ascii="Cambria" w:cs="Cambria" w:eastAsia="Cambria" w:hAnsi="Cambria"/>
                <w:color w:val="2D2D2D"/>
                <w:sz w:val="19"/>
                <w:szCs w:val="19"/>
              </w:rPr>
              <w:t xml:space="preserve"> es nuevo — no es un fallo del modelo, es </w:t>
            </w:r>
            <w:r>
              <w:rPr>
                <w:rFonts w:ascii="Cambria" w:cs="Cambria" w:eastAsia="Cambria" w:hAnsi="Cambria"/>
                <w:b/>
                <w:bCs/>
                <w:color w:val="2D2D2D"/>
                <w:sz w:val="19"/>
                <w:szCs w:val="19"/>
              </w:rPr>
              <w:t xml:space="preserve">falta de datos</w:t>
            </w:r>
            <w:r>
              <w:rPr>
                <w:rFonts w:ascii="Cambria" w:cs="Cambria" w:eastAsia="Cambria" w:hAnsi="Cambria"/>
                <w:color w:val="2D2D2D"/>
                <w:sz w:val="19"/>
                <w:szCs w:val="19"/>
              </w:rPr>
              <w:t xml:space="preserve">. Contar cuántas películas tienen menos de 5 y menos de 20 calificaciones, y qué fracción de calificaciones concentra el 20 % más popular del catálogo (cola larga): la mayoría de los ítems tiene muy poca evidencia (ver la guía de interpretación de resultados e el glosario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ilustración de qué pasa con un usuario/ítem nuevo y de la cola larga de ítems; una frase escrita sobre la estrategia híbrida para arrancar en frío.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Errores a evitar con el cold start</w:t>
            </w:r>
          </w:p>
          <w:p>
            <w:pPr>
              <w:spacing w:after="70" w:line="265"/>
            </w:pPr>
            <w:r>
              <w:rPr>
                <w:rFonts w:ascii="Cambria" w:cs="Cambria" w:eastAsia="Cambria" w:hAnsi="Cambria"/>
                <w:color w:val="3A3A3A"/>
                <w:sz w:val="18"/>
                <w:szCs w:val="18"/>
              </w:rPr>
              <w:t xml:space="preserve">(a) Leer las recomendaciones «genéricas» de un usuario nuevo como error del algoritmo: es lo esperado sin historial. (b) Intentar arreglar el cold start con hiperparámetros: es </w:t>
            </w:r>
            <w:r>
              <w:rPr>
                <w:rFonts w:ascii="Cambria" w:cs="Cambria" w:eastAsia="Cambria" w:hAnsi="Cambria"/>
                <w:b/>
                <w:bCs/>
                <w:color w:val="3A3A3A"/>
                <w:sz w:val="18"/>
                <w:szCs w:val="18"/>
              </w:rPr>
              <w:t xml:space="preserve">estructural</w:t>
            </w:r>
            <w:r>
              <w:rPr>
                <w:rFonts w:ascii="Cambria" w:cs="Cambria" w:eastAsia="Cambria" w:hAnsi="Cambria"/>
                <w:color w:val="3A3A3A"/>
                <w:sz w:val="18"/>
                <w:szCs w:val="18"/>
              </w:rPr>
              <w:t xml:space="preserve">, se resuelve con otra fuente de señal (contenido, popularidad, onboarding).</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P5   </w:t>
            </w:r>
            <w:r>
              <w:rPr>
                <w:rFonts w:ascii="Calibri" w:cs="Calibri" w:eastAsia="Calibri" w:hAnsi="Calibri"/>
                <w:b/>
                <w:bCs/>
                <w:color w:val="7A1526"/>
                <w:sz w:val="19"/>
                <w:szCs w:val="19"/>
              </w:rPr>
              <w:t xml:space="preserve">Evaluación top-k con partición temporal</w:t>
            </w:r>
          </w:p>
          <w:p>
            <w:pPr>
              <w:spacing w:line="265"/>
            </w:pPr>
            <w:r>
              <w:rPr>
                <w:rFonts w:ascii="Cambria" w:cs="Cambria" w:eastAsia="Cambria" w:hAnsi="Cambria"/>
                <w:color w:val="2D2D2D"/>
                <w:sz w:val="19"/>
                <w:szCs w:val="19"/>
              </w:rPr>
              <w:t xml:space="preserve">Ordenar por </w:t>
            </w:r>
            <w:r>
              <w:rPr>
                <w:rFonts w:ascii="Consolas" w:cs="Consolas" w:eastAsia="Consolas" w:hAnsi="Consolas"/>
                <w:color w:val="7A1526"/>
                <w:sz w:val="17"/>
                <w:szCs w:val="17"/>
              </w:rPr>
              <w:t xml:space="preserve">timestamp</w:t>
            </w:r>
            <w:r>
              <w:rPr>
                <w:rFonts w:ascii="Cambria" w:cs="Cambria" w:eastAsia="Cambria" w:hAnsi="Cambria"/>
                <w:color w:val="2D2D2D"/>
                <w:sz w:val="19"/>
                <w:szCs w:val="19"/>
              </w:rPr>
              <w:t xml:space="preserve"> y cortar 80/20 (pasado/futuro) para entrenar con el pasado y evaluar en el futuro, sin barajar (evitar data leakage). Calcular </w:t>
            </w:r>
            <w:r>
              <w:rPr>
                <w:rFonts w:ascii="Cambria" w:cs="Cambria" w:eastAsia="Cambria" w:hAnsi="Cambria"/>
                <w:b/>
                <w:bCs/>
                <w:color w:val="2D2D2D"/>
                <w:sz w:val="19"/>
                <w:szCs w:val="19"/>
              </w:rPr>
              <w:t xml:space="preserve">precisión@10, recall@10, MAP@10 y NDCG@10</w:t>
            </w:r>
            <w:r>
              <w:rPr>
                <w:rFonts w:ascii="Cambria" w:cs="Cambria" w:eastAsia="Cambria" w:hAnsi="Cambria"/>
                <w:color w:val="2D2D2D"/>
                <w:sz w:val="19"/>
                <w:szCs w:val="19"/>
              </w:rPr>
              <w:t xml:space="preserve"> (umbral de relevancia 3,5) para la SVD, la </w:t>
            </w:r>
            <w:r>
              <w:rPr>
                <w:rFonts w:ascii="Cambria" w:cs="Cambria" w:eastAsia="Cambria" w:hAnsi="Cambria"/>
                <w:b/>
                <w:bCs/>
                <w:color w:val="2D2D2D"/>
                <w:sz w:val="19"/>
                <w:szCs w:val="19"/>
              </w:rPr>
              <w:t xml:space="preserve">popularidad</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azar</w:t>
            </w:r>
            <w:r>
              <w:rPr>
                <w:rFonts w:ascii="Cambria" w:cs="Cambria" w:eastAsia="Cambria" w:hAnsi="Cambria"/>
                <w:color w:val="2D2D2D"/>
                <w:sz w:val="19"/>
                <w:szCs w:val="19"/>
              </w:rPr>
              <w:t xml:space="preserve">: SVD </w:t>
            </w:r>
            <w:r>
              <w:rPr>
                <w:rFonts w:ascii="Cambria" w:cs="Cambria" w:eastAsia="Cambria" w:hAnsi="Cambria"/>
                <w:b/>
                <w:bCs/>
                <w:color w:val="2D2D2D"/>
                <w:sz w:val="19"/>
                <w:szCs w:val="19"/>
              </w:rPr>
              <w:t xml:space="preserve">precisión@10 0,7169</w:t>
            </w:r>
            <w:r>
              <w:rPr>
                <w:rFonts w:ascii="Cambria" w:cs="Cambria" w:eastAsia="Cambria" w:hAnsi="Cambria"/>
                <w:color w:val="2D2D2D"/>
                <w:sz w:val="19"/>
                <w:szCs w:val="19"/>
              </w:rPr>
              <w:t xml:space="preserve">, recall 0,3624, MAP 0,6858, </w:t>
            </w:r>
            <w:r>
              <w:rPr>
                <w:rFonts w:ascii="Cambria" w:cs="Cambria" w:eastAsia="Cambria" w:hAnsi="Cambria"/>
                <w:b/>
                <w:bCs/>
                <w:color w:val="2D2D2D"/>
                <w:sz w:val="19"/>
                <w:szCs w:val="19"/>
              </w:rPr>
              <w:t xml:space="preserve">NDCG@10 0,7789</w:t>
            </w:r>
            <w:r>
              <w:rPr>
                <w:rFonts w:ascii="Cambria" w:cs="Cambria" w:eastAsia="Cambria" w:hAnsi="Cambria"/>
                <w:color w:val="2D2D2D"/>
                <w:sz w:val="19"/>
                <w:szCs w:val="19"/>
              </w:rPr>
              <w:t xml:space="preserve"> (hoja recsys celdas B6 y B8); popularidad precisión 0,7210, NDCG 0,7775 (celda B7); azar precisión 0,5212, NDCG 0,6006 (celda B9) (ver </w:t>
            </w:r>
            <w:r>
              <w:rPr>
                <w:rFonts w:ascii="Consolas" w:cs="Consolas" w:eastAsia="Consolas" w:hAnsi="Consolas"/>
                <w:color w:val="7A1526"/>
                <w:sz w:val="17"/>
                <w:szCs w:val="17"/>
              </w:rPr>
              <w:t xml:space="preserve">plantillas/guia_matriz_particion.docx</w:t>
            </w:r>
            <w:r>
              <w:rPr>
                <w:rFonts w:ascii="Cambria" w:cs="Cambria" w:eastAsia="Cambria" w:hAnsi="Cambria"/>
                <w:color w:val="2D2D2D"/>
                <w:sz w:val="19"/>
                <w:szCs w:val="19"/>
              </w:rPr>
              <w:t xml:space="preserve"> Sección 3 e la guía de interpretación de resultados).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métricas top-k de la SVD frente a popularidad y azar sobre partición temporal, con la lectura honesta de la comparación: en este dataset SVD y popularidad </w:t>
            </w:r>
            <w:r>
              <w:rPr>
                <w:rFonts w:ascii="Cambria" w:cs="Cambria" w:eastAsia="Cambria" w:hAnsi="Cambria"/>
                <w:b/>
                <w:bCs/>
                <w:color w:val="2D2D2D"/>
                <w:sz w:val="19"/>
                <w:szCs w:val="19"/>
              </w:rPr>
              <w:t xml:space="preserve">presentan un rendimiento equivalente dentro del ruido</w:t>
            </w:r>
            <w:r>
              <w:rPr>
                <w:rFonts w:ascii="Cambria" w:cs="Cambria" w:eastAsia="Cambria" w:hAnsi="Cambria"/>
                <w:color w:val="2D2D2D"/>
                <w:sz w:val="19"/>
                <w:szCs w:val="19"/>
              </w:rPr>
              <w:t xml:space="preserve">, mientras la ventaja robusta de la SVD está en el RMSE; toda métrica se lee contra la popularidad </w:t>
            </w:r>
            <w:r>
              <w:rPr>
                <w:rFonts w:ascii="Cambria" w:cs="Cambria" w:eastAsia="Cambria" w:hAnsi="Cambria"/>
                <w:b/>
                <w:bCs/>
                <w:color w:val="2D2D2D"/>
                <w:sz w:val="19"/>
                <w:szCs w:val="19"/>
              </w:rPr>
              <w:t xml:space="preserve">y contra el ruido</w:t>
            </w:r>
            <w:r>
              <w:rPr>
                <w:rFonts w:ascii="Cambria" w:cs="Cambria" w:eastAsia="Cambria" w:hAnsi="Cambria"/>
                <w:color w:val="2D2D2D"/>
                <w:sz w:val="19"/>
                <w:szCs w:val="19"/>
              </w:rPr>
              <w:t xml:space="preserve">. Actividad (drill 3): partir por </w:t>
            </w:r>
            <w:r>
              <w:rPr>
                <w:rFonts w:ascii="Consolas" w:cs="Consolas" w:eastAsia="Consolas" w:hAnsi="Consolas"/>
                <w:color w:val="7A1526"/>
                <w:sz w:val="17"/>
                <w:szCs w:val="17"/>
              </w:rPr>
              <w:t xml:space="preserve">timestamp</w:t>
            </w:r>
            <w:r>
              <w:rPr>
                <w:rFonts w:ascii="Cambria" w:cs="Cambria" w:eastAsia="Cambria" w:hAnsi="Cambria"/>
                <w:color w:val="2D2D2D"/>
                <w:sz w:val="19"/>
                <w:szCs w:val="19"/>
              </w:rPr>
              <w:t xml:space="preserve">, calcular el NDCG@10 de SVD vs. popularidad y contrastar la brecha contra la variación de la SVD entre semillas.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La lectura clave (T4-T5): SVD y popularidad presentan un rendimiento equivalente dentro del ruido en ranking</w:t>
            </w:r>
          </w:p>
          <w:p>
            <w:pPr>
              <w:spacing w:after="70" w:line="265"/>
            </w:pPr>
            <w:r>
              <w:rPr>
                <w:rFonts w:ascii="Cambria" w:cs="Cambria" w:eastAsia="Cambria" w:hAnsi="Cambria"/>
                <w:color w:val="3A3A3A"/>
                <w:sz w:val="18"/>
                <w:szCs w:val="18"/>
              </w:rPr>
              <w:t xml:space="preserve">En </w:t>
            </w:r>
            <w:r>
              <w:rPr>
                <w:rFonts w:ascii="Cambria" w:cs="Cambria" w:eastAsia="Cambria" w:hAnsi="Cambria"/>
                <w:b/>
                <w:bCs/>
                <w:color w:val="3A3A3A"/>
                <w:sz w:val="18"/>
                <w:szCs w:val="18"/>
              </w:rPr>
              <w:t xml:space="preserve">ranking top-N la SVD y la popularidad presentan un rendimiento equivalente dentro del ruido</w:t>
            </w:r>
            <w:r>
              <w:rPr>
                <w:rFonts w:ascii="Cambria" w:cs="Cambria" w:eastAsia="Cambria" w:hAnsi="Cambria"/>
                <w:color w:val="3A3A3A"/>
                <w:sz w:val="18"/>
                <w:szCs w:val="18"/>
              </w:rPr>
              <w:t xml:space="preserve">: las cuatro brechas @10 son mínimas (NDCG 0,7789 vs. 0,7775, diferencia 0,0014; precisión@10 0,7169 vs. 0,7210, diferencia 0,0042) y </w:t>
            </w:r>
            <w:r>
              <w:rPr>
                <w:rFonts w:ascii="Cambria" w:cs="Cambria" w:eastAsia="Cambria" w:hAnsi="Cambria"/>
                <w:b/>
                <w:bCs/>
                <w:color w:val="3A3A3A"/>
                <w:sz w:val="18"/>
                <w:szCs w:val="18"/>
              </w:rPr>
              <w:t xml:space="preserve">menores que la variación de la propia SVD entre semillas</w:t>
            </w:r>
            <w:r>
              <w:rPr>
                <w:rFonts w:ascii="Cambria" w:cs="Cambria" w:eastAsia="Cambria" w:hAnsi="Cambria"/>
                <w:color w:val="3A3A3A"/>
                <w:sz w:val="18"/>
                <w:szCs w:val="18"/>
              </w:rPr>
              <w:t xml:space="preserve"> (rango NDCG ≈0,0059), así que no se declara un ganador de ranking. La </w:t>
            </w:r>
            <w:r>
              <w:rPr>
                <w:rFonts w:ascii="Cambria" w:cs="Cambria" w:eastAsia="Cambria" w:hAnsi="Cambria"/>
                <w:b/>
                <w:bCs/>
                <w:color w:val="3A3A3A"/>
                <w:sz w:val="18"/>
                <w:szCs w:val="18"/>
              </w:rPr>
              <w:t xml:space="preserve">popularidad es un baseline muy exigente</w:t>
            </w:r>
            <w:r>
              <w:rPr>
                <w:rFonts w:ascii="Cambria" w:cs="Cambria" w:eastAsia="Cambria" w:hAnsi="Cambria"/>
                <w:color w:val="3A3A3A"/>
                <w:sz w:val="18"/>
                <w:szCs w:val="18"/>
              </w:rPr>
              <w:t xml:space="preserve"> (los éxitos aciertan). La ventaja </w:t>
            </w:r>
            <w:r>
              <w:rPr>
                <w:rFonts w:ascii="Cambria" w:cs="Cambria" w:eastAsia="Cambria" w:hAnsi="Cambria"/>
                <w:b/>
                <w:bCs/>
                <w:color w:val="3A3A3A"/>
                <w:sz w:val="18"/>
                <w:szCs w:val="18"/>
              </w:rPr>
              <w:t xml:space="preserve">robusta</w:t>
            </w:r>
            <w:r>
              <w:rPr>
                <w:rFonts w:ascii="Cambria" w:cs="Cambria" w:eastAsia="Cambria" w:hAnsi="Cambria"/>
                <w:color w:val="3A3A3A"/>
                <w:sz w:val="18"/>
                <w:szCs w:val="18"/>
              </w:rPr>
              <w:t xml:space="preserve"> de la SVD está en el </w:t>
            </w:r>
            <w:r>
              <w:rPr>
                <w:rFonts w:ascii="Cambria" w:cs="Cambria" w:eastAsia="Cambria" w:hAnsi="Cambria"/>
                <w:b/>
                <w:bCs/>
                <w:color w:val="3A3A3A"/>
                <w:sz w:val="18"/>
                <w:szCs w:val="18"/>
              </w:rPr>
              <w:t xml:space="preserve">RMSE</w:t>
            </w:r>
            <w:r>
              <w:rPr>
                <w:rFonts w:ascii="Cambria" w:cs="Cambria" w:eastAsia="Cambria" w:hAnsi="Cambria"/>
                <w:color w:val="3A3A3A"/>
                <w:sz w:val="18"/>
                <w:szCs w:val="18"/>
              </w:rPr>
              <w:t xml:space="preserve"> (0,9350 muy por debajo de 1,1257), no en el ranking; ambos superan con claridad al azar. Toda métrica se lee </w:t>
            </w:r>
            <w:r>
              <w:rPr>
                <w:rFonts w:ascii="Cambria" w:cs="Cambria" w:eastAsia="Cambria" w:hAnsi="Cambria"/>
                <w:b/>
                <w:bCs/>
                <w:color w:val="3A3A3A"/>
                <w:sz w:val="18"/>
                <w:szCs w:val="18"/>
              </w:rPr>
              <w:t xml:space="preserve">contra la popularidad y contra el ruido</w:t>
            </w:r>
            <w:r>
              <w:rPr>
                <w:rFonts w:ascii="Cambria" w:cs="Cambria" w:eastAsia="Cambria" w:hAnsi="Cambria"/>
                <w:color w:val="3A3A3A"/>
                <w:sz w:val="18"/>
                <w:szCs w:val="18"/>
              </w:rPr>
              <w:t xml:space="preserve">. Estructurar la evaluación con </w:t>
            </w:r>
            <w:r>
              <w:rPr>
                <w:rFonts w:ascii="Consolas" w:cs="Consolas" w:eastAsia="Consolas" w:hAnsi="Consolas"/>
                <w:color w:val="7A1526"/>
                <w:sz w:val="16"/>
                <w:szCs w:val="16"/>
              </w:rPr>
              <w:t xml:space="preserve">plantillas/eval_recomendador_topk.docx</w:t>
            </w:r>
            <w:r>
              <w:rPr>
                <w:rFonts w:ascii="Cambria" w:cs="Cambria" w:eastAsia="Cambria" w:hAnsi="Cambria"/>
                <w:color w:val="3A3A3A"/>
                <w:sz w:val="18"/>
                <w:szCs w:val="18"/>
              </w:rPr>
              <w:t xml:space="preserve">.</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FEEDBACK IMPLÍCITO CON IMPLICIT ALS SOBRE ONLINE RETAIL II</w:t>
      </w:r>
    </w:p>
    <w:p>
      <w:pPr>
        <w:keepNext/>
        <w:pBdr>
          <w:bottom w:val="single" w:color="E4002B" w:sz="14" w:space="8"/>
        </w:pBdr>
        <w:spacing w:after="140"/>
      </w:pPr>
      <w:r>
        <w:rPr>
          <w:rFonts w:ascii="Cambria" w:cs="Cambria" w:eastAsia="Cambria" w:hAnsi="Cambria"/>
          <w:i/>
          <w:iCs/>
          <w:color w:val="6E6E6E"/>
          <w:sz w:val="19"/>
          <w:szCs w:val="19"/>
        </w:rPr>
        <w:t xml:space="preserve">Online Retail II · viernes, capítulo 14.8, bloque B · Sección de Laboratorio de negocio del cuaderno, paso 6</w:t>
      </w:r>
      <w:r>
        <w:rPr>
          <w:rFonts w:ascii="Cambria" w:cs="Cambria" w:eastAsia="Cambria" w:hAnsi="Cambria"/>
          <w:b/>
          <w:bCs/>
          <w:color w:val="7A1526"/>
          <w:sz w:val="19"/>
          <w:szCs w:val="19"/>
        </w:rPr>
        <w:t xml:space="preserve">   |   ~28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2.0   </w:t>
            </w:r>
            <w:r>
              <w:rPr>
                <w:rFonts w:ascii="Calibri" w:cs="Calibri" w:eastAsia="Calibri" w:hAnsi="Calibri"/>
                <w:b/>
                <w:bCs/>
                <w:color w:val="7A1526"/>
                <w:sz w:val="19"/>
                <w:szCs w:val="19"/>
              </w:rPr>
              <w:t xml:space="preserve">Feedback implícito: la señal es la compra, no la nota</w:t>
            </w:r>
          </w:p>
          <w:p>
            <w:pPr>
              <w:spacing w:after="70" w:line="265"/>
            </w:pPr>
            <w:r>
              <w:rPr>
                <w:rFonts w:ascii="Cambria" w:cs="Cambria" w:eastAsia="Cambria" w:hAnsi="Cambria"/>
                <w:color w:val="3A3A3A"/>
                <w:sz w:val="18"/>
                <w:szCs w:val="18"/>
              </w:rPr>
              <w:t xml:space="preserve">Se lleva la recomendación a un problema real de e-commerce sobre </w:t>
            </w:r>
            <w:r>
              <w:rPr>
                <w:rFonts w:ascii="Cambria" w:cs="Cambria" w:eastAsia="Cambria" w:hAnsi="Cambria"/>
                <w:b/>
                <w:bCs/>
                <w:color w:val="3A3A3A"/>
                <w:sz w:val="18"/>
                <w:szCs w:val="18"/>
              </w:rPr>
              <w:t xml:space="preserve">Online Retail II</w:t>
            </w:r>
            <w:r>
              <w:rPr>
                <w:rFonts w:ascii="Cambria" w:cs="Cambria" w:eastAsia="Cambria" w:hAnsi="Cambria"/>
                <w:color w:val="3A3A3A"/>
                <w:sz w:val="18"/>
                <w:szCs w:val="18"/>
              </w:rPr>
              <w:t xml:space="preserve"> (muestra: 8.829 líneas, 80 clientes, 2.235 productos). Aquí </w:t>
            </w:r>
            <w:r>
              <w:rPr>
                <w:rFonts w:ascii="Cambria" w:cs="Cambria" w:eastAsia="Cambria" w:hAnsi="Cambria"/>
                <w:b/>
                <w:bCs/>
                <w:color w:val="3A3A3A"/>
                <w:sz w:val="18"/>
                <w:szCs w:val="18"/>
              </w:rPr>
              <w:t xml:space="preserve">no hay «rating»</w:t>
            </w:r>
            <w:r>
              <w:rPr>
                <w:rFonts w:ascii="Cambria" w:cs="Cambria" w:eastAsia="Cambria" w:hAnsi="Cambria"/>
                <w:color w:val="3A3A3A"/>
                <w:sz w:val="18"/>
                <w:szCs w:val="18"/>
              </w:rPr>
              <w:t xml:space="preserve">: la señal es la </w:t>
            </w:r>
            <w:r>
              <w:rPr>
                <w:rFonts w:ascii="Cambria" w:cs="Cambria" w:eastAsia="Cambria" w:hAnsi="Cambria"/>
                <w:b/>
                <w:bCs/>
                <w:color w:val="3A3A3A"/>
                <w:sz w:val="18"/>
                <w:szCs w:val="18"/>
              </w:rPr>
              <w:t xml:space="preserve">compra</w:t>
            </w:r>
            <w:r>
              <w:rPr>
                <w:rFonts w:ascii="Cambria" w:cs="Cambria" w:eastAsia="Cambria" w:hAnsi="Cambria"/>
                <w:color w:val="3A3A3A"/>
                <w:sz w:val="18"/>
                <w:szCs w:val="18"/>
              </w:rPr>
              <w:t xml:space="preserve"> (feedback </w:t>
            </w:r>
            <w:r>
              <w:rPr>
                <w:rFonts w:ascii="Cambria" w:cs="Cambria" w:eastAsia="Cambria" w:hAnsi="Cambria"/>
                <w:b/>
                <w:bCs/>
                <w:color w:val="3A3A3A"/>
                <w:sz w:val="18"/>
                <w:szCs w:val="18"/>
              </w:rPr>
              <w:t xml:space="preserve">implícito</w:t>
            </w:r>
            <w:r>
              <w:rPr>
                <w:rFonts w:ascii="Cambria" w:cs="Cambria" w:eastAsia="Cambria" w:hAnsi="Cambria"/>
                <w:color w:val="3A3A3A"/>
                <w:sz w:val="18"/>
                <w:szCs w:val="18"/>
              </w:rPr>
              <w:t xml:space="preserve">) (ver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2 e la ficha de la sesión de réplica del paper).</w:t>
            </w:r>
          </w:p>
          <w:p>
            <w:pPr>
              <w:spacing w:after="70" w:line="265"/>
            </w:pPr>
            <w:r>
              <w:rPr>
                <w:rFonts w:ascii="Cambria" w:cs="Cambria" w:eastAsia="Cambria" w:hAnsi="Cambria"/>
                <w:color w:val="3A3A3A"/>
                <w:sz w:val="18"/>
                <w:szCs w:val="18"/>
              </w:rPr>
              <w:t xml:space="preserve">En feedback implícito no hay nota que predecir: se modela la </w:t>
            </w:r>
            <w:r>
              <w:rPr>
                <w:rFonts w:ascii="Cambria" w:cs="Cambria" w:eastAsia="Cambria" w:hAnsi="Cambria"/>
                <w:b/>
                <w:bCs/>
                <w:color w:val="3A3A3A"/>
                <w:sz w:val="18"/>
                <w:szCs w:val="18"/>
              </w:rPr>
              <w:t xml:space="preserve">confianza</w:t>
            </w:r>
            <w:r>
              <w:rPr>
                <w:rFonts w:ascii="Cambria" w:cs="Cambria" w:eastAsia="Cambria" w:hAnsi="Cambria"/>
                <w:color w:val="3A3A3A"/>
                <w:sz w:val="18"/>
                <w:szCs w:val="18"/>
              </w:rPr>
              <w:t xml:space="preserve"> en que el cliente u prefiere el producto i, que crece con la cantidad observada rᵤᵢ (unidades compradas) a través del factor α (Hu 2008): </w:t>
            </w:r>
            <w:r>
              <w:rPr>
                <w:rFonts w:ascii="Consolas" w:cs="Consolas" w:eastAsia="Consolas" w:hAnsi="Consolas"/>
                <w:color w:val="7A1526"/>
                <w:sz w:val="16"/>
                <w:szCs w:val="16"/>
              </w:rPr>
              <w:t xml:space="preserve">c = 1 + α·r</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P6   </w:t>
            </w:r>
            <w:r>
              <w:rPr>
                <w:rFonts w:ascii="Calibri" w:cs="Calibri" w:eastAsia="Calibri" w:hAnsi="Calibri"/>
                <w:b/>
                <w:bCs/>
                <w:color w:val="7A1526"/>
                <w:sz w:val="19"/>
                <w:szCs w:val="19"/>
              </w:rPr>
              <w:t xml:space="preserve">Recomendador de feedback implícito (Online Retail II)</w:t>
            </w:r>
          </w:p>
          <w:p>
            <w:pPr>
              <w:spacing w:line="265"/>
            </w:pPr>
            <w:r>
              <w:rPr>
                <w:rFonts w:ascii="Cambria" w:cs="Cambria" w:eastAsia="Cambria" w:hAnsi="Cambria"/>
                <w:color w:val="2D2D2D"/>
                <w:sz w:val="19"/>
                <w:szCs w:val="19"/>
              </w:rPr>
              <w:t xml:space="preserve">Construir la matriz cliente-producto: agregar la cantidad comprada (</w:t>
            </w:r>
            <w:r>
              <w:rPr>
                <w:rFonts w:ascii="Consolas" w:cs="Consolas" w:eastAsia="Consolas" w:hAnsi="Consolas"/>
                <w:color w:val="7A1526"/>
                <w:sz w:val="17"/>
                <w:szCs w:val="17"/>
              </w:rPr>
              <w:t xml:space="preserve">Quantity</w:t>
            </w:r>
            <w:r>
              <w:rPr>
                <w:rFonts w:ascii="Cambria" w:cs="Cambria" w:eastAsia="Cambria" w:hAnsi="Cambria"/>
                <w:color w:val="2D2D2D"/>
                <w:sz w:val="19"/>
                <w:szCs w:val="19"/>
              </w:rPr>
              <w:t xml:space="preserve">) por cada par cliente-producto — matriz de </w:t>
            </w:r>
            <w:r>
              <w:rPr>
                <w:rFonts w:ascii="Cambria" w:cs="Cambria" w:eastAsia="Cambria" w:hAnsi="Cambria"/>
                <w:b/>
                <w:bCs/>
                <w:color w:val="2D2D2D"/>
                <w:sz w:val="19"/>
                <w:szCs w:val="19"/>
              </w:rPr>
              <w:t xml:space="preserve">80 × 2.235</w:t>
            </w:r>
            <w:r>
              <w:rPr>
                <w:rFonts w:ascii="Cambria" w:cs="Cambria" w:eastAsia="Cambria" w:hAnsi="Cambria"/>
                <w:color w:val="2D2D2D"/>
                <w:sz w:val="19"/>
                <w:szCs w:val="19"/>
              </w:rPr>
              <w:t xml:space="preserve">, densidad </w:t>
            </w:r>
            <w:r>
              <w:rPr>
                <w:rFonts w:ascii="Cambria" w:cs="Cambria" w:eastAsia="Cambria" w:hAnsi="Cambria"/>
                <w:b/>
                <w:bCs/>
                <w:color w:val="2D2D2D"/>
                <w:sz w:val="19"/>
                <w:szCs w:val="19"/>
              </w:rPr>
              <w:t xml:space="preserve">3,2 %</w:t>
            </w:r>
            <w:r>
              <w:rPr>
                <w:rFonts w:ascii="Cambria" w:cs="Cambria" w:eastAsia="Cambria" w:hAnsi="Cambria"/>
                <w:color w:val="2D2D2D"/>
                <w:sz w:val="19"/>
                <w:szCs w:val="19"/>
              </w:rPr>
              <w:t xml:space="preserve"> — sin calcular RMSE (no hay nota real que predecir) (ver el glosario de la sesión). Ajustar un modelo </w:t>
            </w:r>
            <w:r>
              <w:rPr>
                <w:rFonts w:ascii="Consolas" w:cs="Consolas" w:eastAsia="Consolas" w:hAnsi="Consolas"/>
                <w:color w:val="7A1526"/>
                <w:sz w:val="17"/>
                <w:szCs w:val="17"/>
              </w:rPr>
              <w:t xml:space="preserve">implicit</w:t>
            </w:r>
            <w:r>
              <w:rPr>
                <w:rFonts w:ascii="Cambria" w:cs="Cambria" w:eastAsia="Cambria" w:hAnsi="Cambria"/>
                <w:color w:val="2D2D2D"/>
                <w:sz w:val="19"/>
                <w:szCs w:val="19"/>
              </w:rPr>
              <w:t xml:space="preserve"> ALS (</w:t>
            </w:r>
            <w:r>
              <w:rPr>
                <w:rFonts w:ascii="Consolas" w:cs="Consolas" w:eastAsia="Consolas" w:hAnsi="Consolas"/>
                <w:color w:val="7A1526"/>
                <w:sz w:val="17"/>
                <w:szCs w:val="17"/>
              </w:rPr>
              <w:t xml:space="preserve">implicit</w:t>
            </w:r>
            <w:r>
              <w:rPr>
                <w:rFonts w:ascii="Cambria" w:cs="Cambria" w:eastAsia="Cambria" w:hAnsi="Cambria"/>
                <w:color w:val="2D2D2D"/>
                <w:sz w:val="19"/>
                <w:szCs w:val="19"/>
              </w:rPr>
              <w:t xml:space="preserve">.als.AlternatingLeastSquares con 32 factores latentes) sobre la matriz de </w:t>
            </w:r>
            <w:r>
              <w:rPr>
                <w:rFonts w:ascii="Cambria" w:cs="Cambria" w:eastAsia="Cambria" w:hAnsi="Cambria"/>
                <w:b/>
                <w:bCs/>
                <w:color w:val="2D2D2D"/>
                <w:sz w:val="19"/>
                <w:szCs w:val="19"/>
              </w:rPr>
              <w:t xml:space="preserve">confianza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 = 1 + α·r</w:t>
            </w:r>
            <w:r>
              <w:rPr>
                <w:rFonts w:ascii="Cambria" w:cs="Cambria" w:eastAsia="Cambria" w:hAnsi="Cambria"/>
                <w:color w:val="2D2D2D"/>
                <w:sz w:val="19"/>
                <w:szCs w:val="19"/>
              </w:rPr>
              <w:t xml:space="preserve"> (α = 40): la preferencia es binaria (compró o no), la confianza crece con la cantidad, y </w:t>
            </w:r>
            <w:r>
              <w:rPr>
                <w:rFonts w:ascii="Cambria" w:cs="Cambria" w:eastAsia="Cambria" w:hAnsi="Cambria"/>
                <w:b/>
                <w:bCs/>
                <w:color w:val="2D2D2D"/>
                <w:sz w:val="19"/>
                <w:szCs w:val="19"/>
              </w:rPr>
              <w:t xml:space="preserve">un 0 significa «no observado con baja confianza», nunca «lo detesta»</w:t>
            </w:r>
            <w:r>
              <w:rPr>
                <w:rFonts w:ascii="Cambria" w:cs="Cambria" w:eastAsia="Cambria" w:hAnsi="Cambria"/>
                <w:color w:val="2D2D2D"/>
                <w:sz w:val="19"/>
                <w:szCs w:val="19"/>
              </w:rPr>
              <w:t xml:space="preserve"> (ver la guía de interpretación de resultados). Generar el top-N por cliente excluyendo lo ya comprado (</w:t>
            </w:r>
            <w:r>
              <w:rPr>
                <w:rFonts w:ascii="Consolas" w:cs="Consolas" w:eastAsia="Consolas" w:hAnsi="Consolas"/>
                <w:color w:val="7A1526"/>
                <w:sz w:val="17"/>
                <w:szCs w:val="17"/>
              </w:rPr>
              <w:t xml:space="preserve">filter_already_liked_items</w:t>
            </w:r>
            <w:r>
              <w:rPr>
                <w:rFonts w:ascii="Cambria" w:cs="Cambria" w:eastAsia="Cambria" w:hAnsi="Cambria"/>
                <w:color w:val="2D2D2D"/>
                <w:sz w:val="19"/>
                <w:szCs w:val="19"/>
              </w:rPr>
              <w:t xml:space="preserve">=True) y cruzarlo con el </w:t>
            </w:r>
            <w:r>
              <w:rPr>
                <w:rFonts w:ascii="Cambria" w:cs="Cambria" w:eastAsia="Cambria" w:hAnsi="Cambria"/>
                <w:b/>
                <w:bCs/>
                <w:color w:val="2D2D2D"/>
                <w:sz w:val="19"/>
                <w:szCs w:val="19"/>
              </w:rPr>
              <w:t xml:space="preserve">precio</w:t>
            </w:r>
            <w:r>
              <w:rPr>
                <w:rFonts w:ascii="Cambria" w:cs="Cambria" w:eastAsia="Cambria" w:hAnsi="Cambria"/>
                <w:color w:val="2D2D2D"/>
                <w:sz w:val="19"/>
                <w:szCs w:val="19"/>
              </w:rPr>
              <w:t xml:space="preserve"> unitario para leer el </w:t>
            </w:r>
            <w:r>
              <w:rPr>
                <w:rFonts w:ascii="Cambria" w:cs="Cambria" w:eastAsia="Cambria" w:hAnsi="Cambria"/>
                <w:b/>
                <w:bCs/>
                <w:color w:val="2D2D2D"/>
                <w:sz w:val="19"/>
                <w:szCs w:val="19"/>
              </w:rPr>
              <w:t xml:space="preserve">ingreso potencial</w:t>
            </w:r>
            <w:r>
              <w:rPr>
                <w:rFonts w:ascii="Cambria" w:cs="Cambria" w:eastAsia="Cambria" w:hAnsi="Cambria"/>
                <w:color w:val="2D2D2D"/>
                <w:sz w:val="19"/>
                <w:szCs w:val="19"/>
              </w:rPr>
              <w:t xml:space="preserve">; traducirlo a </w:t>
            </w:r>
            <w:r>
              <w:rPr>
                <w:rFonts w:ascii="Cambria" w:cs="Cambria" w:eastAsia="Cambria" w:hAnsi="Cambria"/>
                <w:b/>
                <w:bCs/>
                <w:color w:val="2D2D2D"/>
                <w:sz w:val="19"/>
                <w:szCs w:val="19"/>
              </w:rPr>
              <w:t xml:space="preserve">cross-selling</w:t>
            </w:r>
            <w:r>
              <w:rPr>
                <w:rFonts w:ascii="Cambria" w:cs="Cambria" w:eastAsia="Cambria" w:hAnsi="Cambria"/>
                <w:color w:val="2D2D2D"/>
                <w:sz w:val="19"/>
                <w:szCs w:val="19"/>
              </w:rPr>
              <w:t xml:space="preserve"> (producto complementario en ficha o carrito), </w:t>
            </w:r>
            <w:r>
              <w:rPr>
                <w:rFonts w:ascii="Cambria" w:cs="Cambria" w:eastAsia="Cambria" w:hAnsi="Cambria"/>
                <w:b/>
                <w:bCs/>
                <w:color w:val="2D2D2D"/>
                <w:sz w:val="19"/>
                <w:szCs w:val="19"/>
              </w:rPr>
              <w:t xml:space="preserve">up-selling</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retención</w:t>
            </w:r>
            <w:r>
              <w:rPr>
                <w:rFonts w:ascii="Cambria" w:cs="Cambria" w:eastAsia="Cambria" w:hAnsi="Cambria"/>
                <w:color w:val="2D2D2D"/>
                <w:sz w:val="19"/>
                <w:szCs w:val="19"/>
              </w:rPr>
              <w:t xml:space="preserve"> (email personalizado), estructurado con </w:t>
            </w:r>
            <w:r>
              <w:rPr>
                <w:rFonts w:ascii="Consolas" w:cs="Consolas" w:eastAsia="Consolas" w:hAnsi="Consolas"/>
                <w:color w:val="7A1526"/>
                <w:sz w:val="17"/>
                <w:szCs w:val="17"/>
              </w:rPr>
              <w:t xml:space="preserve">plantillas/eval_recomendador_topk.docx</w:t>
            </w:r>
            <w:r>
              <w:rPr>
                <w:rFonts w:ascii="Cambria" w:cs="Cambria" w:eastAsia="Cambria" w:hAnsi="Cambria"/>
                <w:color w:val="2D2D2D"/>
                <w:sz w:val="19"/>
                <w:szCs w:val="19"/>
              </w:rPr>
              <w:t xml:space="preserve"> Sección 4.</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matriz cliente-producto, el ALS con confianza, los </w:t>
            </w:r>
            <w:r>
              <w:rPr>
                <w:rFonts w:ascii="Cambria" w:cs="Cambria" w:eastAsia="Cambria" w:hAnsi="Cambria"/>
                <w:b/>
                <w:bCs/>
                <w:color w:val="2D2D2D"/>
                <w:sz w:val="19"/>
                <w:szCs w:val="19"/>
              </w:rPr>
              <w:t xml:space="preserve">top-N por cliente</w:t>
            </w:r>
            <w:r>
              <w:rPr>
                <w:rFonts w:ascii="Cambria" w:cs="Cambria" w:eastAsia="Cambria" w:hAnsi="Cambria"/>
                <w:color w:val="2D2D2D"/>
                <w:sz w:val="19"/>
                <w:szCs w:val="19"/>
              </w:rPr>
              <w:t xml:space="preserve"> y su valor de cross/up-selling — el borrador del entregable de la sesión. Actividad en parejas: construir la matriz, ajustar el ALS, generar el top-3 por cliente y cruzarlo con el precio; cada estudiante redacta </w:t>
            </w:r>
            <w:r>
              <w:rPr>
                <w:rFonts w:ascii="Cambria" w:cs="Cambria" w:eastAsia="Cambria" w:hAnsi="Cambria"/>
                <w:b/>
                <w:bCs/>
                <w:color w:val="2D2D2D"/>
                <w:sz w:val="19"/>
                <w:szCs w:val="19"/>
              </w:rPr>
              <w:t xml:space="preserve">su propia</w:t>
            </w:r>
            <w:r>
              <w:rPr>
                <w:rFonts w:ascii="Cambria" w:cs="Cambria" w:eastAsia="Cambria" w:hAnsi="Cambria"/>
                <w:color w:val="2D2D2D"/>
                <w:sz w:val="19"/>
                <w:szCs w:val="19"/>
              </w:rPr>
              <w:t xml:space="preserve"> recomendación de cross/up-selling con la justificación, porque la entrega es individual.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Errores a evitar con feedback implícito</w:t>
            </w:r>
          </w:p>
          <w:p>
            <w:pPr>
              <w:spacing w:after="70" w:line="265"/>
            </w:pPr>
            <w:r>
              <w:rPr>
                <w:rFonts w:ascii="Cambria" w:cs="Cambria" w:eastAsia="Cambria" w:hAnsi="Cambria"/>
                <w:color w:val="3A3A3A"/>
                <w:sz w:val="18"/>
                <w:szCs w:val="18"/>
              </w:rPr>
              <w:t xml:space="preserve">(a) Tratar los ceros de la matriz implícita como «no le gusta» (ausencia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rechazo). (b) Calcular RMSE en implícito (no hay calificación real). (c) Recomendar ítems </w:t>
            </w:r>
            <w:r>
              <w:rPr>
                <w:rFonts w:ascii="Cambria" w:cs="Cambria" w:eastAsia="Cambria" w:hAnsi="Cambria"/>
                <w:b/>
                <w:bCs/>
                <w:color w:val="3A3A3A"/>
                <w:sz w:val="18"/>
                <w:szCs w:val="18"/>
              </w:rPr>
              <w:t xml:space="preserve">ya comprados</w:t>
            </w:r>
            <w:r>
              <w:rPr>
                <w:rFonts w:ascii="Cambria" w:cs="Cambria" w:eastAsia="Cambria" w:hAnsi="Cambria"/>
                <w:color w:val="3A3A3A"/>
                <w:sz w:val="18"/>
                <w:szCs w:val="18"/>
              </w:rPr>
              <w:t xml:space="preserve"> (excluirlos). (d) Confundir la </w:t>
            </w:r>
            <w:r>
              <w:rPr>
                <w:rFonts w:ascii="Cambria" w:cs="Cambria" w:eastAsia="Cambria" w:hAnsi="Cambria"/>
                <w:b/>
                <w:bCs/>
                <w:color w:val="3A3A3A"/>
                <w:sz w:val="18"/>
                <w:szCs w:val="18"/>
              </w:rPr>
              <w:t xml:space="preserve">confianza</w:t>
            </w:r>
            <w:r>
              <w:rPr>
                <w:rFonts w:ascii="Cambria" w:cs="Cambria" w:eastAsia="Cambria" w:hAnsi="Cambria"/>
                <w:color w:val="3A3A3A"/>
                <w:sz w:val="18"/>
                <w:szCs w:val="18"/>
              </w:rPr>
              <w:t xml:space="preserve"> del ALS con una probabilidad de compra.</w:t>
            </w:r>
          </w:p>
        </w:tc>
      </w:tr>
    </w:tbl>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NLP (retirado, curso propio) y deep learning de recomendación. No re-explicar la similitud ni la SVD como álgebra más allá de 1-2 frases.</w:t>
      </w:r>
    </w:p>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CONEXIÓN CON EL ENTREGABLE Y CON EL PROYECTO INTEGRADOR</w:t>
      </w:r>
    </w:p>
    <w:p>
      <w:pPr>
        <w:keepNext/>
        <w:pBdr>
          <w:bottom w:val="single" w:color="E4002B" w:sz="14" w:space="8"/>
        </w:pBdr>
        <w:spacing w:after="140"/>
      </w:pPr>
      <w:r>
        <w:rPr>
          <w:rFonts w:ascii="Cambria" w:cs="Cambria" w:eastAsia="Cambria" w:hAnsi="Cambria"/>
          <w:i/>
          <w:iCs/>
          <w:color w:val="6E6E6E"/>
          <w:sz w:val="19"/>
          <w:szCs w:val="19"/>
        </w:rPr>
        <w:t xml:space="preserve">Entregable evaluable de la S14 y sustentación final</w:t>
      </w:r>
      <w:r>
        <w:rPr>
          <w:rFonts w:ascii="Cambria" w:cs="Cambria" w:eastAsia="Cambria" w:hAnsi="Cambria"/>
          <w:b/>
          <w:bCs/>
          <w:color w:val="7A1526"/>
          <w:sz w:val="19"/>
          <w:szCs w:val="19"/>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3.0   </w:t>
            </w:r>
            <w:r>
              <w:rPr>
                <w:rFonts w:ascii="Calibri" w:cs="Calibri" w:eastAsia="Calibri" w:hAnsi="Calibri"/>
                <w:b/>
                <w:bCs/>
                <w:color w:val="7A1526"/>
                <w:sz w:val="19"/>
                <w:szCs w:val="19"/>
              </w:rPr>
              <w:t xml:space="preserve">Convención Excel de la sesión</w:t>
            </w:r>
          </w:p>
          <w:p>
            <w:pPr>
              <w:spacing w:after="70" w:line="265"/>
            </w:pPr>
            <w:r>
              <w:rPr>
                <w:rFonts w:ascii="Cambria" w:cs="Cambria" w:eastAsia="Cambria" w:hAnsi="Cambria"/>
                <w:color w:val="3A3A3A"/>
                <w:sz w:val="18"/>
                <w:szCs w:val="18"/>
              </w:rPr>
              <w:t xml:space="preserve">Todo el análisis de la sesión respeta la convención innegociable del curso: </w:t>
            </w:r>
            <w:r>
              <w:rPr>
                <w:rFonts w:ascii="Cambria" w:cs="Cambria" w:eastAsia="Cambria" w:hAnsi="Cambria"/>
                <w:b/>
                <w:bCs/>
                <w:color w:val="3A3A3A"/>
                <w:sz w:val="18"/>
                <w:szCs w:val="18"/>
              </w:rPr>
              <w:t xml:space="preserve">los resultados y pruebas del modelo se exportan a </w:t>
            </w:r>
            <w:r>
              <w:rPr>
                <w:rFonts w:ascii="Consolas" w:cs="Consolas" w:eastAsia="Consolas" w:hAnsi="Consolas"/>
                <w:b/>
                <w:bCs/>
                <w:color w:val="7A1526"/>
                <w:sz w:val="16"/>
                <w:szCs w:val="16"/>
              </w:rPr>
              <w:t xml:space="preserve">resultados/S14_resultados.xlsx</w:t>
            </w:r>
            <w:r>
              <w:rPr>
                <w:rFonts w:ascii="Cambria" w:cs="Cambria" w:eastAsia="Cambria" w:hAnsi="Cambria"/>
                <w:b/>
                <w:bCs/>
                <w:color w:val="3A3A3A"/>
                <w:sz w:val="18"/>
                <w:szCs w:val="18"/>
              </w:rPr>
              <w:t xml:space="preserve"> (hoja recsys) y las gráficas de resultados se generan al leer ese Excel, nunca desde objetos en memoria.</w:t>
            </w:r>
            <w:r>
              <w:rPr>
                <w:rFonts w:ascii="Cambria" w:cs="Cambria" w:eastAsia="Cambria" w:hAnsi="Cambria"/>
                <w:color w:val="3A3A3A"/>
                <w:sz w:val="18"/>
                <w:szCs w:val="18"/>
              </w:rPr>
              <w:t xml:space="preserve"> El volcado incluye: RMSE de SVD (B2), baseline de media (B3), item/user-based (B4-B5), NDCG@10 SVD y popularidad (B6-B7), precisión@10 SVD y azar (B8-B9), más las tablas de RMSE por algoritmo, top-k y dispersión (cola larga). La validación numérica con tolerancias vive en el material de referencia de la sesión, que lee esta misma tabla de targets;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sin assert en las celdas.</w:t>
            </w:r>
          </w:p>
        </w:tc>
      </w:tr>
    </w:tbl>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S14</w:t>
      </w:r>
      <w:r>
        <w:rPr>
          <w:rFonts w:ascii="Cambria" w:cs="Cambria" w:eastAsia="Cambria" w:hAnsi="Cambria"/>
          <w:color w:val="2D2D2D"/>
          <w:sz w:val="20"/>
          <w:szCs w:val="20"/>
        </w:rPr>
        <w:t xml:space="preserve">: un </w:t>
      </w:r>
      <w:r>
        <w:rPr>
          <w:rFonts w:ascii="Cambria" w:cs="Cambria" w:eastAsia="Cambria" w:hAnsi="Cambria"/>
          <w:b/>
          <w:bCs/>
          <w:color w:val="2D2D2D"/>
          <w:sz w:val="20"/>
          <w:szCs w:val="20"/>
        </w:rPr>
        <w:t xml:space="preserve">recomendador con evaluación top-k</w:t>
      </w:r>
      <w:r>
        <w:rPr>
          <w:rFonts w:ascii="Cambria" w:cs="Cambria" w:eastAsia="Cambria" w:hAnsi="Cambria"/>
          <w:color w:val="2D2D2D"/>
          <w:sz w:val="20"/>
          <w:szCs w:val="20"/>
        </w:rPr>
        <w:t xml:space="preserve"> (NDCG@10/MAP@k sobre partición temporal) y una </w:t>
      </w:r>
      <w:r>
        <w:rPr>
          <w:rFonts w:ascii="Cambria" w:cs="Cambria" w:eastAsia="Cambria" w:hAnsi="Cambria"/>
          <w:b/>
          <w:bCs/>
          <w:color w:val="2D2D2D"/>
          <w:sz w:val="20"/>
          <w:szCs w:val="20"/>
        </w:rPr>
        <w:t xml:space="preserve">recomendación de negocio</w:t>
      </w:r>
      <w:r>
        <w:rPr>
          <w:rFonts w:ascii="Cambria" w:cs="Cambria" w:eastAsia="Cambria" w:hAnsi="Cambria"/>
          <w:color w:val="2D2D2D"/>
          <w:sz w:val="20"/>
          <w:szCs w:val="20"/>
        </w:rPr>
        <w:t xml:space="preserve"> (cross/up-selling).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las métricas top-k con sus baselines se estructuran con </w:t>
      </w:r>
      <w:r>
        <w:rPr>
          <w:rFonts w:ascii="Consolas" w:cs="Consolas" w:eastAsia="Consolas" w:hAnsi="Consolas"/>
          <w:color w:val="7A1526"/>
          <w:sz w:val="18"/>
          <w:szCs w:val="18"/>
        </w:rPr>
        <w:t xml:space="preserve">plantillas/eval_recomendador_topk.docx</w:t>
      </w:r>
      <w:r>
        <w:rPr>
          <w:rFonts w:ascii="Cambria" w:cs="Cambria" w:eastAsia="Cambria" w:hAnsi="Cambria"/>
          <w:color w:val="2D2D2D"/>
          <w:sz w:val="20"/>
          <w:szCs w:val="20"/>
        </w:rPr>
        <w:t xml:space="preserve"> y la matriz/partición con </w:t>
      </w:r>
      <w:r>
        <w:rPr>
          <w:rFonts w:ascii="Consolas" w:cs="Consolas" w:eastAsia="Consolas" w:hAnsi="Consolas"/>
          <w:color w:val="7A1526"/>
          <w:sz w:val="18"/>
          <w:szCs w:val="18"/>
        </w:rPr>
        <w:t xml:space="preserve">plantillas/guia_matriz_particion.docx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drills de la sesión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matriz + similitud item-based; colaborativo vs. content-based; NDCG@10 sobre partición temporal) practican exactamente las destrezas que la rúbrica califica.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 la segmentación a la personalización:</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segmentación</w:t>
            </w:r>
            <w:r>
              <w:rPr>
                <w:rFonts w:ascii="Cambria" w:cs="Cambria" w:eastAsia="Cambria" w:hAnsi="Cambria"/>
                <w:color w:val="2D2D2D"/>
                <w:sz w:val="19"/>
                <w:szCs w:val="19"/>
              </w:rPr>
              <w:t xml:space="preserve"> (S07) agrupa clientes; el recomendador da el paso final — una acción </w:t>
            </w:r>
            <w:r>
              <w:rPr>
                <w:rFonts w:ascii="Cambria" w:cs="Cambria" w:eastAsia="Cambria" w:hAnsi="Cambria"/>
                <w:b/>
                <w:bCs/>
                <w:color w:val="2D2D2D"/>
                <w:sz w:val="19"/>
                <w:szCs w:val="19"/>
              </w:rPr>
              <w:t xml:space="preserve">por cliente</w:t>
            </w:r>
            <w:r>
              <w:rPr>
                <w:rFonts w:ascii="Cambria" w:cs="Cambria" w:eastAsia="Cambria" w:hAnsi="Cambria"/>
                <w:color w:val="2D2D2D"/>
                <w:sz w:val="19"/>
                <w:szCs w:val="19"/>
              </w:rPr>
              <w:t xml:space="preserve">, no por grupo.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Del cross-selling por reglas al cross-selling por factores latentes:</w:t>
            </w:r>
            <w:r>
              <w:rPr>
                <w:rFonts w:ascii="Cambria" w:cs="Cambria" w:eastAsia="Cambria" w:hAnsi="Cambria"/>
                <w:color w:val="2D2D2D"/>
                <w:sz w:val="19"/>
                <w:szCs w:val="19"/>
              </w:rPr>
              <w:t xml:space="preserve"> las </w:t>
            </w:r>
            <w:r>
              <w:rPr>
                <w:rFonts w:ascii="Cambria" w:cs="Cambria" w:eastAsia="Cambria" w:hAnsi="Cambria"/>
                <w:b/>
                <w:bCs/>
                <w:color w:val="2D2D2D"/>
                <w:sz w:val="19"/>
                <w:szCs w:val="19"/>
              </w:rPr>
              <w:t xml:space="preserve">reglas de asociación</w:t>
            </w:r>
            <w:r>
              <w:rPr>
                <w:rFonts w:ascii="Cambria" w:cs="Cambria" w:eastAsia="Cambria" w:hAnsi="Cambria"/>
                <w:color w:val="2D2D2D"/>
                <w:sz w:val="19"/>
                <w:szCs w:val="19"/>
              </w:rPr>
              <w:t xml:space="preserve"> (S08) son recomendación por co-ocurrencia; la factorización generaliza a pares nunca vistos y aprende gustos latentes.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 la retención al a-quién-recomendar:</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CLV / churn</w:t>
            </w:r>
            <w:r>
              <w:rPr>
                <w:rFonts w:ascii="Cambria" w:cs="Cambria" w:eastAsia="Cambria" w:hAnsi="Cambria"/>
                <w:color w:val="2D2D2D"/>
                <w:sz w:val="19"/>
                <w:szCs w:val="19"/>
              </w:rPr>
              <w:t xml:space="preserve"> (S13) prioriza sobre qué clientes vale la pena actuar; el recomendador dice </w:t>
            </w:r>
            <w:r>
              <w:rPr>
                <w:rFonts w:ascii="Cambria" w:cs="Cambria" w:eastAsia="Cambria" w:hAnsi="Cambria"/>
                <w:b/>
                <w:bCs/>
                <w:color w:val="2D2D2D"/>
                <w:sz w:val="19"/>
                <w:szCs w:val="19"/>
              </w:rPr>
              <w:t xml:space="preserve">qué</w:t>
            </w:r>
            <w:r>
              <w:rPr>
                <w:rFonts w:ascii="Cambria" w:cs="Cambria" w:eastAsia="Cambria" w:hAnsi="Cambria"/>
                <w:color w:val="2D2D2D"/>
                <w:sz w:val="19"/>
                <w:szCs w:val="19"/>
              </w:rPr>
              <w:t xml:space="preserve"> ofrecerles.</w:t>
            </w:r>
          </w:p>
        </w:tc>
      </w:tr>
    </w:tbl>
    <w:p>
      <w:pPr>
        <w:spacing w:after="180"/>
      </w:pPr>
    </w:p>
    <w:p>
      <w:pPr>
        <w:spacing w:after="260" w:line="265"/>
      </w:pPr>
      <w:r>
        <w:rPr>
          <w:rFonts w:ascii="Cambria" w:cs="Cambria" w:eastAsia="Cambria" w:hAnsi="Cambria"/>
          <w:i/>
          <w:iCs/>
          <w:color w:val="6E6E6E"/>
          <w:sz w:val="18"/>
          <w:szCs w:val="18"/>
        </w:rPr>
        <w:t xml:space="preserve">Con esta sesión se </w:t>
      </w:r>
      <w:r>
        <w:rPr>
          <w:rFonts w:ascii="Cambria" w:cs="Cambria" w:eastAsia="Cambria" w:hAnsi="Cambria"/>
          <w:b/>
          <w:bCs/>
          <w:i/>
          <w:iCs/>
          <w:color w:val="6E6E6E"/>
          <w:sz w:val="18"/>
          <w:szCs w:val="18"/>
        </w:rPr>
        <w:t xml:space="preserve">cierra el curso</w:t>
      </w:r>
      <w:r>
        <w:rPr>
          <w:rFonts w:ascii="Cambria" w:cs="Cambria" w:eastAsia="Cambria" w:hAnsi="Cambria"/>
          <w:i/>
          <w:iCs/>
          <w:color w:val="6E6E6E"/>
          <w:sz w:val="18"/>
          <w:szCs w:val="18"/>
        </w:rPr>
        <w:t xml:space="preserve">: el recomendador entra en la </w:t>
      </w:r>
      <w:r>
        <w:rPr>
          <w:rFonts w:ascii="Cambria" w:cs="Cambria" w:eastAsia="Cambria" w:hAnsi="Cambria"/>
          <w:b/>
          <w:bCs/>
          <w:i/>
          <w:iCs/>
          <w:color w:val="6E6E6E"/>
          <w:sz w:val="18"/>
          <w:szCs w:val="18"/>
        </w:rPr>
        <w:t xml:space="preserve">sustentación final</w:t>
      </w:r>
      <w:r>
        <w:rPr>
          <w:rFonts w:ascii="Cambria" w:cs="Cambria" w:eastAsia="Cambria" w:hAnsi="Cambria"/>
          <w:i/>
          <w:iCs/>
          <w:color w:val="6E6E6E"/>
          <w:sz w:val="18"/>
          <w:szCs w:val="18"/>
        </w:rPr>
        <w:t xml:space="preserve"> como la pieza que traduce todo el análisis (datos, segmentos, asociación, supervivencia, causalidad) en una </w:t>
      </w:r>
      <w:r>
        <w:rPr>
          <w:rFonts w:ascii="Cambria" w:cs="Cambria" w:eastAsia="Cambria" w:hAnsi="Cambria"/>
          <w:b/>
          <w:bCs/>
          <w:i/>
          <w:iCs/>
          <w:color w:val="6E6E6E"/>
          <w:sz w:val="18"/>
          <w:szCs w:val="18"/>
        </w:rPr>
        <w:t xml:space="preserve">acción concreta sobre cada cliente</w:t>
      </w:r>
      <w:r>
        <w:rPr>
          <w:rFonts w:ascii="Cambria" w:cs="Cambria" w:eastAsia="Cambria" w:hAnsi="Cambria"/>
          <w:i/>
          <w:iCs/>
          <w:color w:val="6E6E6E"/>
          <w:sz w:val="18"/>
          <w:szCs w:val="18"/>
        </w:rPr>
        <w:t xml:space="preserve">, siempre con el mismo protocolo — empezar en el paper que fundó la técnica (Koren 2009), replicar su resultado sobre el dataset canónico (MovieLens) y recién entonces llevarlo a los datos de la organización (Online Retail II).</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la entrega.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targets </w:t>
            </w:r>
            <w:r>
              <w:rPr>
                <w:rFonts w:ascii="Cambria" w:cs="Cambria" w:eastAsia="Cambria" w:hAnsi="Cambria"/>
                <w:b/>
                <w:bCs/>
                <w:color w:val="2D2D2D"/>
                <w:sz w:val="19"/>
                <w:szCs w:val="19"/>
              </w:rPr>
              <w:t xml:space="preserve">T1-T5</w:t>
            </w:r>
            <w:r>
              <w:rPr>
                <w:rFonts w:ascii="Cambria" w:cs="Cambria" w:eastAsia="Cambria" w:hAnsi="Cambria"/>
                <w:color w:val="2D2D2D"/>
                <w:sz w:val="19"/>
                <w:szCs w:val="19"/>
              </w:rPr>
              <w:t xml:space="preserve"> y su fuente (Koren 2009 / Sarwar 2001 / venv), y que MovieLens es el sustituto canónico del Netflix Prize.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w:t>
            </w:r>
            <w:r>
              <w:rPr>
                <w:rFonts w:ascii="Cambria" w:cs="Cambria" w:eastAsia="Cambria" w:hAnsi="Cambria"/>
                <w:b/>
                <w:bCs/>
                <w:color w:val="2D2D2D"/>
                <w:sz w:val="19"/>
                <w:szCs w:val="19"/>
              </w:rPr>
              <w:t xml:space="preserve">ml-100k</w:t>
            </w:r>
            <w:r>
              <w:rPr>
                <w:rFonts w:ascii="Cambria" w:cs="Cambria" w:eastAsia="Cambria" w:hAnsi="Cambria"/>
                <w:color w:val="2D2D2D"/>
                <w:sz w:val="19"/>
                <w:szCs w:val="19"/>
              </w:rPr>
              <w:t xml:space="preserve"> (100.000 / 943 / 1.682, μ≈3,53) con la fecha (DD/MM/YYYY), y se midió la </w:t>
            </w:r>
            <w:r>
              <w:rPr>
                <w:rFonts w:ascii="Cambria" w:cs="Cambria" w:eastAsia="Cambria" w:hAnsi="Cambria"/>
                <w:b/>
                <w:bCs/>
                <w:color w:val="2D2D2D"/>
                <w:sz w:val="19"/>
                <w:szCs w:val="19"/>
              </w:rPr>
              <w:t xml:space="preserve">dispersión</w:t>
            </w:r>
            <w:r>
              <w:rPr>
                <w:rFonts w:ascii="Cambria" w:cs="Cambria" w:eastAsia="Cambria" w:hAnsi="Cambria"/>
                <w:color w:val="2D2D2D"/>
                <w:sz w:val="19"/>
                <w:szCs w:val="19"/>
              </w:rPr>
              <w:t xml:space="preserve"> (93,7 %).</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corrieron los </w:t>
            </w:r>
            <w:r>
              <w:rPr>
                <w:rFonts w:ascii="Cambria" w:cs="Cambria" w:eastAsia="Cambria" w:hAnsi="Cambria"/>
                <w:b/>
                <w:bCs/>
                <w:color w:val="2D2D2D"/>
                <w:sz w:val="19"/>
                <w:szCs w:val="19"/>
              </w:rPr>
              <w:t xml:space="preserve">baselines</w:t>
            </w:r>
            <w:r>
              <w:rPr>
                <w:rFonts w:ascii="Cambria" w:cs="Cambria" w:eastAsia="Cambria" w:hAnsi="Cambria"/>
                <w:color w:val="2D2D2D"/>
                <w:sz w:val="19"/>
                <w:szCs w:val="19"/>
              </w:rPr>
              <w:t xml:space="preserve"> (media 1,1257, azar ≈1,52) — el suelo.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el </w:t>
            </w:r>
            <w:r>
              <w:rPr>
                <w:rFonts w:ascii="Cambria" w:cs="Cambria" w:eastAsia="Cambria" w:hAnsi="Cambria"/>
                <w:b/>
                <w:bCs/>
                <w:color w:val="2D2D2D"/>
                <w:sz w:val="19"/>
                <w:szCs w:val="19"/>
              </w:rPr>
              <w:t xml:space="preserve">item-based</w:t>
            </w:r>
            <w:r>
              <w:rPr>
                <w:rFonts w:ascii="Cambria" w:cs="Cambria" w:eastAsia="Cambria" w:hAnsi="Cambria"/>
                <w:color w:val="2D2D2D"/>
                <w:sz w:val="19"/>
                <w:szCs w:val="19"/>
              </w:rPr>
              <w:t xml:space="preserve"> (0,9155) y el </w:t>
            </w:r>
            <w:r>
              <w:rPr>
                <w:rFonts w:ascii="Cambria" w:cs="Cambria" w:eastAsia="Cambria" w:hAnsi="Cambria"/>
                <w:b/>
                <w:bCs/>
                <w:color w:val="2D2D2D"/>
                <w:sz w:val="19"/>
                <w:szCs w:val="19"/>
              </w:rPr>
              <w:t xml:space="preserve">user-based</w:t>
            </w:r>
            <w:r>
              <w:rPr>
                <w:rFonts w:ascii="Cambria" w:cs="Cambria" w:eastAsia="Cambria" w:hAnsi="Cambria"/>
                <w:color w:val="2D2D2D"/>
                <w:sz w:val="19"/>
                <w:szCs w:val="19"/>
              </w:rPr>
              <w:t xml:space="preserve"> (0,9789): item &lt; user (</w:t>
            </w:r>
            <w:r>
              <w:rPr>
                <w:rFonts w:ascii="Cambria" w:cs="Cambria" w:eastAsia="Cambria" w:hAnsi="Cambria"/>
                <w:b/>
                <w:bCs/>
                <w:color w:val="2D2D2D"/>
                <w:sz w:val="19"/>
                <w:szCs w:val="19"/>
              </w:rPr>
              <w:t xml:space="preserve">T3, Sarwar</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la </w:t>
            </w:r>
            <w:r>
              <w:rPr>
                <w:rFonts w:ascii="Cambria" w:cs="Cambria" w:eastAsia="Cambria" w:hAnsi="Cambria"/>
                <w:b/>
                <w:bCs/>
                <w:color w:val="2D2D2D"/>
                <w:sz w:val="19"/>
                <w:szCs w:val="19"/>
              </w:rPr>
              <w:t xml:space="preserve">SVD</w:t>
            </w:r>
            <w:r>
              <w:rPr>
                <w:rFonts w:ascii="Cambria" w:cs="Cambria" w:eastAsia="Cambria" w:hAnsi="Cambria"/>
                <w:color w:val="2D2D2D"/>
                <w:sz w:val="19"/>
                <w:szCs w:val="19"/>
              </w:rPr>
              <w:t xml:space="preserve"> (0,9350, </w:t>
            </w:r>
            <w:r>
              <w:rPr>
                <w:rFonts w:ascii="Cambria" w:cs="Cambria" w:eastAsia="Cambria" w:hAnsi="Cambria"/>
                <w:b/>
                <w:bCs/>
                <w:color w:val="2D2D2D"/>
                <w:sz w:val="19"/>
                <w:szCs w:val="19"/>
              </w:rPr>
              <w:t xml:space="preserve">T1</w:t>
            </w:r>
            <w:r>
              <w:rPr>
                <w:rFonts w:ascii="Cambria" w:cs="Cambria" w:eastAsia="Cambria" w:hAnsi="Cambria"/>
                <w:color w:val="2D2D2D"/>
                <w:sz w:val="19"/>
                <w:szCs w:val="19"/>
              </w:rPr>
              <w:t xml:space="preserve">) y se verificó </w:t>
            </w:r>
            <w:r>
              <w:rPr>
                <w:rFonts w:ascii="Cambria" w:cs="Cambria" w:eastAsia="Cambria" w:hAnsi="Cambria"/>
                <w:b/>
                <w:bCs/>
                <w:color w:val="2D2D2D"/>
                <w:sz w:val="19"/>
                <w:szCs w:val="19"/>
              </w:rPr>
              <w:t xml:space="preserve">SVD &lt; media &lt; azar</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SVD &lt; solo-sesgos</w:t>
            </w:r>
            <w:r>
              <w:rPr>
                <w:rFonts w:ascii="Cambria" w:cs="Cambria" w:eastAsia="Cambria" w:hAnsi="Cambria"/>
                <w:color w:val="2D2D2D"/>
                <w:sz w:val="19"/>
                <w:szCs w:val="19"/>
              </w:rPr>
              <w:t xml:space="preserve"> (0,9436) (</w:t>
            </w:r>
            <w:r>
              <w:rPr>
                <w:rFonts w:ascii="Cambria" w:cs="Cambria" w:eastAsia="Cambria" w:hAnsi="Cambria"/>
                <w:b/>
                <w:bCs/>
                <w:color w:val="2D2D2D"/>
                <w:sz w:val="19"/>
                <w:szCs w:val="19"/>
              </w:rPr>
              <w:t xml:space="preserve">T2</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construyó el </w:t>
            </w:r>
            <w:r>
              <w:rPr>
                <w:rFonts w:ascii="Cambria" w:cs="Cambria" w:eastAsia="Cambria" w:hAnsi="Cambria"/>
                <w:b/>
                <w:bCs/>
                <w:color w:val="2D2D2D"/>
                <w:sz w:val="19"/>
                <w:szCs w:val="19"/>
              </w:rPr>
              <w:t xml:space="preserve">content-based</w:t>
            </w:r>
            <w:r>
              <w:rPr>
                <w:rFonts w:ascii="Cambria" w:cs="Cambria" w:eastAsia="Cambria" w:hAnsi="Cambria"/>
                <w:color w:val="2D2D2D"/>
                <w:sz w:val="19"/>
                <w:szCs w:val="19"/>
              </w:rPr>
              <w:t xml:space="preserve"> por géneros y se contrastó con el colaborativo (</w:t>
            </w:r>
            <w:r>
              <w:rPr>
                <w:rFonts w:ascii="Cambria" w:cs="Cambria" w:eastAsia="Cambria" w:hAnsi="Cambria"/>
                <w:b/>
                <w:bCs/>
                <w:color w:val="2D2D2D"/>
                <w:sz w:val="19"/>
                <w:szCs w:val="19"/>
              </w:rPr>
              <w:t xml:space="preserve">drill 2</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ilustró el </w:t>
            </w:r>
            <w:r>
              <w:rPr>
                <w:rFonts w:ascii="Cambria" w:cs="Cambria" w:eastAsia="Cambria" w:hAnsi="Cambria"/>
                <w:b/>
                <w:bCs/>
                <w:color w:val="2D2D2D"/>
                <w:sz w:val="19"/>
                <w:szCs w:val="19"/>
              </w:rPr>
              <w:t xml:space="preserve">cold start</w:t>
            </w:r>
            <w:r>
              <w:rPr>
                <w:rFonts w:ascii="Cambria" w:cs="Cambria" w:eastAsia="Cambria" w:hAnsi="Cambria"/>
                <w:color w:val="2D2D2D"/>
                <w:sz w:val="19"/>
                <w:szCs w:val="19"/>
              </w:rPr>
              <w:t xml:space="preserve"> (usuario nuevo sobre ítem conocido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μ + </w:t>
            </w:r>
            <w:r>
              <w:rPr>
                <w:rFonts w:ascii="Consolas" w:cs="Consolas" w:eastAsia="Consolas" w:hAnsi="Consolas"/>
                <w:color w:val="7A1526"/>
                <w:sz w:val="17"/>
                <w:szCs w:val="17"/>
              </w:rPr>
              <w:t xml:space="preserve">b_i</w:t>
            </w:r>
            <w:r>
              <w:rPr>
                <w:rFonts w:ascii="Cambria" w:cs="Cambria" w:eastAsia="Cambria" w:hAnsi="Cambria"/>
                <w:color w:val="2D2D2D"/>
                <w:sz w:val="19"/>
                <w:szCs w:val="19"/>
              </w:rPr>
              <w:t xml:space="preserve">; μ exacto solo si el ítem también es nuevo) y la </w:t>
            </w:r>
            <w:r>
              <w:rPr>
                <w:rFonts w:ascii="Cambria" w:cs="Cambria" w:eastAsia="Cambria" w:hAnsi="Cambria"/>
                <w:b/>
                <w:bCs/>
                <w:color w:val="2D2D2D"/>
                <w:sz w:val="19"/>
                <w:szCs w:val="19"/>
              </w:rPr>
              <w:t xml:space="preserve">cola larga</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evaluó con </w:t>
            </w:r>
            <w:r>
              <w:rPr>
                <w:rFonts w:ascii="Cambria" w:cs="Cambria" w:eastAsia="Cambria" w:hAnsi="Cambria"/>
                <w:b/>
                <w:bCs/>
                <w:color w:val="2D2D2D"/>
                <w:sz w:val="19"/>
                <w:szCs w:val="19"/>
              </w:rPr>
              <w:t xml:space="preserve">partición temporal</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NDCG@10 SVD 0,7789 ≈ popularidad 0,7775</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T4</w:t>
            </w:r>
            <w:r>
              <w:rPr>
                <w:rFonts w:ascii="Cambria" w:cs="Cambria" w:eastAsia="Cambria" w:hAnsi="Cambria"/>
                <w:color w:val="2D2D2D"/>
                <w:sz w:val="19"/>
                <w:szCs w:val="19"/>
              </w:rPr>
              <w:t xml:space="preserve"> — empate dentro del ruido, diferencia menor a 0,02; el objetivo robusto es el </w:t>
            </w:r>
            <w:r>
              <w:rPr>
                <w:rFonts w:ascii="Cambria" w:cs="Cambria" w:eastAsia="Cambria" w:hAnsi="Cambria"/>
                <w:b/>
                <w:bCs/>
                <w:color w:val="2D2D2D"/>
                <w:sz w:val="19"/>
                <w:szCs w:val="19"/>
              </w:rPr>
              <w:t xml:space="preserve">RMSE</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precisión@10 SVD 0,7169 &gt; azar 0,5212</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T5</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drill 3</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llevó al negocio con </w:t>
            </w:r>
            <w:r>
              <w:rPr>
                <w:rFonts w:ascii="Consolas" w:cs="Consolas" w:eastAsia="Consolas" w:hAnsi="Consolas"/>
                <w:b/>
                <w:bCs/>
                <w:color w:val="7A1526"/>
                <w:sz w:val="17"/>
                <w:szCs w:val="17"/>
              </w:rPr>
              <w:t xml:space="preserve">implicit</w:t>
            </w:r>
            <w:r>
              <w:rPr>
                <w:rFonts w:ascii="Cambria" w:cs="Cambria" w:eastAsia="Cambria" w:hAnsi="Cambria"/>
                <w:b/>
                <w:bCs/>
                <w:color w:val="2D2D2D"/>
                <w:sz w:val="19"/>
                <w:szCs w:val="19"/>
              </w:rPr>
              <w:t xml:space="preserve"> ALS</w:t>
            </w:r>
            <w:r>
              <w:rPr>
                <w:rFonts w:ascii="Cambria" w:cs="Cambria" w:eastAsia="Cambria" w:hAnsi="Cambria"/>
                <w:color w:val="2D2D2D"/>
                <w:sz w:val="19"/>
                <w:szCs w:val="19"/>
              </w:rPr>
              <w:t xml:space="preserve"> sobre Online Retail II (matriz 80×2.235), top-N por cliente y valor de cross/up-selling; todo en </w:t>
            </w:r>
            <w:r>
              <w:rPr>
                <w:rFonts w:ascii="Consolas" w:cs="Consolas" w:eastAsia="Consolas" w:hAnsi="Consolas"/>
                <w:color w:val="7A1526"/>
                <w:sz w:val="17"/>
                <w:szCs w:val="17"/>
              </w:rPr>
              <w:t xml:space="preserve">resultados/S14_resultados.xlsx</w:t>
            </w:r>
            <w:r>
              <w:rPr>
                <w:rFonts w:ascii="Cambria" w:cs="Cambria" w:eastAsia="Cambria" w:hAnsi="Cambria"/>
                <w:color w:val="2D2D2D"/>
                <w:sz w:val="19"/>
                <w:szCs w:val="19"/>
              </w:rPr>
              <w:t xml:space="preserve"> (hoja recsys).</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14: Sistemas de recomendación (filtrado colaborativo, SVD, evaluación top-k)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14</dc:title>
  <dc:creator>UPC</dc:creator>
  <dc:description>Sistemas de recomendación: filtrado colaborativo, SVD y evaluación top-k</dc:description>
  <cp:lastModifiedBy>Un-named</cp:lastModifiedBy>
  <cp:revision>1</cp:revision>
  <dcterms:created xsi:type="dcterms:W3CDTF">2026-09-11T14:14:35.423Z</dcterms:created>
  <dcterms:modified xsi:type="dcterms:W3CDTF">2026-09-11T14:14:35.423Z</dcterms:modified>
</cp:coreProperties>
</file>

<file path=docProps/custom.xml><?xml version="1.0" encoding="utf-8"?>
<Properties xmlns="http://schemas.openxmlformats.org/officeDocument/2006/custom-properties" xmlns:vt="http://schemas.openxmlformats.org/officeDocument/2006/docPropsVTypes"/>
</file>