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evaluación de recomendadores — métricas top-k (precisión@k, recall@k, MAP@k, NDCG@k) con partición temporal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S14 — Herramientas para la Ciencia de Datos (UPC). Registra, bajo un </w:t>
      </w:r>
      <w:r>
        <w:rPr>
          <w:b/>
          <w:color w:val="2D2D2D"/>
        </w:rPr>
        <w:t>mismo protocolo reproducible</w:t>
      </w:r>
      <w:r>
        <w:rPr>
          <w:color w:val="2D2D2D"/>
        </w:rPr>
        <w:t xml:space="preserve">, la </w:t>
      </w:r>
      <w:r>
        <w:rPr>
          <w:b/>
          <w:color w:val="2D2D2D"/>
        </w:rPr>
        <w:t>evaluación offline de un recomendador</w:t>
      </w:r>
      <w:r>
        <w:rPr>
          <w:color w:val="2D2D2D"/>
        </w:rPr>
        <w:t xml:space="preserve"> con métricas </w:t>
      </w:r>
      <w:r>
        <w:rPr>
          <w:b/>
          <w:color w:val="2D2D2D"/>
        </w:rPr>
        <w:t>top-k</w:t>
      </w:r>
      <w:r>
        <w:rPr>
          <w:color w:val="2D2D2D"/>
        </w:rPr>
        <w:t xml:space="preserve">: precisión@k y recall@k (con su umbral de relevancia), </w:t>
      </w:r>
      <w:r>
        <w:rPr>
          <w:b/>
          <w:color w:val="2D2D2D"/>
        </w:rPr>
        <w:t>MAP@k</w:t>
      </w:r>
      <w:r>
        <w:rPr>
          <w:color w:val="2D2D2D"/>
        </w:rPr>
        <w:t xml:space="preserve"> y </w:t>
      </w:r>
      <w:r>
        <w:rPr>
          <w:b/>
          <w:color w:val="2D2D2D"/>
        </w:rPr>
        <w:t>NDCG@k</w:t>
      </w:r>
      <w:r>
        <w:rPr>
          <w:color w:val="2D2D2D"/>
        </w:rPr>
        <w:t xml:space="preserve"> (sensible al orden), comparadas siempre contra los baselines de </w:t>
      </w:r>
      <w:r>
        <w:rPr>
          <w:b/>
          <w:color w:val="2D2D2D"/>
        </w:rPr>
        <w:t>popularidad</w:t>
      </w:r>
      <w:r>
        <w:rPr>
          <w:color w:val="2D2D2D"/>
        </w:rPr>
        <w:t xml:space="preserve"> y </w:t>
      </w:r>
      <w:r>
        <w:rPr>
          <w:b/>
          <w:color w:val="2D2D2D"/>
        </w:rPr>
        <w:t>azar</w:t>
      </w:r>
      <w:r>
        <w:rPr>
          <w:color w:val="2D2D2D"/>
        </w:rPr>
        <w:t xml:space="preserve">, y calculadas sobre una </w:t>
      </w:r>
      <w:r>
        <w:rPr>
          <w:b/>
          <w:color w:val="2D2D2D"/>
        </w:rPr>
        <w:t>partición temporal</w:t>
      </w:r>
      <w:r>
        <w:rPr>
          <w:color w:val="2D2D2D"/>
        </w:rPr>
        <w:t xml:space="preserve"> (entrenar con el pasado, evaluar en el futuro). Se completa con los resultados del cuaderno </w:t>
      </w:r>
      <w:r>
        <w:rPr>
          <w:rFonts w:ascii="Consolas" w:hAnsi="Consolas"/>
          <w:color w:val="2D2D2D"/>
          <w:sz w:val="19"/>
        </w:rPr>
        <w:t>notebook/S14_recomendacion.ipynb</w:t>
      </w:r>
      <w:r>
        <w:rPr>
          <w:color w:val="2D2D2D"/>
        </w:rPr>
        <w:t xml:space="preserve"> y del archivo </w:t>
      </w:r>
      <w:r>
        <w:rPr>
          <w:rFonts w:ascii="Consolas" w:hAnsi="Consolas"/>
          <w:color w:val="2D2D2D"/>
          <w:sz w:val="19"/>
        </w:rPr>
        <w:t>resultados/S14_resultados.xlsx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recsys</w:t>
      </w:r>
      <w:r>
        <w:rPr>
          <w:color w:val="2D2D2D"/>
        </w:rPr>
        <w:t xml:space="preserve">). La construcción de la matriz usuario-ítem y de la partición temporal se detalla en la guía hermana </w:t>
      </w:r>
      <w:r>
        <w:rPr>
          <w:rFonts w:ascii="Consolas" w:hAnsi="Consolas"/>
          <w:color w:val="2D2D2D"/>
          <w:sz w:val="19"/>
        </w:rPr>
        <w:t>plantillas/guia_matriz_particion.docx</w:t>
      </w:r>
      <w:r>
        <w:rPr>
          <w:color w:val="2D2D2D"/>
        </w:rPr>
        <w:t>. Español impersonal. Fechas DD/MM/YYYY, UTF-8. Términos técnicos en inglés (top-k, NDCG, MAP, precision, recall, cold start, hit).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Un recomendador solo es útil si su </w:t>
      </w:r>
      <w:r>
        <w:rPr>
          <w:b/>
        </w:rPr>
        <w:t>lista corta</w:t>
      </w:r>
      <w:r>
        <w:t xml:space="preserve"> (el carrusel «para ti», el top-N) acierta. Por eso no se evalúa con el error de predicción de nota (RMSE) sino con métricas </w:t>
      </w:r>
      <w:r>
        <w:rPr>
          <w:b/>
        </w:rPr>
        <w:t>top-k</w:t>
      </w:r>
      <w:r>
        <w:t xml:space="preserve">, que miden la calidad del </w:t>
      </w:r>
      <w:r>
        <w:rPr>
          <w:b/>
        </w:rPr>
        <w:t>escaparate</w:t>
      </w:r>
      <w:r>
        <w:t xml:space="preserve"> que ve el usuario: </w:t>
      </w:r>
      <w:r>
        <w:rPr>
          <w:b/>
        </w:rPr>
        <w:t>precisión@k</w:t>
      </w:r>
      <w:r>
        <w:t xml:space="preserve"> (de lo recomendado, cuánto acierta), </w:t>
      </w:r>
      <w:r>
        <w:rPr>
          <w:b/>
        </w:rPr>
        <w:t>recall@k</w:t>
      </w:r>
      <w:r>
        <w:t xml:space="preserve"> (de lo que le gusta, cuánto se le muestra), </w:t>
      </w:r>
      <w:r>
        <w:rPr>
          <w:b/>
        </w:rPr>
        <w:t>MAP@k</w:t>
      </w:r>
      <w:r>
        <w:t xml:space="preserve"> (precisión media agregada) y </w:t>
      </w:r>
      <w:r>
        <w:rPr>
          <w:b/>
        </w:rPr>
        <w:t>NDCG@k</w:t>
      </w:r>
      <w:r>
        <w:t xml:space="preserve"> (premia poner lo relevante </w:t>
      </w:r>
      <w:r>
        <w:rPr>
          <w:b/>
        </w:rPr>
        <w:t>arriba</w:t>
      </w:r>
      <w:r>
        <w:t xml:space="preserve">, donde están los clics). Dos reglas hacen la evaluación honesta: (1) toda métrica se compara contra un baseline de </w:t>
      </w:r>
      <w:r>
        <w:rPr>
          <w:b/>
        </w:rPr>
        <w:t>popularidad</w:t>
      </w:r>
      <w:r>
        <w:t xml:space="preserve"> (recomendar los éxitos) y de </w:t>
      </w:r>
      <w:r>
        <w:rPr>
          <w:b/>
        </w:rPr>
        <w:t>azar</w:t>
      </w:r>
      <w:r>
        <w:t xml:space="preserve"> —un NDCG «alto» que no supere a la popularidad no demuestra personalización—; y (2) la partición es </w:t>
      </w:r>
      <w:r>
        <w:rPr>
          <w:b/>
        </w:rPr>
        <w:t>temporal</w:t>
      </w:r>
      <w:r>
        <w:t xml:space="preserve">, no aleatoria: se entrena con el pasado y se evalúa en el futuro, lo que reproduce el uso real. Una partición aleatoria filtra información del futuro (data leakage) e </w:t>
      </w:r>
      <w:r>
        <w:rPr>
          <w:b/>
        </w:rPr>
        <w:t>infla</w:t>
      </w:r>
      <w:r>
        <w:t xml:space="preserve"> el desempeño. Esta plantilla obliga a declarar el protocolo (k, umbral de relevancia, conjunto candidato, corte temporal) para que el resultado sea trazable y reproducible.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análisis (ficha rellenable)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____/____/________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/ fuente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MovieLens 100k, </w:t>
            </w:r>
            <w:r>
              <w:rPr>
                <w:rFonts w:ascii="Consolas" w:hAnsi="Consolas"/>
                <w:color w:val="9B1B30"/>
                <w:sz w:val="19"/>
              </w:rPr>
              <w:t>data/ml100k_ratings.csv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Tipo de feedback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explícito (rating 1-5) / implícito (compra, clic)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Modelo evaluado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SVD de </w:t>
            </w:r>
            <w:r>
              <w:rPr>
                <w:rFonts w:ascii="Consolas" w:hAnsi="Consolas"/>
                <w:color w:val="9B1B30"/>
                <w:sz w:val="19"/>
              </w:rPr>
              <w:t>surprise</w:t>
            </w:r>
            <w:r>
              <w:rPr>
                <w:sz w:val="19"/>
              </w:rPr>
              <w:t>, factores latentes)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Baselines de comparación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popularidad (media del ítem) — azar (nota uniforme)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</w:t>
            </w:r>
            <w:r>
              <w:rPr>
                <w:sz w:val="19"/>
              </w:rPr>
              <w:t xml:space="preserve"> (longitud de la lista)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(p. ej. 10)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Umbral de relevancia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(por defecto </w:t>
            </w:r>
            <w:r>
              <w:rPr>
                <w:b/>
                <w:sz w:val="19"/>
              </w:rPr>
              <w:t>3,5</w:t>
            </w:r>
            <w:r>
              <w:rPr>
                <w:sz w:val="19"/>
              </w:rPr>
              <w:t xml:space="preserve"> en </w:t>
            </w:r>
            <w:r>
              <w:rPr>
                <w:rFonts w:ascii="Consolas" w:hAnsi="Consolas"/>
                <w:color w:val="9B1B30"/>
                <w:sz w:val="19"/>
              </w:rPr>
              <w:t>surprise</w:t>
            </w:r>
            <w:r>
              <w:rPr>
                <w:sz w:val="19"/>
              </w:rPr>
              <w:t>; relevante = nota real ≥ umbral)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Tipo de </w:t>
            </w:r>
            <w:r>
              <w:rPr>
                <w:b/>
                <w:sz w:val="19"/>
              </w:rPr>
              <w:t>partición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temporal</w:t>
            </w:r>
            <w:r>
              <w:rPr>
                <w:sz w:val="19"/>
              </w:rPr>
              <w:t xml:space="preserve"> (por </w:t>
            </w:r>
            <w:r>
              <w:rPr>
                <w:rFonts w:ascii="Consolas" w:hAnsi="Consolas"/>
                <w:color w:val="9B1B30"/>
                <w:sz w:val="19"/>
              </w:rPr>
              <w:t>timestamp</w:t>
            </w:r>
            <w:r>
              <w:rPr>
                <w:sz w:val="19"/>
              </w:rPr>
              <w:t>) — corte ____ % pasado / ____ % futuro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Herramienta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Python del venv (</w:t>
            </w:r>
            <w:r>
              <w:rPr>
                <w:rFonts w:ascii="Consolas" w:hAnsi="Consolas"/>
                <w:color w:val="9B1B30"/>
                <w:sz w:val="19"/>
              </w:rPr>
              <w:t>surprise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color w:val="9B1B30"/>
                <w:sz w:val="19"/>
              </w:rPr>
              <w:t>SVD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train_test_split</w:t>
            </w:r>
            <w:r>
              <w:rPr>
                <w:sz w:val="19"/>
              </w:rPr>
              <w:t xml:space="preserve">; métricas top-k propias) — </w:t>
            </w:r>
            <w:r>
              <w:rPr>
                <w:rFonts w:ascii="Consolas" w:hAnsi="Consolas"/>
                <w:color w:val="9B1B30"/>
                <w:sz w:val="19"/>
              </w:rPr>
              <w:t>notebook/S14_recomendacion.ipynb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Verificación de la lectura del dataset (cortafuegos).</w:t>
      </w:r>
      <w:r>
        <w:rPr>
          <w:color w:val="2D2D2D"/>
        </w:rPr>
        <w:t xml:space="preserve"> Antes de evaluar, confirmar por código </w:t>
      </w:r>
      <w:r>
        <w:rPr>
          <w:rFonts w:ascii="Consolas" w:hAnsi="Consolas"/>
          <w:color w:val="2D2D2D"/>
          <w:sz w:val="19"/>
        </w:rPr>
        <w:t>n</w:t>
      </w:r>
      <w:r>
        <w:rPr>
          <w:color w:val="2D2D2D"/>
        </w:rPr>
        <w:t xml:space="preserve"> calificaciones, </w:t>
      </w:r>
      <w:r>
        <w:rPr>
          <w:rFonts w:ascii="Consolas" w:hAnsi="Consolas"/>
          <w:color w:val="2D2D2D"/>
          <w:sz w:val="19"/>
        </w:rPr>
        <w:t>n</w:t>
      </w:r>
      <w:r>
        <w:rPr>
          <w:color w:val="2D2D2D"/>
        </w:rPr>
        <w:t xml:space="preserve"> usuarios × </w:t>
      </w:r>
      <w:r>
        <w:rPr>
          <w:rFonts w:ascii="Consolas" w:hAnsi="Consolas"/>
          <w:color w:val="2D2D2D"/>
          <w:sz w:val="19"/>
        </w:rPr>
        <w:t>n</w:t>
      </w:r>
      <w:r>
        <w:rPr>
          <w:color w:val="2D2D2D"/>
        </w:rPr>
        <w:t xml:space="preserve"> ítems y la </w:t>
      </w:r>
      <w:r>
        <w:rPr>
          <w:b/>
          <w:color w:val="2D2D2D"/>
        </w:rPr>
        <w:t>densidad</w:t>
      </w:r>
      <w:r>
        <w:rPr>
          <w:color w:val="2D2D2D"/>
        </w:rPr>
        <w:t xml:space="preserve"> de la matriz (dispersión). Un </w:t>
      </w:r>
      <w:r>
        <w:rPr>
          <w:rFonts w:ascii="Consolas" w:hAnsi="Consolas"/>
          <w:color w:val="2D2D2D"/>
          <w:sz w:val="19"/>
        </w:rPr>
        <w:t>k</w:t>
      </w:r>
      <w:r>
        <w:rPr>
          <w:color w:val="2D2D2D"/>
        </w:rPr>
        <w:t xml:space="preserve">, un umbral o un corte temporal </w:t>
      </w:r>
      <w:r>
        <w:rPr>
          <w:b/>
          <w:color w:val="2D2D2D"/>
        </w:rPr>
        <w:t>no declarados</w:t>
      </w:r>
      <w:r>
        <w:rPr>
          <w:color w:val="2D2D2D"/>
        </w:rPr>
        <w:t xml:space="preserve"> hacen la métrica no reproducible ni comparable entre ejecuciones. Registrar la fecha de verificación DD/MM/YYYY.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Protocolo de partición temporal</w:t>
      </w:r>
    </w:p>
    <w:p>
      <w:pPr>
        <w:jc w:val="both"/>
      </w:pPr>
      <w:r>
        <w:t xml:space="preserve">Ordenar las interacciones por </w:t>
      </w:r>
      <w:r>
        <w:rPr>
          <w:rFonts w:ascii="Consolas" w:hAnsi="Consolas"/>
          <w:color w:val="9B1B30"/>
          <w:sz w:val="19"/>
        </w:rPr>
        <w:t>timestamp</w:t>
      </w:r>
      <w:r>
        <w:t xml:space="preserve"> y cortar: el </w:t>
      </w:r>
      <w:r>
        <w:rPr>
          <w:b/>
        </w:rPr>
        <w:t>pasado</w:t>
      </w:r>
      <w:r>
        <w:t xml:space="preserve"> entrena, el </w:t>
      </w:r>
      <w:r>
        <w:rPr>
          <w:b/>
        </w:rPr>
        <w:t>futuro</w:t>
      </w:r>
      <w:r>
        <w:t xml:space="preserve"> evalúa. Nunca mezclar instantes (el modelo no puede «ver» calificaciones futuras).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Columna temporal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(p. ej. </w:t>
            </w:r>
            <w:r>
              <w:rPr>
                <w:rFonts w:ascii="Consolas" w:hAnsi="Consolas"/>
                <w:color w:val="9B1B30"/>
                <w:sz w:val="19"/>
              </w:rPr>
              <w:t>timestamp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Corte (pasado/futuro)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 % / ____ % (p. ej. 80/20)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interacciones train / test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 / 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Conjunto candidato a rankear por usuario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(ítems del test / todos los no vistos)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La partición temporal responde a la pregunta real: </w:t>
      </w:r>
      <w:r>
        <w:rPr>
          <w:i/>
          <w:color w:val="2D2D2D"/>
        </w:rPr>
        <w:t>«con lo que se sabe hasta hoy, ¿se acierta lo que el cliente hará mañana?»</w:t>
      </w:r>
      <w:r>
        <w:rPr>
          <w:color w:val="2D2D2D"/>
        </w:rPr>
        <w:t xml:space="preserve">. Un split aleatorio deja «ver el futuro» y sobreestima el desempeño (data leakage). Con la partición temporal, algunos usuarios/ítems del test </w:t>
      </w:r>
      <w:r>
        <w:rPr>
          <w:b/>
          <w:color w:val="2D2D2D"/>
        </w:rPr>
        <w:t>no aparecen</w:t>
      </w:r>
      <w:r>
        <w:rPr>
          <w:color w:val="2D2D2D"/>
        </w:rPr>
        <w:t xml:space="preserve"> en el train: es el </w:t>
      </w:r>
      <w:r>
        <w:rPr>
          <w:b/>
          <w:color w:val="2D2D2D"/>
        </w:rPr>
        <w:t>cold start</w:t>
      </w:r>
      <w:r>
        <w:rPr>
          <w:color w:val="2D2D2D"/>
        </w:rPr>
        <w:t>, y forma parte legítima de la evaluación (no se elimina para «mejorar» el número).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Tabla de métricas top-k (modelo vs. baselines)</w:t>
      </w:r>
    </w:p>
    <w:p>
      <w:pPr>
        <w:jc w:val="both"/>
      </w:pPr>
      <w:r>
        <w:t xml:space="preserve">Calcular cada métrica para el modelo y para los baselines de popularidad y azar, con el mismo </w:t>
      </w:r>
      <w:r>
        <w:rPr>
          <w:rFonts w:ascii="Consolas" w:hAnsi="Consolas"/>
          <w:color w:val="9B1B30"/>
          <w:sz w:val="19"/>
        </w:rPr>
        <w:t>k</w:t>
      </w:r>
      <w:r>
        <w:t xml:space="preserve"> y umbral. </w:t>
      </w:r>
      <w:r>
        <w:rPr>
          <w:b/>
        </w:rPr>
        <w:t>Mayor = mejor</w:t>
      </w:r>
      <w:r>
        <w:t xml:space="preserve"> en todas.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precisión@k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recall@k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MAP@k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NDCG@k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(modelo, p. ej. SVD)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Popularidad (media del ítem)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Azar (nota uniforme)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</w:tbl>
    <w:p>
      <w:pPr>
        <w:spacing w:after="40"/>
      </w:pPr>
    </w:p>
    <w:p>
      <w:pPr>
        <w:jc w:val="both"/>
      </w:pPr>
      <w:r>
        <w:t>Protocolo declarado: k = ____, umbral de relevancia = ____, partición temporal ____ / ____.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</w:t>
      </w:r>
      <w:r>
        <w:rPr>
          <w:b/>
          <w:color w:val="2D2D2D"/>
        </w:rPr>
        <w:t>Precisión@k</w:t>
      </w:r>
      <w:r>
        <w:rPr>
          <w:color w:val="2D2D2D"/>
        </w:rPr>
        <w:t xml:space="preserve"> = relevantes entre los </w:t>
      </w:r>
      <w:r>
        <w:rPr>
          <w:rFonts w:ascii="Consolas" w:hAnsi="Consolas"/>
          <w:color w:val="2D2D2D"/>
          <w:sz w:val="19"/>
        </w:rPr>
        <w:t>k</w:t>
      </w:r>
      <w:r>
        <w:rPr>
          <w:color w:val="2D2D2D"/>
        </w:rPr>
        <w:t xml:space="preserve"> recomendados (calidad del escaparate; no molestar). </w:t>
      </w:r>
      <w:r>
        <w:rPr>
          <w:b/>
          <w:color w:val="2D2D2D"/>
        </w:rPr>
        <w:t>Recall@k</w:t>
      </w:r>
      <w:r>
        <w:rPr>
          <w:color w:val="2D2D2D"/>
        </w:rPr>
        <w:t xml:space="preserve"> = relevantes mostrados / relevantes totales (cobertura; descubrimiento). </w:t>
      </w:r>
      <w:r>
        <w:rPr>
          <w:b/>
          <w:color w:val="2D2D2D"/>
        </w:rPr>
        <w:t>MAP@k</w:t>
      </w:r>
      <w:r>
        <w:rPr>
          <w:color w:val="2D2D2D"/>
        </w:rPr>
        <w:t xml:space="preserve"> resume la precisión media agregada. </w:t>
      </w:r>
      <w:r>
        <w:rPr>
          <w:b/>
          <w:color w:val="2D2D2D"/>
        </w:rPr>
        <w:t>NDCG@k</w:t>
      </w:r>
      <w:r>
        <w:rPr>
          <w:color w:val="2D2D2D"/>
        </w:rPr>
        <w:t xml:space="preserve"> ∈ (0,1] premia el </w:t>
      </w:r>
      <w:r>
        <w:rPr>
          <w:b/>
          <w:color w:val="2D2D2D"/>
        </w:rPr>
        <w:t>orden</w:t>
      </w:r>
      <w:r>
        <w:rPr>
          <w:color w:val="2D2D2D"/>
        </w:rPr>
        <w:t xml:space="preserve"> (acertar en la posición 1 vale más que en la 10) y mide la </w:t>
      </w:r>
      <w:r>
        <w:rPr>
          <w:b/>
          <w:color w:val="2D2D2D"/>
        </w:rPr>
        <w:t>calidad del orden</w:t>
      </w:r>
      <w:r>
        <w:rPr>
          <w:color w:val="2D2D2D"/>
        </w:rPr>
        <w:t xml:space="preserve"> en general. La </w:t>
      </w:r>
      <w:r>
        <w:rPr>
          <w:b/>
          <w:color w:val="2D2D2D"/>
        </w:rPr>
        <w:t>popularidad</w:t>
      </w:r>
      <w:r>
        <w:rPr>
          <w:color w:val="2D2D2D"/>
        </w:rPr>
        <w:t xml:space="preserve"> es un </w:t>
      </w:r>
      <w:r>
        <w:rPr>
          <w:b/>
          <w:color w:val="2D2D2D"/>
        </w:rPr>
        <w:t>baseline muy exigente</w:t>
      </w:r>
      <w:r>
        <w:rPr>
          <w:color w:val="2D2D2D"/>
        </w:rPr>
        <w:t xml:space="preserve">: acierta a menudo porque los éxitos gustan a mucha gente, y en datasets como MovieLens 100k </w:t>
      </w:r>
      <w:r>
        <w:rPr>
          <w:b/>
          <w:color w:val="2D2D2D"/>
        </w:rPr>
        <w:t>presenta un rendimiento equivalente al de la SVD dentro del ruido</w:t>
      </w:r>
      <w:r>
        <w:rPr>
          <w:color w:val="2D2D2D"/>
        </w:rPr>
        <w:t xml:space="preserve"> en las cuatro métricas top-k. Por eso una brecha de NDCG mínima frente a la popularidad </w:t>
      </w:r>
      <w:r>
        <w:rPr>
          <w:b/>
          <w:color w:val="2D2D2D"/>
        </w:rPr>
        <w:t>no</w:t>
      </w:r>
      <w:r>
        <w:rPr>
          <w:color w:val="2D2D2D"/>
        </w:rPr>
        <w:t xml:space="preserve"> demuestra personalización: hay que contrastarla contra el </w:t>
      </w:r>
      <w:r>
        <w:rPr>
          <w:b/>
          <w:color w:val="2D2D2D"/>
        </w:rPr>
        <w:t>ruido del propio modelo</w:t>
      </w:r>
      <w:r>
        <w:rPr>
          <w:color w:val="2D2D2D"/>
        </w:rPr>
        <w:t xml:space="preserve"> (su variación entre semillas) y, cuando el offline no muestra diferencias significativas, validar </w:t>
      </w:r>
      <w:r>
        <w:rPr>
          <w:b/>
          <w:color w:val="2D2D2D"/>
        </w:rPr>
        <w:t>online (A/B)</w:t>
      </w:r>
      <w:r>
        <w:rPr>
          <w:color w:val="2D2D2D"/>
        </w:rP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Interpretación por métrica (guía rápida)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Salida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Umbral/lectura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Decisión de negocio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precisión@k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relevantes entre los k recomendados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calidad del carrusel (no molestar)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recall@k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relevantes mostrados / relevantes totales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cobertura / descubrimiento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MAP@k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precisión media agregada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comparar modelos globalmente (A/B de algoritmos)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NDCG@k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orden normalizado (0-1); vs. popularidad </w:t>
            </w:r>
            <w:r>
              <w:rPr>
                <w:b/>
                <w:sz w:val="19"/>
              </w:rPr>
              <w:t>y vs. el ruido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¿pone lo mejor arriba? (calidad del orden)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top-N por usuario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ítems con mayor estimación, no vistos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carrusel «para ti» / cross-selling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Definiciones formales (referencia).</w:t>
      </w:r>
      <w:r>
        <w:t xml:space="preserve"> Con </w:t>
      </w:r>
      <w:r>
        <w:rPr>
          <w:rFonts w:ascii="Consolas" w:hAnsi="Consolas"/>
          <w:color w:val="9B1B30"/>
          <w:sz w:val="19"/>
        </w:rPr>
        <w:t>rel</w:t>
      </w:r>
      <w:r>
        <w:t xml:space="preserve"> = ítems relevantes del usuario (nota real ≥ umbral) y </w:t>
      </w:r>
      <w:r>
        <w:rPr>
          <w:rFonts w:ascii="Consolas" w:hAnsi="Consolas"/>
          <w:color w:val="9B1B30"/>
          <w:sz w:val="19"/>
        </w:rPr>
        <w:t>topₖ</w:t>
      </w:r>
      <w:r>
        <w:t xml:space="preserve"> = los </w:t>
      </w:r>
      <w:r>
        <w:rPr>
          <w:rFonts w:ascii="Consolas" w:hAnsi="Consolas"/>
          <w:color w:val="9B1B30"/>
          <w:sz w:val="19"/>
        </w:rPr>
        <w:t>k</w:t>
      </w:r>
      <w:r>
        <w:t xml:space="preserve"> ítems recomendados, las métricas del escaparate son: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13563" cy="4197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3bfe34e5215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3563" cy="419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El </w:t>
      </w:r>
      <w:r>
        <w:rPr>
          <w:b/>
        </w:rPr>
        <w:t>NDCG@k</w:t>
      </w:r>
      <w:r>
        <w:t xml:space="preserve"> normaliza la ganancia descontada por la posición (relᵢ ∈ {0,1}; IDCG = el mejor orden posible), y el </w:t>
      </w:r>
      <w:r>
        <w:rPr>
          <w:b/>
        </w:rPr>
        <w:t>MAP@k</w:t>
      </w:r>
      <w:r>
        <w:t xml:space="preserve"> promedia la precisión media (AP) por usuario: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55869" cy="6483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e57c07b4255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5869" cy="648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5421" cy="49876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96c8c99b06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421" cy="4987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Como referencia de </w:t>
      </w:r>
      <w:r>
        <w:rPr>
          <w:b/>
        </w:rPr>
        <w:t>predicción de nota</w:t>
      </w:r>
      <w:r>
        <w:t xml:space="preserve"> (no de ranking), el error se mide sobre los </w:t>
      </w:r>
      <w:r>
        <w:rPr>
          <w:rFonts w:ascii="Consolas" w:hAnsi="Consolas"/>
          <w:color w:val="9B1B30"/>
          <w:sz w:val="19"/>
        </w:rPr>
        <w:t>N</w:t>
      </w:r>
      <w:r>
        <w:t xml:space="preserve"> pares con nota real con el RMSE y el MAE: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25290" cy="6276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a0ec0c4880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290" cy="627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Errores de lectura frecuentes.</w:t>
      </w:r>
      <w:r>
        <w:rPr>
          <w:color w:val="2D2D2D"/>
        </w:rPr>
        <w:t xml:space="preserve"> (a) </w:t>
      </w:r>
      <w:r>
        <w:rPr>
          <w:b/>
          <w:color w:val="2D2D2D"/>
        </w:rPr>
        <w:t>No declarar el umbral ni el `k`</w:t>
      </w:r>
      <w:r>
        <w:rPr>
          <w:color w:val="2D2D2D"/>
        </w:rPr>
        <w:t xml:space="preserve"> → la métrica no es interpretable ni reproducible. (b) </w:t>
      </w:r>
      <w:r>
        <w:rPr>
          <w:b/>
          <w:color w:val="2D2D2D"/>
        </w:rPr>
        <w:t>Confundir precisión@k con exactitud (accuracy)</w:t>
      </w:r>
      <w:r>
        <w:rPr>
          <w:color w:val="2D2D2D"/>
        </w:rPr>
        <w:t xml:space="preserve"> de clasificación: aquí es «aciertos entre los recomendados», no entre todos los pares. (c) </w:t>
      </w:r>
      <w:r>
        <w:rPr>
          <w:b/>
          <w:color w:val="2D2D2D"/>
        </w:rPr>
        <w:t>Interpretar NDCG como un porcentaje de acierto</w:t>
      </w:r>
      <w:r>
        <w:rPr>
          <w:color w:val="2D2D2D"/>
        </w:rPr>
        <w:t xml:space="preserve">: es una medida de </w:t>
      </w:r>
      <w:r>
        <w:rPr>
          <w:b/>
          <w:color w:val="2D2D2D"/>
        </w:rPr>
        <w:t>orden</w:t>
      </w:r>
      <w:r>
        <w:rPr>
          <w:color w:val="2D2D2D"/>
        </w:rPr>
        <w:t xml:space="preserve"> normalizada. (d) </w:t>
      </w:r>
      <w:r>
        <w:rPr>
          <w:b/>
          <w:color w:val="2D2D2D"/>
        </w:rPr>
        <w:t>Reportar NDCG sin baseline de popularidad</w:t>
      </w:r>
      <w:r>
        <w:rPr>
          <w:color w:val="2D2D2D"/>
        </w:rPr>
        <w:t xml:space="preserve">: un NDCG «alto» puede deberse solo a recomendar lo popular. (e) </w:t>
      </w:r>
      <w:r>
        <w:rPr>
          <w:b/>
          <w:color w:val="2D2D2D"/>
        </w:rPr>
        <w:t>Comparar RMSE con top-k</w:t>
      </w:r>
      <w:r>
        <w:rPr>
          <w:color w:val="2D2D2D"/>
        </w:rPr>
        <w:t xml:space="preserve"> como si midieran lo mismo: uno es predicción de nota, el otro calidad de la lista.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Lista top-N por usuario (el producto final)</w:t>
      </w:r>
    </w:p>
    <w:p>
      <w:pPr>
        <w:jc w:val="both"/>
      </w:pPr>
      <w:r>
        <w:t xml:space="preserve">El resultado accionable es, para cada usuario, sus </w:t>
      </w:r>
      <w:r>
        <w:rPr>
          <w:rFonts w:ascii="Consolas" w:hAnsi="Consolas"/>
          <w:color w:val="9B1B30"/>
          <w:sz w:val="19"/>
        </w:rPr>
        <w:t>N</w:t>
      </w:r>
      <w:r>
        <w:t xml:space="preserve"> ítems con </w:t>
      </w:r>
      <w:r>
        <w:rPr>
          <w:b/>
        </w:rPr>
        <w:t>mayor estimación</w:t>
      </w:r>
      <w:r>
        <w:t xml:space="preserve"> que aún </w:t>
      </w:r>
      <w:r>
        <w:rPr>
          <w:b/>
        </w:rPr>
        <w:t>no</w:t>
      </w:r>
      <w:r>
        <w:t xml:space="preserve"> ha consumido (hay que </w:t>
      </w:r>
      <w:r>
        <w:rPr>
          <w:b/>
        </w:rPr>
        <w:t>excluir</w:t>
      </w:r>
      <w:r>
        <w:t xml:space="preserve"> lo ya visto/comprado).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Usuario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Ítem recomendado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Estimación / confianza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¿ya consumido? (excluir)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de negocio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cross-selling / «para ti»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La lista top-N es el carrusel que ve el cliente; su calidad se mide con las métricas top-k (Sección 2), no con el RMSE. En feedback </w:t>
      </w:r>
      <w:r>
        <w:rPr>
          <w:b/>
          <w:color w:val="2D2D2D"/>
        </w:rPr>
        <w:t>explícito</w:t>
      </w:r>
      <w:r>
        <w:rPr>
          <w:color w:val="2D2D2D"/>
        </w:rPr>
        <w:t xml:space="preserve"> la estimación es una </w:t>
      </w:r>
      <w:r>
        <w:rPr>
          <w:b/>
          <w:color w:val="2D2D2D"/>
        </w:rPr>
        <w:t>nota prevista</w:t>
      </w:r>
      <w:r>
        <w:rPr>
          <w:color w:val="2D2D2D"/>
        </w:rPr>
        <w:t xml:space="preserve"> (p. ej. 4,3 estrellas); en </w:t>
      </w:r>
      <w:r>
        <w:rPr>
          <w:b/>
          <w:color w:val="2D2D2D"/>
        </w:rPr>
        <w:t>implícito</w:t>
      </w:r>
      <w:r>
        <w:rPr>
          <w:color w:val="2D2D2D"/>
        </w:rPr>
        <w:t xml:space="preserve"> es una </w:t>
      </w:r>
      <w:r>
        <w:rPr>
          <w:b/>
          <w:color w:val="2D2D2D"/>
        </w:rPr>
        <w:t>confianza</w:t>
      </w:r>
      <w:r>
        <w:rPr>
          <w:color w:val="2D2D2D"/>
        </w:rPr>
        <w:t xml:space="preserve"> (no una probabilidad). Cruzar el top-N con el </w:t>
      </w:r>
      <w:r>
        <w:rPr>
          <w:b/>
          <w:color w:val="2D2D2D"/>
        </w:rPr>
        <w:t>precio</w:t>
      </w:r>
      <w:r>
        <w:rPr>
          <w:color w:val="2D2D2D"/>
        </w:rPr>
        <w:t xml:space="preserve"> convierte la lista en </w:t>
      </w:r>
      <w:r>
        <w:rPr>
          <w:b/>
          <w:color w:val="2D2D2D"/>
        </w:rPr>
        <w:t>ingreso potencial</w:t>
      </w:r>
      <w:r>
        <w:rPr>
          <w:color w:val="2D2D2D"/>
        </w:rPr>
        <w:t xml:space="preserve"> de up/cross-selling.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Ejemplo — operativos del venv (ETIQUETADOS)</w:t>
      </w:r>
    </w:p>
    <w:p>
      <w:pPr>
        <w:jc w:val="both"/>
      </w:pPr>
      <w:r>
        <w:t xml:space="preserve">Valores </w:t>
      </w:r>
      <w:r>
        <w:rPr>
          <w:b/>
        </w:rPr>
        <w:t>operativos del venv</w:t>
      </w:r>
      <w:r>
        <w:t xml:space="preserve"> (</w:t>
      </w:r>
      <w:r>
        <w:rPr>
          <w:rFonts w:ascii="Consolas" w:hAnsi="Consolas"/>
          <w:color w:val="9B1B30"/>
          <w:sz w:val="19"/>
        </w:rPr>
        <w:t>scikit-surprise</w:t>
      </w:r>
      <w:r>
        <w:t xml:space="preserve"> 1.1.5 sobre MovieLens 100k, partición temporal 80/20 por </w:t>
      </w:r>
      <w:r>
        <w:rPr>
          <w:rFonts w:ascii="Consolas" w:hAnsi="Consolas"/>
          <w:color w:val="9B1B30"/>
          <w:sz w:val="19"/>
        </w:rPr>
        <w:t>timestamp</w:t>
      </w:r>
      <w:r>
        <w:t xml:space="preserve">, k=10, umbral 3,5), tomados de </w:t>
      </w:r>
      <w:r>
        <w:rPr>
          <w:rFonts w:ascii="Consolas" w:hAnsi="Consolas"/>
          <w:color w:val="9B1B30"/>
          <w:sz w:val="19"/>
        </w:rPr>
        <w:t>resultados/S14_resultados.xlsx</w:t>
      </w:r>
      <w:r>
        <w:t xml:space="preserve"> (hoja </w:t>
      </w:r>
      <w:r>
        <w:rPr>
          <w:rFonts w:ascii="Consolas" w:hAnsi="Consolas"/>
          <w:color w:val="9B1B30"/>
          <w:sz w:val="19"/>
        </w:rPr>
        <w:t>recsys</w:t>
      </w:r>
      <w:r>
        <w:t xml:space="preserve">) e </w:t>
      </w:r>
      <w:r>
        <w:rPr>
          <w:rFonts w:ascii="Consolas" w:hAnsi="Consolas"/>
          <w:color w:val="9B1B30"/>
          <w:sz w:val="19"/>
        </w:rPr>
        <w:t>el material de referencia de la sesión</w:t>
      </w:r>
      <w:r>
        <w:t>. Sirven de referencia de lectura; las celdas del análisis propio se completan al exportar cada métrica al Excel.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EVALUACIÓN TOP-K SOBRE PARTICIÓN TEMPORAL (MOVIELENS 100K):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precisión@10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recall@10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MAP@10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NDCG@10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SVD (factores latentes)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0,7169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0,3624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0,6858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0,7789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Popularidad (media del ítem)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0,7210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0,3645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0,6853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0,7775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Azar (nota uniforme)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0,5212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0,2241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0,4636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0,6006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 del ejemplo (honestidad analítica).</w:t>
      </w:r>
      <w:r>
        <w:rPr>
          <w:color w:val="2D2D2D"/>
        </w:rPr>
        <w:t xml:space="preserve"> En </w:t>
      </w:r>
      <w:r>
        <w:rPr>
          <w:b/>
          <w:color w:val="2D2D2D"/>
        </w:rPr>
        <w:t>ranking top-N la SVD y la popularidad presentan un rendimiento equivalente dentro del ruido</w:t>
      </w:r>
      <w:r>
        <w:rPr>
          <w:color w:val="2D2D2D"/>
        </w:rPr>
        <w:t xml:space="preserve">: las cuatro brechas @10 son mínimas (NDCG 0,7789 vs. 0,7775, |Δ| 0,0014; precisión@10 0,7169 vs. 0,7210, |Δ| 0,0042) y </w:t>
      </w:r>
      <w:r>
        <w:rPr>
          <w:b/>
          <w:color w:val="2D2D2D"/>
        </w:rPr>
        <w:t>menores que la variación de la propia SVD entre semillas</w:t>
      </w:r>
      <w:r>
        <w:rPr>
          <w:color w:val="2D2D2D"/>
        </w:rPr>
        <w:t xml:space="preserve"> (rango NDCG ≈0,0059), de modo que </w:t>
      </w:r>
      <w:r>
        <w:rPr>
          <w:b/>
          <w:color w:val="2D2D2D"/>
        </w:rPr>
        <w:t>no</w:t>
      </w:r>
      <w:r>
        <w:rPr>
          <w:color w:val="2D2D2D"/>
        </w:rPr>
        <w:t xml:space="preserve"> se puede declarar un ganador de ranking. La </w:t>
      </w:r>
      <w:r>
        <w:rPr>
          <w:b/>
          <w:color w:val="2D2D2D"/>
        </w:rPr>
        <w:t>popularidad es un baseline muy exigente</w:t>
      </w:r>
      <w:r>
        <w:rPr>
          <w:color w:val="2D2D2D"/>
        </w:rPr>
        <w:t xml:space="preserve"> porque recomendar éxitos acierta a menudo. Ambos superan con claridad al </w:t>
      </w:r>
      <w:r>
        <w:rPr>
          <w:b/>
          <w:color w:val="2D2D2D"/>
        </w:rPr>
        <w:t>azar</w:t>
      </w:r>
      <w:r>
        <w:rPr>
          <w:color w:val="2D2D2D"/>
        </w:rPr>
        <w:t xml:space="preserve"> (precisión 0,5212; NDCG 0,6006). Conclusión: en este dataset </w:t>
      </w:r>
      <w:r>
        <w:rPr>
          <w:b/>
          <w:color w:val="2D2D2D"/>
        </w:rPr>
        <w:t>NDCG@k no distingue a la SVD de la popularidad</w:t>
      </w:r>
      <w:r>
        <w:rPr>
          <w:color w:val="2D2D2D"/>
        </w:rPr>
        <w:t xml:space="preserve"> (rendimiento equivalente); NDCG mide la </w:t>
      </w:r>
      <w:r>
        <w:rPr>
          <w:b/>
          <w:color w:val="2D2D2D"/>
        </w:rPr>
        <w:t>calidad del orden</w:t>
      </w:r>
      <w:r>
        <w:rPr>
          <w:color w:val="2D2D2D"/>
        </w:rPr>
        <w:t xml:space="preserve"> en general, y toda métrica se lee </w:t>
      </w:r>
      <w:r>
        <w:rPr>
          <w:b/>
          <w:color w:val="2D2D2D"/>
        </w:rPr>
        <w:t>contra los baselines y contra el ruido</w:t>
      </w:r>
      <w:r>
        <w:rPr>
          <w:color w:val="2D2D2D"/>
        </w:rPr>
        <w:t xml:space="preserve">, nunca aislada. La ventaja </w:t>
      </w:r>
      <w:r>
        <w:rPr>
          <w:b/>
          <w:color w:val="2D2D2D"/>
        </w:rPr>
        <w:t>robusta</w:t>
      </w:r>
      <w:r>
        <w:rPr>
          <w:color w:val="2D2D2D"/>
        </w:rPr>
        <w:t xml:space="preserve"> de la SVD no está en el ranking sino en la </w:t>
      </w:r>
      <w:r>
        <w:rPr>
          <w:b/>
          <w:color w:val="2D2D2D"/>
        </w:rPr>
        <w:t>predicción de nota</w:t>
      </w:r>
      <w:r>
        <w:rPr>
          <w:color w:val="2D2D2D"/>
        </w:rPr>
        <w:t xml:space="preserve">: RMSE de SVD = </w:t>
      </w:r>
      <w:r>
        <w:rPr>
          <w:b/>
          <w:color w:val="2D2D2D"/>
        </w:rPr>
        <w:t>0,9350</w:t>
      </w:r>
      <w:r>
        <w:rPr>
          <w:color w:val="2D2D2D"/>
        </w:rPr>
        <w:t xml:space="preserve"> « baseline de media </w:t>
      </w:r>
      <w:r>
        <w:rPr>
          <w:b/>
          <w:color w:val="2D2D2D"/>
        </w:rPr>
        <w:t>1,1257</w:t>
      </w:r>
      <w:r>
        <w:rPr>
          <w:color w:val="2D2D2D"/>
        </w:rPr>
        <w:t xml:space="preserve"> (5-fold CV; ver </w:t>
      </w:r>
      <w:r>
        <w:rPr>
          <w:rFonts w:ascii="Consolas" w:hAnsi="Consolas"/>
          <w:color w:val="2D2D2D"/>
          <w:sz w:val="19"/>
        </w:rPr>
        <w:t>eval_recomendador_topk</w:t>
      </w:r>
      <w:r>
        <w:rPr>
          <w:color w:val="2D2D2D"/>
        </w:rPr>
        <w:t xml:space="preserve"> Sección 5 del cuaderno).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Etiqueta de fuente</w:t>
      </w:r>
      <w:r>
        <w:rPr>
          <w:color w:val="2D2D2D"/>
        </w:rPr>
        <w:t xml:space="preserve">: </w:t>
      </w:r>
      <w:r>
        <w:rPr>
          <w:i/>
          <w:color w:val="2D2D2D"/>
        </w:rPr>
        <w:t>operativo = venv</w:t>
      </w:r>
      <w:r>
        <w:rPr>
          <w:color w:val="2D2D2D"/>
        </w:rPr>
        <w:t xml:space="preserve"> (los valores del venv son los que mandan; se vuelcan a </w:t>
      </w:r>
      <w:r>
        <w:rPr>
          <w:rFonts w:ascii="Consolas" w:hAnsi="Consolas"/>
          <w:color w:val="2D2D2D"/>
          <w:sz w:val="19"/>
        </w:rPr>
        <w:t>resultados/S14_resultados.xlsx</w:t>
      </w:r>
      <w:r>
        <w:rPr>
          <w:color w:val="2D2D2D"/>
        </w:rPr>
        <w:t xml:space="preserve">, hoja </w:t>
      </w:r>
      <w:r>
        <w:rPr>
          <w:rFonts w:ascii="Consolas" w:hAnsi="Consolas"/>
          <w:color w:val="2D2D2D"/>
          <w:sz w:val="19"/>
        </w:rPr>
        <w:t>recsys</w:t>
      </w:r>
      <w:r>
        <w:rPr>
          <w:color w:val="2D2D2D"/>
        </w:rPr>
        <w:t xml:space="preserve">). Toda cifra publicada de la técnica (benchmark de </w:t>
      </w:r>
      <w:r>
        <w:rPr>
          <w:rFonts w:ascii="Consolas" w:hAnsi="Consolas"/>
          <w:color w:val="2D2D2D"/>
          <w:sz w:val="19"/>
        </w:rPr>
        <w:t>surprise</w:t>
      </w:r>
      <w:r>
        <w:rPr>
          <w:color w:val="2D2D2D"/>
        </w:rPr>
        <w:t xml:space="preserve">, literatura de Koren/Sarwar) se anota aparte como </w:t>
      </w:r>
      <w:r>
        <w:rPr>
          <w:i/>
          <w:color w:val="2D2D2D"/>
        </w:rPr>
        <w:t>benchmark publicado</w:t>
      </w:r>
      <w:r>
        <w:rPr>
          <w:color w:val="2D2D2D"/>
        </w:rPr>
        <w:t xml:space="preserve">, nunca mezclada como propia. Los targets top-k (T4/T5) son </w:t>
      </w:r>
      <w:r>
        <w:rPr>
          <w:b/>
          <w:color w:val="2D2D2D"/>
        </w:rPr>
        <w:t>handoff</w:t>
      </w:r>
      <w:r>
        <w:rPr>
          <w:color w:val="2D2D2D"/>
        </w:rPr>
        <w:t xml:space="preserve">: en NDCG </w:t>
      </w:r>
      <w:r>
        <w:rPr>
          <w:b/>
          <w:color w:val="2D2D2D"/>
        </w:rPr>
        <w:t>SVD ≈ popularidad</w:t>
      </w:r>
      <w:r>
        <w:rPr>
          <w:color w:val="2D2D2D"/>
        </w:rPr>
        <w:t xml:space="preserve"> (T4, empate dentro del ruido, |Δ|&lt;0,02 — el validador verifica el empate; el objetivo robusto de la SVD es el </w:t>
      </w:r>
      <w:r>
        <w:rPr>
          <w:b/>
          <w:color w:val="2D2D2D"/>
        </w:rPr>
        <w:t>RMSE</w:t>
      </w:r>
      <w:r>
        <w:rPr>
          <w:color w:val="2D2D2D"/>
        </w:rPr>
        <w:t xml:space="preserve">), mientras que </w:t>
      </w:r>
      <w:r>
        <w:rPr>
          <w:b/>
          <w:color w:val="2D2D2D"/>
        </w:rPr>
        <w:t>SVD &gt; azar en precisión</w:t>
      </w:r>
      <w:r>
        <w:rPr>
          <w:color w:val="2D2D2D"/>
        </w:rPr>
        <w:t xml:space="preserve"> (T5) sí está anclado; el valor exacto lo fija el venv.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antes de entregar</w:t>
      </w:r>
    </w:p>
    <w:p>
      <w:pPr>
        <w:pStyle w:val="ListBullet"/>
        <w:spacing w:after="40"/>
      </w:pPr>
      <w:r>
        <w:t xml:space="preserve">[ ] 1. ¿Se declararon </w:t>
      </w:r>
      <w:r>
        <w:rPr>
          <w:b/>
        </w:rPr>
        <w:t>k</w:t>
      </w:r>
      <w:r>
        <w:t xml:space="preserve">, </w:t>
      </w:r>
      <w:r>
        <w:rPr>
          <w:b/>
        </w:rPr>
        <w:t>umbral de relevancia</w:t>
      </w:r>
      <w:r>
        <w:t xml:space="preserve"> y </w:t>
      </w:r>
      <w:r>
        <w:rPr>
          <w:b/>
        </w:rPr>
        <w:t>conjunto candidato</w:t>
      </w:r>
      <w:r>
        <w:t>, y se verificó la densidad de la matriz?</w:t>
      </w:r>
    </w:p>
    <w:p>
      <w:pPr>
        <w:pStyle w:val="ListBullet"/>
        <w:spacing w:after="40"/>
      </w:pPr>
      <w:r>
        <w:t xml:space="preserve">[ ] 2. ¿La partición es </w:t>
      </w:r>
      <w:r>
        <w:rPr>
          <w:b/>
        </w:rPr>
        <w:t>temporal</w:t>
      </w:r>
      <w:r>
        <w:t xml:space="preserve"> (por </w:t>
      </w:r>
      <w:r>
        <w:rPr>
          <w:rFonts w:ascii="Consolas" w:hAnsi="Consolas"/>
          <w:color w:val="9B1B30"/>
          <w:sz w:val="19"/>
        </w:rPr>
        <w:t>timestamp</w:t>
      </w:r>
      <w:r>
        <w:t>), entrena con el pasado y evalúa en el futuro (sin data leakage)?</w:t>
      </w:r>
    </w:p>
    <w:p>
      <w:pPr>
        <w:pStyle w:val="ListBullet"/>
        <w:spacing w:after="40"/>
      </w:pPr>
      <w:r>
        <w:t xml:space="preserve">[ ] 3. ¿Se calcularon </w:t>
      </w:r>
      <w:r>
        <w:rPr>
          <w:b/>
        </w:rPr>
        <w:t>precisión@k, recall@k, MAP@k y NDCG@k</w:t>
      </w:r>
      <w:r>
        <w:t xml:space="preserve"> con el mismo protocolo?</w:t>
      </w:r>
    </w:p>
    <w:p>
      <w:pPr>
        <w:pStyle w:val="ListBullet"/>
        <w:spacing w:after="40"/>
      </w:pPr>
      <w:r>
        <w:t xml:space="preserve">[ ] 4. ¿Se compararon todas las métricas contra los baselines de </w:t>
      </w:r>
      <w:r>
        <w:rPr>
          <w:b/>
        </w:rPr>
        <w:t>popularidad</w:t>
      </w:r>
      <w:r>
        <w:t xml:space="preserve"> y </w:t>
      </w:r>
      <w:r>
        <w:rPr>
          <w:b/>
        </w:rPr>
        <w:t>azar</w:t>
      </w:r>
      <w:r>
        <w:t>?</w:t>
      </w:r>
    </w:p>
    <w:p>
      <w:pPr>
        <w:pStyle w:val="ListBullet"/>
        <w:spacing w:after="40"/>
      </w:pPr>
      <w:r>
        <w:t xml:space="preserve">[ ] 5. ¿Se contrastó el </w:t>
      </w:r>
      <w:r>
        <w:rPr>
          <w:b/>
        </w:rPr>
        <w:t>NDCG@k vs. popularidad y vs. el ruido del modelo</w:t>
      </w:r>
      <w:r>
        <w:t xml:space="preserve"> (variación entre semillas) para concluir si hay diferencia real o </w:t>
      </w:r>
      <w:r>
        <w:rPr>
          <w:b/>
        </w:rPr>
        <w:t>empate</w:t>
      </w:r>
      <w:r>
        <w:t>? En este dataset SVD y popularidad presentan un rendimiento equivalente dentro del ruido: el NDCG mide calidad de orden, no «prueba» personalización por sí solo.</w:t>
      </w:r>
    </w:p>
    <w:p>
      <w:pPr>
        <w:pStyle w:val="ListBullet"/>
        <w:spacing w:after="40"/>
      </w:pPr>
      <w:r>
        <w:t xml:space="preserve">[ ] 6. ¿La lista </w:t>
      </w:r>
      <w:r>
        <w:rPr>
          <w:b/>
        </w:rPr>
        <w:t>top-N por usuario</w:t>
      </w:r>
      <w:r>
        <w:t xml:space="preserve"> excluye lo ya consumido y se tradujo a una decisión de negocio (cross/up-selling)?</w:t>
      </w:r>
    </w:p>
    <w:p>
      <w:pPr>
        <w:pStyle w:val="ListBullet"/>
        <w:spacing w:after="40"/>
      </w:pPr>
      <w:r>
        <w:t xml:space="preserve">[ ] 7. ¿Las tablas y figuras se trazaron </w:t>
      </w:r>
      <w:r>
        <w:rPr>
          <w:b/>
        </w:rPr>
        <w:t>al leer el Excel</w:t>
      </w:r>
      <w:r>
        <w:t xml:space="preserve"> </w:t>
      </w:r>
      <w:r>
        <w:rPr>
          <w:rFonts w:ascii="Consolas" w:hAnsi="Consolas"/>
          <w:color w:val="9B1B30"/>
          <w:sz w:val="19"/>
        </w:rPr>
        <w:t>resultados/S14_resultados.xlsx</w:t>
      </w:r>
      <w:r>
        <w:t xml:space="preserve"> (hoja </w:t>
      </w:r>
      <w:r>
        <w:rPr>
          <w:rFonts w:ascii="Consolas" w:hAnsi="Consolas"/>
          <w:color w:val="9B1B30"/>
          <w:sz w:val="19"/>
        </w:rPr>
        <w:t>recsys</w:t>
      </w:r>
      <w:r>
        <w:t>), no desde objetos en memoria?</w:t>
      </w:r>
    </w:p>
    <w:p>
      <w:pPr>
        <w:pStyle w:val="ListBullet"/>
        <w:spacing w:after="40"/>
      </w:pPr>
      <w:r>
        <w:t xml:space="preserve">[ ] 8. ¿Toda cifra propia está etiquetada </w:t>
      </w:r>
      <w:r>
        <w:rPr>
          <w:i/>
        </w:rPr>
        <w:t>operativo = venv</w:t>
      </w:r>
      <w:r>
        <w:t xml:space="preserve"> y las de la literatura van marcadas como benchmark publicado?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plantilla, junto con </w:t>
      </w:r>
      <w:r>
        <w:rPr>
          <w:rFonts w:ascii="Consolas" w:hAnsi="Consolas"/>
          <w:color w:val="2D2D2D"/>
          <w:sz w:val="19"/>
        </w:rPr>
        <w:t>plantillas/guia_matriz_particion.docx</w:t>
      </w:r>
      <w:r>
        <w:rPr>
          <w:color w:val="2D2D2D"/>
        </w:rPr>
        <w:t xml:space="preserve">, materializa el </w:t>
      </w:r>
      <w:r>
        <w:rPr>
          <w:b/>
          <w:color w:val="2D2D2D"/>
        </w:rPr>
        <w:t>entregable evaluable</w:t>
      </w:r>
      <w:r>
        <w:rPr>
          <w:color w:val="2D2D2D"/>
        </w:rPr>
        <w:t xml:space="preserve"> de S14: el recomendador con evaluación top-k (NDCG@10/MAP@k sobre partición temporal) y recomendación de negocio. Se completa con los resultados del cuaderno </w:t>
      </w:r>
      <w:r>
        <w:rPr>
          <w:rFonts w:ascii="Consolas" w:hAnsi="Consolas"/>
          <w:color w:val="2D2D2D"/>
          <w:sz w:val="19"/>
        </w:rPr>
        <w:t>notebook/S14_recomendacion.ipynb</w:t>
      </w:r>
      <w:r>
        <w:rPr>
          <w:color w:val="2D2D2D"/>
        </w:rPr>
        <w:t xml:space="preserve"> (métricas y figuras exportadas a </w:t>
      </w:r>
      <w:r>
        <w:rPr>
          <w:rFonts w:ascii="Consolas" w:hAnsi="Consolas"/>
          <w:color w:val="2D2D2D"/>
          <w:sz w:val="19"/>
        </w:rPr>
        <w:t>resultados/S14_resultados.xlsx</w:t>
      </w:r>
      <w:r>
        <w:rPr>
          <w:color w:val="2D2D2D"/>
        </w:rPr>
        <w:t xml:space="preserve">, hoja </w:t>
      </w:r>
      <w:r>
        <w:rPr>
          <w:rFonts w:ascii="Consolas" w:hAnsi="Consolas"/>
          <w:color w:val="2D2D2D"/>
          <w:sz w:val="19"/>
        </w:rPr>
        <w:t>recsys</w:t>
      </w:r>
      <w:r>
        <w:rPr>
          <w:color w:val="2D2D2D"/>
        </w:rPr>
        <w:t xml:space="preserve">) y acompaña al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con su rúbrica vigesimal 0-20 y a la guía de laboratorio </w:t>
      </w:r>
      <w:r>
        <w:rPr>
          <w:rFonts w:ascii="Consolas" w:hAnsi="Consolas"/>
          <w:color w:val="2D2D2D"/>
          <w:sz w:val="19"/>
        </w:rPr>
        <w:t>laboratorio/GUIA_LABORATORIO_S14.docx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el glosario de la sesión (Sección 12 RMSE/MAE, Sección 13 precisión/recall@k, Sección 14 NDCG@k, Sección 15 MAP@k, Sección 16 partición temporal), la guía de interpretación de resultados (Sección 3 precisión/recall@k, Sección 4 NDCG/MAP@k, Sección 5 top-N por usuario) y la ficha de la sesión de réplica del paper (Secciones 4-5 targets top-k). Fuentes: Järvelin &amp; Kekäläinen (2002), ACM TOIS 20(4):422-446 (NDCG); Ricci, Rokach &amp; Shapira (2015), </w:t>
      </w:r>
      <w:r>
        <w:rPr>
          <w:i/>
          <w:color w:val="2D2D2D"/>
        </w:rPr>
        <w:t>Recommender Systems Handbook</w:t>
      </w:r>
      <w:r>
        <w:rPr>
          <w:color w:val="2D2D2D"/>
        </w:rPr>
        <w:t xml:space="preserve"> (evaluación offline); FAQ de </w:t>
      </w:r>
      <w:r>
        <w:rPr>
          <w:rFonts w:ascii="Consolas" w:hAnsi="Consolas"/>
          <w:color w:val="2D2D2D"/>
          <w:sz w:val="19"/>
        </w:rPr>
        <w:t>surprise</w:t>
      </w:r>
      <w:r>
        <w:rPr>
          <w:color w:val="2D2D2D"/>
        </w:rPr>
        <w:t xml:space="preserve"> (precision_recall_at_k, umbral 3,5). Cuaderno en Colab: https://colab.research.google.com/github/jonatanfigueroagil-creator/Herramientas-de-Ciencias-de-Datos/blob/master/Sesiones/S14_recomendacion/notebook/S14_recomendacion.ipynb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evaluación de recomendadores — métricas top-k (precisión@k, recall@k, MAP@k, NDCG@k) con partición temporal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