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 de una página — la matriz usuario-ítem y la partición temporal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Guía de trabajo de la Sesión S14 — Herramientas para la Ciencia de Datos (UPC). Una página con </w:t>
      </w:r>
      <w:r>
        <w:rPr>
          <w:b/>
          <w:color w:val="2D2D2D"/>
        </w:rPr>
        <w:t>un concepto</w:t>
      </w:r>
      <w:r>
        <w:rPr>
          <w:color w:val="2D2D2D"/>
        </w:rPr>
        <w:t xml:space="preserve"> (la matriz usuario-ítem y su dispersión), </w:t>
      </w:r>
      <w:r>
        <w:rPr>
          <w:b/>
          <w:color w:val="2D2D2D"/>
        </w:rPr>
        <w:t>un árbol de decisión</w:t>
      </w:r>
      <w:r>
        <w:rPr>
          <w:color w:val="2D2D2D"/>
        </w:rPr>
        <w:t xml:space="preserve"> (qué recomendador usar según los datos) y </w:t>
      </w:r>
      <w:r>
        <w:rPr>
          <w:b/>
          <w:color w:val="2D2D2D"/>
        </w:rPr>
        <w:t>un checklist</w:t>
      </w:r>
      <w:r>
        <w:rPr>
          <w:color w:val="2D2D2D"/>
        </w:rPr>
        <w:t xml:space="preserve"> (cómo partir en el tiempo para evaluar sin fuga de información). Complementa a </w:t>
      </w:r>
      <w:r>
        <w:rPr>
          <w:rFonts w:ascii="Consolas" w:hAnsi="Consolas"/>
          <w:color w:val="2D2D2D"/>
          <w:sz w:val="19"/>
        </w:rPr>
        <w:t>plantillas/eval_recomendador_topk.docx</w:t>
      </w:r>
      <w:r>
        <w:rPr>
          <w:color w:val="2D2D2D"/>
        </w:rPr>
        <w:t xml:space="preserve"> (las métricas top-k). Español impersonal; DD/MM/YYYY; UTF-8. Términos técnicos en inglés (utility matrix, sparsity, cold start, collaborative filtering, content-based).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El concepto — la matriz usuario-ítem `R`</w:t>
      </w:r>
    </w:p>
    <w:p>
      <w:pPr>
        <w:jc w:val="both"/>
      </w:pPr>
      <w:r>
        <w:t xml:space="preserve">Todo recomendador parte de una </w:t>
      </w:r>
      <w:r>
        <w:rPr>
          <w:b/>
        </w:rPr>
        <w:t>matriz usuario-ítem</w:t>
      </w:r>
      <w:r>
        <w:t xml:space="preserve"> </w:t>
      </w:r>
      <w:r>
        <w:rPr>
          <w:rFonts w:ascii="Consolas" w:hAnsi="Consolas"/>
          <w:color w:val="9B1B30"/>
          <w:sz w:val="19"/>
        </w:rPr>
        <w:t>R</w:t>
      </w:r>
      <w:r>
        <w:t xml:space="preserve"> (usuarios × ítems). La celda </w:t>
      </w:r>
      <w:r>
        <w:rPr>
          <w:rFonts w:ascii="Consolas" w:hAnsi="Consolas"/>
          <w:color w:val="9B1B30"/>
          <w:sz w:val="19"/>
        </w:rPr>
        <w:t>rᵤᵢ</w:t>
      </w:r>
      <w:r>
        <w:t xml:space="preserve"> guarda la </w:t>
      </w:r>
      <w:r>
        <w:rPr>
          <w:b/>
        </w:rPr>
        <w:t>calificación</w:t>
      </w:r>
      <w:r>
        <w:t xml:space="preserve"> (feedback explícito, 1-5 estrellas) o la </w:t>
      </w:r>
      <w:r>
        <w:rPr>
          <w:b/>
        </w:rPr>
        <w:t>interacción</w:t>
      </w:r>
      <w:r>
        <w:t xml:space="preserve"> (feedback implícito, compró/vio) del usuario </w:t>
      </w:r>
      <w:r>
        <w:rPr>
          <w:rFonts w:ascii="Consolas" w:hAnsi="Consolas"/>
          <w:color w:val="9B1B30"/>
          <w:sz w:val="19"/>
        </w:rPr>
        <w:t>u</w:t>
      </w:r>
      <w:r>
        <w:t xml:space="preserve"> con el ítem </w:t>
      </w:r>
      <w:r>
        <w:rPr>
          <w:rFonts w:ascii="Consolas" w:hAnsi="Consolas"/>
          <w:color w:val="9B1B30"/>
          <w:sz w:val="19"/>
        </w:rPr>
        <w:t>i</w:t>
      </w:r>
      <w:r>
        <w:t xml:space="preserve">. La inmensa mayoría de las celdas está </w:t>
      </w:r>
      <w:r>
        <w:rPr>
          <w:b/>
        </w:rPr>
        <w:t>vacía</w:t>
      </w:r>
      <w:r>
        <w:t xml:space="preserve">: nadie califica todo. </w:t>
      </w:r>
      <w:r>
        <w:rPr>
          <w:b/>
        </w:rPr>
        <w:t>Recomendar es estimar las celdas vacías</w:t>
      </w:r>
      <w:r>
        <w:t xml:space="preserve"> y proponer las de mayor valor previsto.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 xml:space="preserve"> Acción1 Drama1 Acción2 Comedia1 Comedia2</w:t>
        <w:br/>
        <w:t xml:space="preserve"> Ana 5, 4, 1</w:t>
        <w:br/>
        <w:t xml:space="preserve"> Beto, 4, 2 1</w:t>
        <w:br/>
        <w:t xml:space="preserve"> Cid 4, 5,,</w:t>
        <w:br/>
        <w:t xml:space="preserve"> Dina, 5,, 2</w:t>
      </w:r>
    </w:p>
    <w:p>
      <w:pPr>
        <w:jc w:val="both"/>
      </w:pPr>
      <w:r>
        <w:rPr>
          <w:rFonts w:ascii="Consolas" w:hAnsi="Consolas"/>
          <w:color w:val="9B1B30"/>
          <w:sz w:val="19"/>
        </w:rPr>
        <w:t>·</w:t>
      </w:r>
      <w:r>
        <w:t xml:space="preserve"> = celda vacía (sin dato). </w:t>
      </w:r>
      <w:r>
        <w:rPr>
          <w:b/>
        </w:rPr>
        <w:t>Dispersión (sparsity)</w:t>
      </w:r>
      <w:r>
        <w:t xml:space="preserve"> = fracción de celdas vacías. En MovieLens 100k, solo el </w:t>
      </w:r>
      <w:r>
        <w:rPr>
          <w:b/>
        </w:rPr>
        <w:t>6,3 %</w:t>
      </w:r>
      <w:r>
        <w:t xml:space="preserve"> está lleno → </w:t>
      </w:r>
      <w:r>
        <w:rPr>
          <w:b/>
        </w:rPr>
        <w:t>93,7 % de dispersión</w:t>
      </w:r>
      <w:r>
        <w:t xml:space="preserve">: dos usuarios casi nunca han calificado los mismos ítems. Esa dispersión es la razón de que el filtrado colaborativo simple falle a escala y motiva la </w:t>
      </w:r>
      <w:r>
        <w:rPr>
          <w:b/>
        </w:rPr>
        <w:t>factorización de matrices</w:t>
      </w:r>
      <w:r>
        <w:t xml:space="preserve"> (resume el patrón en pocos factores latentes). </w:t>
      </w:r>
      <w:r>
        <w:rPr>
          <w:b/>
        </w:rPr>
        <w:t>Nunca se rellenan los huecos con ceros</w:t>
      </w:r>
      <w:r>
        <w:t xml:space="preserve"> en rating explícito: un 0 no es una nota en escala 1-5 (trataría «no visto» como «lo odió»); la factorización se ajusta </w:t>
      </w:r>
      <w:r>
        <w:rPr>
          <w:b/>
        </w:rPr>
        <w:t>solo sobre lo observado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El árbol de decisión — ¿qué recomendador usar?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>¿Hay historial de interacciones del usuario y del ítem?</w:t>
        <w:br/>
        <w:t>│</w:t>
        <w:br/>
        <w:t>├── NO (usuario o ítem NUEVO) ──► COLD START</w:t>
        <w:br/>
        <w:t>│ ¿Hay atributos del ítem (género, categoría, marca)?</w:t>
        <w:br/>
        <w:t>│ ├── Sí ─► CONTENT-BASED (perfil por atributos) o POPULARIDAD / onboarding</w:t>
        <w:br/>
        <w:t>│ └── No ─► POPULARIDAD (los éxitos) hasta acumular datos</w:t>
        <w:br/>
        <w:t>│</w:t>
        <w:br/>
        <w:t>└── SÍ (hay historial) ──► COLABORATIVO</w:t>
        <w:br/>
        <w:t xml:space="preserve"> ¿La señal es una nota explícita (1-5) o solo interacción (compra/clic)?</w:t>
        <w:br/>
        <w:t xml:space="preserve"> ├── Nota explícita ─► FACTORIZACIÓN (SVD de Koren) o vecindario ITEM-BASED (Sarwar)</w:t>
        <w:br/>
        <w:t xml:space="preserve"> │ (item-based escala mejor y ≈ iguala/ supera al user-based)</w:t>
        <w:br/>
        <w:t xml:space="preserve"> └── Solo interacción (implícito) ─► ALS con CONFIANZA c = 1 + α·r (Hu 2008)</w:t>
        <w:br/>
        <w:t xml:space="preserve"> (un 0 = "no observado", NO "lo detesta")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Regla práctica.</w:t>
      </w:r>
      <w:r>
        <w:rPr>
          <w:color w:val="2D2D2D"/>
        </w:rPr>
        <w:t xml:space="preserve"> En producción se combinan (</w:t>
      </w:r>
      <w:r>
        <w:rPr>
          <w:b/>
          <w:color w:val="2D2D2D"/>
        </w:rPr>
        <w:t>híbrido</w:t>
      </w:r>
      <w:r>
        <w:rPr>
          <w:color w:val="2D2D2D"/>
        </w:rPr>
        <w:t xml:space="preserve">): content-based/popularidad para el cold start, colaborativo cuando ya hay historial. El </w:t>
      </w:r>
      <w:r>
        <w:rPr>
          <w:b/>
          <w:color w:val="2D2D2D"/>
        </w:rPr>
        <w:t>item-based</w:t>
      </w:r>
      <w:r>
        <w:rPr>
          <w:color w:val="2D2D2D"/>
        </w:rPr>
        <w:t xml:space="preserve"> (similitud ítem-ítem, precalculada offline) tiene menor costo de mantenimiento que el </w:t>
      </w:r>
      <w:r>
        <w:rPr>
          <w:b/>
          <w:color w:val="2D2D2D"/>
        </w:rPr>
        <w:t>user-based</w:t>
      </w:r>
      <w:r>
        <w:rPr>
          <w:color w:val="2D2D2D"/>
        </w:rPr>
        <w:t xml:space="preserve"> (los ítems cambian menos que los usuarios). La </w:t>
      </w:r>
      <w:r>
        <w:rPr>
          <w:b/>
          <w:color w:val="2D2D2D"/>
        </w:rPr>
        <w:t>factorización</w:t>
      </w:r>
      <w:r>
        <w:rPr>
          <w:color w:val="2D2D2D"/>
        </w:rPr>
        <w:t xml:space="preserve"> es preferible cuando la matriz es muy dispersa (generaliza a pares nunca vistos).</w:t>
      </w:r>
    </w:p>
    <w:p>
      <w:pPr>
        <w:jc w:val="both"/>
      </w:pPr>
      <w:r>
        <w:rPr>
          <w:b/>
        </w:rPr>
        <w:t>Fórmulas de referencia.</w:t>
      </w:r>
      <w:r>
        <w:t xml:space="preserve"> La similitud </w:t>
      </w:r>
      <w:r>
        <w:rPr>
          <w:b/>
        </w:rPr>
        <w:t>item-based</w:t>
      </w:r>
      <w:r>
        <w:t xml:space="preserve"> (Sarwar 2001) entre dos ítems compara sus columnas en </w:t>
      </w:r>
      <w:r>
        <w:rPr>
          <w:rFonts w:ascii="Consolas" w:hAnsi="Consolas"/>
          <w:color w:val="9B1B30"/>
          <w:sz w:val="19"/>
        </w:rPr>
        <w:t>R</w:t>
      </w:r>
      <w:r>
        <w:t xml:space="preserve">: es el </w:t>
      </w:r>
      <w:r>
        <w:rPr>
          <w:b/>
        </w:rPr>
        <w:t>coseno</w:t>
      </w:r>
      <w:r>
        <w:t xml:space="preserve"> de sus vectores de calificación sobre los usuarios que calificaron ambos.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10938" cy="7148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3412a9a045f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938" cy="7148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En feedback </w:t>
      </w:r>
      <w:r>
        <w:rPr>
          <w:b/>
        </w:rPr>
        <w:t>implícito</w:t>
      </w:r>
      <w:r>
        <w:t xml:space="preserve"> (ALS de Hu 2008) no hay nota que comparar: se modela la </w:t>
      </w:r>
      <w:r>
        <w:rPr>
          <w:b/>
        </w:rPr>
        <w:t>confianza</w:t>
      </w:r>
      <w:r>
        <w:t xml:space="preserve"> en que </w:t>
      </w:r>
      <w:r>
        <w:rPr>
          <w:rFonts w:ascii="Consolas" w:hAnsi="Consolas"/>
          <w:color w:val="9B1B30"/>
          <w:sz w:val="19"/>
        </w:rPr>
        <w:t>u</w:t>
      </w:r>
      <w:r>
        <w:t xml:space="preserve"> prefiere </w:t>
      </w:r>
      <w:r>
        <w:rPr>
          <w:rFonts w:ascii="Consolas" w:hAnsi="Consolas"/>
          <w:color w:val="9B1B30"/>
          <w:sz w:val="19"/>
        </w:rPr>
        <w:t>i</w:t>
      </w:r>
      <w:r>
        <w:t xml:space="preserve">, que crece con la cantidad observada </w:t>
      </w:r>
      <w:r>
        <w:rPr>
          <w:rFonts w:ascii="Consolas" w:hAnsi="Consolas"/>
          <w:color w:val="9B1B30"/>
          <w:sz w:val="19"/>
        </w:rPr>
        <w:t>rᵤᵢ</w:t>
      </w:r>
      <w:r>
        <w:t xml:space="preserve"> (compras/clics) a través del factor </w:t>
      </w:r>
      <w:r>
        <w:rPr>
          <w:rFonts w:ascii="Consolas" w:hAnsi="Consolas"/>
          <w:color w:val="9B1B30"/>
          <w:sz w:val="19"/>
        </w:rPr>
        <w:t>α</w:t>
      </w:r>
      <w:r>
        <w:t xml:space="preserve">. Un </w:t>
      </w:r>
      <w:r>
        <w:rPr>
          <w:rFonts w:ascii="Consolas" w:hAnsi="Consolas"/>
          <w:color w:val="9B1B30"/>
          <w:sz w:val="19"/>
        </w:rPr>
        <w:t>rᵤᵢ = 0</w:t>
      </w:r>
      <w:r>
        <w:t xml:space="preserve"> es «no observado con baja confianza», no «lo detesta».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8512" cy="29510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95c07c5ad5d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512" cy="295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El checklist — partición temporal para evaluar sin fuga de información</w:t>
      </w:r>
    </w:p>
    <w:p>
      <w:pPr>
        <w:jc w:val="both"/>
      </w:pPr>
      <w:r>
        <w:t xml:space="preserve">Un recomendador se usa siempre para predecir interacciones </w:t>
      </w:r>
      <w:r>
        <w:rPr>
          <w:b/>
        </w:rPr>
        <w:t>futuras</w:t>
      </w:r>
      <w:r>
        <w:t xml:space="preserve"> con datos </w:t>
      </w:r>
      <w:r>
        <w:rPr>
          <w:b/>
        </w:rPr>
        <w:t>pasados</w:t>
      </w:r>
      <w:r>
        <w:t xml:space="preserve">. Se evalúa igual: se ordena por </w:t>
      </w:r>
      <w:r>
        <w:rPr>
          <w:rFonts w:ascii="Consolas" w:hAnsi="Consolas"/>
          <w:color w:val="9B1B30"/>
          <w:sz w:val="19"/>
        </w:rPr>
        <w:t>timestamp</w:t>
      </w:r>
      <w:r>
        <w:t xml:space="preserve">, se entrena con el </w:t>
      </w:r>
      <w:r>
        <w:rPr>
          <w:b/>
        </w:rPr>
        <w:t>pasado</w:t>
      </w:r>
      <w:r>
        <w:t xml:space="preserve"> y se mide en el </w:t>
      </w:r>
      <w:r>
        <w:rPr>
          <w:b/>
        </w:rPr>
        <w:t>futuro</w:t>
      </w:r>
      <w:r>
        <w:t xml:space="preserve">. La partición </w:t>
      </w:r>
      <w:r>
        <w:rPr>
          <w:b/>
        </w:rPr>
        <w:t>aleatoria</w:t>
      </w:r>
      <w:r>
        <w:t xml:space="preserve"> deja «ver el futuro» (data leakage) e </w:t>
      </w:r>
      <w:r>
        <w:rPr>
          <w:b/>
        </w:rPr>
        <w:t>infla</w:t>
      </w:r>
      <w:r>
        <w:t xml:space="preserve"> el desempeño.</w:t>
      </w:r>
    </w:p>
    <w:p>
      <w:pPr>
        <w:pStyle w:val="ListBullet"/>
        <w:spacing w:after="40"/>
      </w:pPr>
      <w:r>
        <w:t xml:space="preserve">[ ] 1. </w:t>
      </w:r>
      <w:r>
        <w:rPr>
          <w:b/>
        </w:rPr>
        <w:t>Construir la matriz</w:t>
      </w:r>
      <w:r>
        <w:t xml:space="preserve"> usuario-ítem y verificar </w:t>
      </w:r>
      <w:r>
        <w:rPr>
          <w:rFonts w:ascii="Consolas" w:hAnsi="Consolas"/>
          <w:color w:val="9B1B30"/>
          <w:sz w:val="19"/>
        </w:rPr>
        <w:t>n</w:t>
      </w:r>
      <w:r>
        <w:t xml:space="preserve"> usuarios × </w:t>
      </w:r>
      <w:r>
        <w:rPr>
          <w:rFonts w:ascii="Consolas" w:hAnsi="Consolas"/>
          <w:color w:val="9B1B30"/>
          <w:sz w:val="19"/>
        </w:rPr>
        <w:t>n</w:t>
      </w:r>
      <w:r>
        <w:t xml:space="preserve"> ítems y la </w:t>
      </w:r>
      <w:r>
        <w:rPr>
          <w:b/>
        </w:rPr>
        <w:t>densidad</w:t>
      </w:r>
      <w:r>
        <w:t xml:space="preserve"> (dispersión).</w:t>
      </w:r>
    </w:p>
    <w:p>
      <w:pPr>
        <w:pStyle w:val="ListBullet"/>
        <w:spacing w:after="40"/>
      </w:pPr>
      <w:r>
        <w:t xml:space="preserve">[ ] 2. </w:t>
      </w:r>
      <w:r>
        <w:rPr>
          <w:b/>
        </w:rPr>
        <w:t>Ordenar por `timestamp`</w:t>
      </w:r>
      <w:r>
        <w:t xml:space="preserve"> todas las interacciones (no barajar).</w:t>
      </w:r>
    </w:p>
    <w:p>
      <w:pPr>
        <w:pStyle w:val="ListBullet"/>
        <w:spacing w:after="40"/>
      </w:pPr>
      <w:r>
        <w:t xml:space="preserve">[ ] 3. </w:t>
      </w:r>
      <w:r>
        <w:rPr>
          <w:b/>
        </w:rPr>
        <w:t>Cortar en el tiempo</w:t>
      </w:r>
      <w:r>
        <w:t xml:space="preserve"> (p. ej. 80 % pasado / 20 % futuro): el pasado entrena, el futuro evalúa.</w:t>
      </w:r>
    </w:p>
    <w:p>
      <w:pPr>
        <w:pStyle w:val="ListBullet"/>
        <w:spacing w:after="40"/>
      </w:pPr>
      <w:r>
        <w:t xml:space="preserve">[ ] 4. </w:t>
      </w:r>
      <w:r>
        <w:rPr>
          <w:b/>
        </w:rPr>
        <w:t>No filtrar</w:t>
      </w:r>
      <w:r>
        <w:t xml:space="preserve"> a los usuarios/ítems que aparecen solo en el futuro: son </w:t>
      </w:r>
      <w:r>
        <w:rPr>
          <w:b/>
        </w:rPr>
        <w:t>cold start</w:t>
      </w:r>
      <w:r>
        <w:t xml:space="preserve"> legítimo (parte de la evaluación real).</w:t>
      </w:r>
    </w:p>
    <w:p>
      <w:pPr>
        <w:pStyle w:val="ListBullet"/>
        <w:spacing w:after="40"/>
      </w:pPr>
      <w:r>
        <w:t xml:space="preserve">[ ] 5. </w:t>
      </w:r>
      <w:r>
        <w:rPr>
          <w:b/>
        </w:rPr>
        <w:t>Entrenar</w:t>
      </w:r>
      <w:r>
        <w:t xml:space="preserve"> el modelo únicamente con el bloque de pasado.</w:t>
      </w:r>
    </w:p>
    <w:p>
      <w:pPr>
        <w:pStyle w:val="ListBullet"/>
        <w:spacing w:after="40"/>
      </w:pPr>
      <w:r>
        <w:t xml:space="preserve">[ ] 6. </w:t>
      </w:r>
      <w:r>
        <w:rPr>
          <w:b/>
        </w:rPr>
        <w:t>Evaluar</w:t>
      </w:r>
      <w:r>
        <w:t xml:space="preserve"> con métricas </w:t>
      </w:r>
      <w:r>
        <w:rPr>
          <w:b/>
        </w:rPr>
        <w:t>top-k</w:t>
      </w:r>
      <w:r>
        <w:t xml:space="preserve"> (precisión@k, recall@k, MAP@k, </w:t>
      </w:r>
      <w:r>
        <w:rPr>
          <w:b/>
        </w:rPr>
        <w:t>NDCG@k</w:t>
      </w:r>
      <w:r>
        <w:t xml:space="preserve">; umbral de relevancia 3,5) sobre el futuro — ver </w:t>
      </w:r>
      <w:r>
        <w:rPr>
          <w:rFonts w:ascii="Consolas" w:hAnsi="Consolas"/>
          <w:color w:val="9B1B30"/>
          <w:sz w:val="19"/>
        </w:rPr>
        <w:t>plantillas/eval_recomendador_topk.docx</w:t>
      </w:r>
      <w:r>
        <w:t>.</w:t>
      </w:r>
    </w:p>
    <w:p>
      <w:pPr>
        <w:pStyle w:val="ListBullet"/>
        <w:spacing w:after="40"/>
      </w:pPr>
      <w:r>
        <w:t xml:space="preserve">[ ] 7. </w:t>
      </w:r>
      <w:r>
        <w:rPr>
          <w:b/>
        </w:rPr>
        <w:t>Comparar</w:t>
      </w:r>
      <w:r>
        <w:t xml:space="preserve"> contra los baselines de </w:t>
      </w:r>
      <w:r>
        <w:rPr>
          <w:b/>
        </w:rPr>
        <w:t>popularidad</w:t>
      </w:r>
      <w:r>
        <w:t xml:space="preserve"> y </w:t>
      </w:r>
      <w:r>
        <w:rPr>
          <w:b/>
        </w:rPr>
        <w:t>azar</w:t>
      </w:r>
      <w:r>
        <w:t xml:space="preserve">; el NDCG@k del modelo debe </w:t>
      </w:r>
      <w:r>
        <w:rPr>
          <w:b/>
        </w:rPr>
        <w:t>superar</w:t>
      </w:r>
      <w:r>
        <w:t xml:space="preserve"> al de la popularidad para hablar de personalización.</w:t>
      </w:r>
    </w:p>
    <w:p>
      <w:pPr>
        <w:pStyle w:val="ListBullet"/>
        <w:spacing w:after="40"/>
      </w:pPr>
      <w:r>
        <w:t xml:space="preserve">[ ] 8. </w:t>
      </w:r>
      <w:r>
        <w:rPr>
          <w:b/>
        </w:rPr>
        <w:t>Declarar el protocolo</w:t>
      </w:r>
      <w:r>
        <w:t xml:space="preserve"> (columna temporal, corte, k, umbral) y volcar los resultados a </w:t>
      </w:r>
      <w:r>
        <w:rPr>
          <w:rFonts w:ascii="Consolas" w:hAnsi="Consolas"/>
          <w:color w:val="9B1B30"/>
          <w:sz w:val="19"/>
        </w:rPr>
        <w:t>resultados/S14_resultados.xlsx</w:t>
      </w:r>
      <w:r>
        <w:t xml:space="preserve"> (hoja </w:t>
      </w:r>
      <w:r>
        <w:rPr>
          <w:rFonts w:ascii="Consolas" w:hAnsi="Consolas"/>
          <w:color w:val="9B1B30"/>
          <w:sz w:val="19"/>
        </w:rPr>
        <w:t>recsys</w:t>
      </w:r>
      <w:r>
        <w:t>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Errores a evitar.</w:t>
      </w:r>
      <w:r>
        <w:rPr>
          <w:color w:val="2D2D2D"/>
        </w:rPr>
        <w:t xml:space="preserve"> (a) Rellenar la matriz con ceros en rating explícito. (b) Partición </w:t>
      </w:r>
      <w:r>
        <w:rPr>
          <w:b/>
          <w:color w:val="2D2D2D"/>
        </w:rPr>
        <w:t>aleatoria</w:t>
      </w:r>
      <w:r>
        <w:rPr>
          <w:color w:val="2D2D2D"/>
        </w:rPr>
        <w:t xml:space="preserve"> en vez de temporal (data leakage). (c) Eliminar el cold start del test para «mejorar» el número. (d) Reportar top-k sin declarar </w:t>
      </w:r>
      <w:r>
        <w:rPr>
          <w:rFonts w:ascii="Consolas" w:hAnsi="Consolas"/>
          <w:color w:val="2D2D2D"/>
          <w:sz w:val="19"/>
        </w:rPr>
        <w:t>k</w:t>
      </w:r>
      <w:r>
        <w:rPr>
          <w:color w:val="2D2D2D"/>
        </w:rPr>
        <w:t xml:space="preserve"> ni umbral. (e) Tratar los ceros del feedback </w:t>
      </w:r>
      <w:r>
        <w:rPr>
          <w:b/>
          <w:color w:val="2D2D2D"/>
        </w:rPr>
        <w:t>implícito</w:t>
      </w:r>
      <w:r>
        <w:rPr>
          <w:color w:val="2D2D2D"/>
        </w:rPr>
        <w:t xml:space="preserve"> como «no le gusta» (ausencia ≠ rechazo).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guía prepara los pasos 1 (matriz usuario-ítem, dispersión), 3 (cold start) y 4 (evaluación con partición temporal) del cuaderno </w:t>
      </w:r>
      <w:r>
        <w:rPr>
          <w:rFonts w:ascii="Consolas" w:hAnsi="Consolas"/>
          <w:color w:val="2D2D2D"/>
          <w:sz w:val="19"/>
        </w:rPr>
        <w:t>notebook/S14_recomendacion.ipynb</w:t>
      </w:r>
      <w:r>
        <w:rPr>
          <w:color w:val="2D2D2D"/>
        </w:rPr>
        <w:t xml:space="preserve"> y del laboratorio </w:t>
      </w:r>
      <w:r>
        <w:rPr>
          <w:rFonts w:ascii="Consolas" w:hAnsi="Consolas"/>
          <w:color w:val="2D2D2D"/>
          <w:sz w:val="19"/>
        </w:rPr>
        <w:t>laboratorio/GUIA_LABORATORIO_S14.docx</w:t>
      </w:r>
      <w:r>
        <w:rPr>
          <w:color w:val="2D2D2D"/>
        </w:rPr>
        <w:t xml:space="preserve">. Junto con </w:t>
      </w:r>
      <w:r>
        <w:rPr>
          <w:rFonts w:ascii="Consolas" w:hAnsi="Consolas"/>
          <w:color w:val="2D2D2D"/>
          <w:sz w:val="19"/>
        </w:rPr>
        <w:t>plantillas/eval_recomendador_topk.docx</w:t>
      </w:r>
      <w:r>
        <w:rPr>
          <w:color w:val="2D2D2D"/>
        </w:rPr>
        <w:t xml:space="preserve"> sostiene el </w:t>
      </w:r>
      <w:r>
        <w:rPr>
          <w:b/>
          <w:color w:val="2D2D2D"/>
        </w:rPr>
        <w:t>entregable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(rúbrica vigesimal 0-20). Derivado de el glosario de la sesión (Sección 1 matriz usuario-ítem, Sección 2 sparsity, Secciones 3-8 tipos de CF, Sección 10 cold start, Sección 11 feedback implícito, Sección 16 partición temporal) e la guía de interpretación de resultados (Sección 6 cold start/dispersión, Sección 7 feedback implícito). Fuentes: Koren, Bell &amp; Volinsky (2009), Computer 42(8):30-37; Sarwar et al. (2001), WWW '01:285-295; Hu, Koren &amp; Volinsky (2008), ICDM '08:263-272; Ricci, Rokach &amp; Shapira (2015), </w:t>
      </w:r>
      <w:r>
        <w:rPr>
          <w:i/>
          <w:color w:val="2D2D2D"/>
        </w:rPr>
        <w:t>Recommender Systems Handbook</w:t>
      </w:r>
      <w:r>
        <w:rPr>
          <w:color w:val="2D2D2D"/>
        </w:rPr>
        <w:t>. Cuaderno en Colab: https://colab.research.google.com/github/jonatanfigueroagil-creator/Herramientas-de-Ciencias-de-Datos/blob/master/Sesiones/S14_recomendacion/notebook/S14_recomendacion.ipynb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 de una página — la matriz usuario-ítem y la partición temporal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