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7A1526"/>
          <w:spacing w:val="40"/>
          <w:sz w:val="15"/>
          <w:szCs w:val="15"/>
        </w:rPr>
        <w:t xml:space="preserve">UPC · FACULTAD DE NEGOCIOS · PROGRAMA ADMINISTRACIÓN Y CIENCIA DE DATOS PARA NEGOCIOS</w:t>
      </w:r>
    </w:p>
    <w:p>
      <w:pPr>
        <w:spacing w:after="40"/>
      </w:pPr>
      <w:r>
        <w:rPr>
          <w:rFonts w:ascii="Cambria" w:cs="Cambria" w:eastAsia="Cambria" w:hAnsi="Cambria"/>
          <w:b/>
          <w:bCs/>
          <w:color w:val="2D2D2D"/>
          <w:sz w:val="36"/>
          <w:szCs w:val="36"/>
        </w:rPr>
        <w:t xml:space="preserve">Entregable evaluable — Sesión S04</w:t>
      </w:r>
    </w:p>
    <w:p>
      <w:pPr>
        <w:pBdr>
          <w:bottom w:val="single" w:color="E4002B" w:sz="18" w:space="10"/>
        </w:pBdr>
        <w:spacing w:after="160"/>
      </w:pPr>
      <w:r>
        <w:rPr>
          <w:rFonts w:ascii="Cambria" w:cs="Cambria" w:eastAsia="Cambria" w:hAnsi="Cambria"/>
          <w:color w:val="7A1526"/>
          <w:sz w:val="28"/>
          <w:szCs w:val="28"/>
        </w:rPr>
        <w:t xml:space="preserve">Modelo de precios de vivienda (Ames) con diagnóstico, dummies e interacción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200"/>
        <w:gridCol w:w="7880"/>
      </w:tblGrid>
      <w:tr>
        <w:tc>
          <w:tcPr>
            <w:tcW w:type="dxa" w:w="22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1526"/>
                <w:sz w:val="15"/>
                <w:szCs w:val="15"/>
              </w:rPr>
              <w:t xml:space="preserve">CURSO</w:t>
            </w:r>
          </w:p>
        </w:tc>
        <w:tc>
          <w:tcPr>
            <w:tcW w:type="dxa" w:w="78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Herramientas para la Ciencia de Datos · Sesión 04 · Regresión lineal múltiple: diagnóstico, dummies, interacciones · Entregable evaluable · Material del estudiante</w:t>
            </w:r>
          </w:p>
        </w:tc>
      </w:tr>
      <w:tr>
        <w:tc>
          <w:tcPr>
            <w:tcW w:type="dxa" w:w="22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1526"/>
                <w:sz w:val="15"/>
                <w:szCs w:val="15"/>
              </w:rPr>
              <w:t xml:space="preserve">MODALIDAD</w:t>
            </w:r>
          </w:p>
        </w:tc>
        <w:tc>
          <w:tcPr>
            <w:tcW w:type="dxa" w:w="78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Trabajo en parejas durante el laboratorio · entrega individual</w:t>
            </w:r>
          </w:p>
        </w:tc>
      </w:tr>
      <w:tr>
        <w:tc>
          <w:tcPr>
            <w:tcW w:type="dxa" w:w="22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1526"/>
                <w:sz w:val="15"/>
                <w:szCs w:val="15"/>
              </w:rPr>
              <w:t xml:space="preserve">CALIFICACIÓN</w:t>
            </w:r>
          </w:p>
        </w:tc>
        <w:tc>
          <w:tcPr>
            <w:tcW w:type="dxa" w:w="78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Escala vigesimal 0–20, según la rúbrica de la sección 4 de este documento</w:t>
            </w:r>
          </w:p>
        </w:tc>
      </w:tr>
      <w:tr>
        <w:tc>
          <w:tcPr>
            <w:tcW w:type="dxa" w:w="22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1526"/>
                <w:sz w:val="15"/>
                <w:szCs w:val="15"/>
              </w:rPr>
              <w:t xml:space="preserve">CUADERNO</w:t>
            </w:r>
          </w:p>
        </w:tc>
        <w:tc>
          <w:tcPr>
            <w:tcW w:type="dxa" w:w="78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onsolas" w:cs="Consolas" w:eastAsia="Consolas" w:hAnsi="Consolas"/>
                <w:color w:val="7A1526"/>
                <w:sz w:val="17"/>
                <w:szCs w:val="17"/>
              </w:rPr>
              <w:t xml:space="preserve">notebook/S04_regresion_multiple.ipynb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(todo el análisis se desarrolla y reproduce aquí)</w:t>
            </w:r>
          </w:p>
        </w:tc>
      </w:tr>
    </w:tbl>
    <w:p>
      <w:pPr>
        <w:spacing w:after="150"/>
      </w:pPr>
    </w:p>
    <w:p>
      <w:pPr>
        <w:spacing w:after="180" w:line="265"/>
      </w:pPr>
      <w:r>
        <w:rPr>
          <w:rFonts w:ascii="Cambria" w:cs="Cambria" w:eastAsia="Cambria" w:hAnsi="Cambria"/>
          <w:color w:val="3A3A3A"/>
          <w:sz w:val="18"/>
          <w:szCs w:val="18"/>
        </w:rPr>
        <w:t xml:space="preserve">Material del estudiante. Trabajo evaluable de la Sesión 4. Español impersonal. </w:t>
      </w:r>
      <w:r>
        <w:rPr>
          <w:rFonts w:ascii="Cambria" w:cs="Cambria" w:eastAsia="Cambria" w:hAnsi="Cambria"/>
          <w:b/>
          <w:bCs/>
          <w:color w:val="3A3A3A"/>
          <w:sz w:val="18"/>
          <w:szCs w:val="18"/>
        </w:rPr>
        <w:t xml:space="preserve">El entregable se completa con:</w:t>
      </w:r>
      <w:r>
        <w:rPr>
          <w:rFonts w:ascii="Cambria" w:cs="Cambria" w:eastAsia="Cambria" w:hAnsi="Cambria"/>
          <w:color w:val="3A3A3A"/>
          <w:sz w:val="18"/>
          <w:szCs w:val="18"/>
        </w:rPr>
        <w:t xml:space="preserve"> la plantilla </w:t>
      </w:r>
      <w:r>
        <w:rPr>
          <w:rFonts w:ascii="Consolas" w:cs="Consolas" w:eastAsia="Consolas" w:hAnsi="Consolas"/>
          <w:color w:val="7A1526"/>
          <w:sz w:val="16"/>
          <w:szCs w:val="16"/>
        </w:rPr>
        <w:t xml:space="preserve">plantillas/checklist_diagnostico_regresion.docx</w:t>
      </w:r>
      <w:r>
        <w:rPr>
          <w:rFonts w:ascii="Cambria" w:cs="Cambria" w:eastAsia="Cambria" w:hAnsi="Cambria"/>
          <w:color w:val="3A3A3A"/>
          <w:sz w:val="18"/>
          <w:szCs w:val="18"/>
        </w:rPr>
        <w:t xml:space="preserve"> (recorrido de VIF, residuales, Breusch-Pagan, Cook) y la plantilla </w:t>
      </w:r>
      <w:r>
        <w:rPr>
          <w:rFonts w:ascii="Consolas" w:cs="Consolas" w:eastAsia="Consolas" w:hAnsi="Consolas"/>
          <w:color w:val="7A1526"/>
          <w:sz w:val="16"/>
          <w:szCs w:val="16"/>
        </w:rPr>
        <w:t xml:space="preserve">plantillas/comparacion_modelos_cv.docx</w:t>
      </w:r>
      <w:r>
        <w:rPr>
          <w:rFonts w:ascii="Cambria" w:cs="Cambria" w:eastAsia="Cambria" w:hAnsi="Cambria"/>
          <w:color w:val="3A3A3A"/>
          <w:sz w:val="18"/>
          <w:szCs w:val="18"/>
        </w:rPr>
        <w:t xml:space="preserve"> (comparación por validación cruzada). Todo el análisis se desarrolla en el cuaderno </w:t>
      </w:r>
      <w:r>
        <w:rPr>
          <w:rFonts w:ascii="Consolas" w:cs="Consolas" w:eastAsia="Consolas" w:hAnsi="Consolas"/>
          <w:color w:val="7A1526"/>
          <w:sz w:val="16"/>
          <w:szCs w:val="16"/>
        </w:rPr>
        <w:t xml:space="preserve">notebook/S04_regresion_multiple.ipynb</w:t>
      </w:r>
      <w:r>
        <w:rPr>
          <w:rFonts w:ascii="Cambria" w:cs="Cambria" w:eastAsia="Cambria" w:hAnsi="Cambria"/>
          <w:color w:val="3A3A3A"/>
          <w:sz w:val="18"/>
          <w:szCs w:val="18"/>
        </w:rPr>
        <w:t xml:space="preserve">. Los ejercicios previos están en </w:t>
      </w:r>
      <w:r>
        <w:rPr>
          <w:rFonts w:ascii="Consolas" w:cs="Consolas" w:eastAsia="Consolas" w:hAnsi="Consolas"/>
          <w:color w:val="7A1526"/>
          <w:sz w:val="16"/>
          <w:szCs w:val="16"/>
        </w:rPr>
        <w:t xml:space="preserve">evaluacion/drills.docx</w:t>
      </w:r>
      <w:r>
        <w:rPr>
          <w:rFonts w:ascii="Cambria" w:cs="Cambria" w:eastAsia="Cambria" w:hAnsi="Cambria"/>
          <w:color w:val="3A3A3A"/>
          <w:sz w:val="18"/>
          <w:szCs w:val="18"/>
        </w:rPr>
        <w:t xml:space="preserve">, el diccionario de variables en </w:t>
      </w:r>
      <w:r>
        <w:rPr>
          <w:rFonts w:ascii="Consolas" w:cs="Consolas" w:eastAsia="Consolas" w:hAnsi="Consolas"/>
          <w:color w:val="7A1526"/>
          <w:sz w:val="16"/>
          <w:szCs w:val="16"/>
        </w:rPr>
        <w:t xml:space="preserve">data/diccionario_datos.md</w:t>
      </w:r>
      <w:r>
        <w:rPr>
          <w:rFonts w:ascii="Cambria" w:cs="Cambria" w:eastAsia="Cambria" w:hAnsi="Cambria"/>
          <w:color w:val="3A3A3A"/>
          <w:sz w:val="18"/>
          <w:szCs w:val="18"/>
        </w:rPr>
        <w:t xml:space="preserve"> y las lecturas en la bibliografía de la sesión.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A1526" w:color="auto" w:val="clear"/>
            <w:tcMar>
              <w:top w:type="dxa" w:w="180"/>
              <w:left w:type="dxa" w:w="150"/>
              <w:bottom w:type="dxa" w:w="180"/>
              <w:right w:type="dxa" w:w="15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30"/>
                <w:sz w:val="15"/>
                <w:szCs w:val="15"/>
              </w:rPr>
              <w:t xml:space="preserve">OBJETIVO DEL ENTREGABLE</w:t>
            </w:r>
          </w:p>
          <w:p>
            <w:pPr>
              <w:spacing w:line="280"/>
            </w:pPr>
            <w:r>
              <w:rPr>
                <w:rFonts w:ascii="Cambria" w:cs="Cambria" w:eastAsia="Cambria" w:hAnsi="Cambria"/>
                <w:color w:val="FFFFFF"/>
                <w:sz w:val="21"/>
                <w:szCs w:val="21"/>
              </w:rPr>
              <w:t xml:space="preserve">Ajustar, diagnosticar, elegir por validación cruzada y comunicar un modelo de regresión lineal múltiple del precio de vivienda de Ames, con al menos una variable dummy y una interacción, hasta convertirlo en una recomendación de negocio accionable y honesta sobre sus límites.</w:t>
            </w:r>
          </w:p>
        </w:tc>
      </w:tr>
    </w:tbl>
    <w:p>
      <w:pPr>
        <w:spacing w:after="200"/>
      </w:pPr>
    </w:p>
    <w:p>
      <w:pPr>
        <w:keepNext/>
        <w:spacing w:after="110" w:before="240"/>
      </w:pPr>
      <w:r>
        <w:rPr>
          <w:rFonts w:ascii="Calibri" w:cs="Calibri" w:eastAsia="Calibri" w:hAnsi="Calibri"/>
          <w:b/>
          <w:bCs/>
          <w:color w:val="7A1526"/>
          <w:sz w:val="21"/>
          <w:szCs w:val="21"/>
        </w:rPr>
        <w:t xml:space="preserve">Contenido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500"/>
        <w:gridCol w:w="6180"/>
        <w:gridCol w:w="2400"/>
      </w:tblGrid>
      <w:tr>
        <w:tc>
          <w:tcPr>
            <w:tcW w:type="dxa" w:w="15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1526"/>
                <w:sz w:val="17"/>
                <w:szCs w:val="17"/>
              </w:rPr>
              <w:t xml:space="preserve">Sección 1</w:t>
            </w:r>
          </w:p>
        </w:tc>
        <w:tc>
          <w:tcPr>
            <w:tcW w:type="dxa" w:w="61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Contexto</w:t>
            </w:r>
          </w:p>
        </w:tc>
        <w:tc>
          <w:tcPr>
            <w:tcW w:type="dxa" w:w="24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6E6E6E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5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1526"/>
                <w:sz w:val="17"/>
                <w:szCs w:val="17"/>
              </w:rPr>
              <w:t xml:space="preserve">Sección 2</w:t>
            </w:r>
          </w:p>
        </w:tc>
        <w:tc>
          <w:tcPr>
            <w:tcW w:type="dxa" w:w="61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La tarea (siete puntos, en este orden)</w:t>
            </w:r>
          </w:p>
        </w:tc>
        <w:tc>
          <w:tcPr>
            <w:tcW w:type="dxa" w:w="24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6E6E6E"/>
                <w:sz w:val="17"/>
                <w:szCs w:val="17"/>
              </w:rPr>
              <w:t xml:space="preserve">máx. 4 páginas + anexos</w:t>
            </w:r>
          </w:p>
        </w:tc>
      </w:tr>
      <w:tr>
        <w:tc>
          <w:tcPr>
            <w:tcW w:type="dxa" w:w="15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1526"/>
                <w:sz w:val="17"/>
                <w:szCs w:val="17"/>
              </w:rPr>
              <w:t xml:space="preserve">Sección 3</w:t>
            </w:r>
          </w:p>
        </w:tc>
        <w:tc>
          <w:tcPr>
            <w:tcW w:type="dxa" w:w="61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Formato de entrega</w:t>
            </w:r>
          </w:p>
        </w:tc>
        <w:tc>
          <w:tcPr>
            <w:tcW w:type="dxa" w:w="24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6E6E6E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5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1526"/>
                <w:sz w:val="17"/>
                <w:szCs w:val="17"/>
              </w:rPr>
              <w:t xml:space="preserve">Sección 4</w:t>
            </w:r>
          </w:p>
        </w:tc>
        <w:tc>
          <w:tcPr>
            <w:tcW w:type="dxa" w:w="61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Rúbrica de evaluación</w:t>
            </w:r>
          </w:p>
        </w:tc>
        <w:tc>
          <w:tcPr>
            <w:tcW w:type="dxa" w:w="24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6E6E6E"/>
                <w:sz w:val="17"/>
                <w:szCs w:val="17"/>
              </w:rPr>
              <w:t xml:space="preserve">vigesimal, total 20</w:t>
            </w:r>
          </w:p>
        </w:tc>
      </w:tr>
    </w:tbl>
    <w:p>
      <w:pPr>
        <w:spacing w:after="220"/>
      </w:pPr>
    </w:p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color w:val="7A1526"/>
          <w:sz w:val="24"/>
          <w:szCs w:val="24"/>
        </w:rPr>
        <w:t xml:space="preserve">1.  </w:t>
      </w:r>
      <w:r>
        <w:rPr>
          <w:rFonts w:ascii="Calibri" w:cs="Calibri" w:eastAsia="Calibri" w:hAnsi="Calibri"/>
          <w:b/>
          <w:bCs/>
          <w:color w:val="7A1526"/>
          <w:spacing w:val="20"/>
          <w:sz w:val="24"/>
          <w:szCs w:val="24"/>
        </w:rPr>
        <w:t xml:space="preserve">CONTEXTO</w:t>
      </w:r>
    </w:p>
    <w:p>
      <w:pPr>
        <w:keepNext/>
        <w:pBdr>
          <w:bottom w:val="single" w:color="E4002B" w:sz="14" w:space="8"/>
        </w:pBdr>
        <w:spacing w:after="140"/>
      </w:pPr>
      <w:r>
        <w:rPr>
          <w:rFonts w:ascii="Cambria" w:cs="Cambria" w:eastAsia="Cambria" w:hAnsi="Cambria"/>
          <w:i/>
          <w:iCs/>
          <w:color w:val="6E6E6E"/>
          <w:sz w:val="19"/>
          <w:szCs w:val="19"/>
        </w:rPr>
        <w:t xml:space="preserve">Ames Housing (De Cock, 2011) y el caso de negocio</w:t>
      </w:r>
      <w:r>
        <w:rPr>
          <w:rFonts w:ascii="Cambria" w:cs="Cambria" w:eastAsia="Cambria" w:hAnsi="Cambria"/>
          <w:b/>
          <w:bCs/>
          <w:color w:val="7A1526"/>
          <w:sz w:val="19"/>
          <w:szCs w:val="19"/>
        </w:rPr>
        <w:t xml:space="preserve"/>
      </w:r>
    </w:p>
    <w:p>
      <w:pPr>
        <w:spacing w:line="270"/>
      </w:pPr>
      <w:r>
        <w:rPr>
          <w:rFonts w:ascii="Cambria" w:cs="Cambria" w:eastAsia="Cambria" w:hAnsi="Cambria"/>
          <w:color w:val="2D2D2D"/>
          <w:sz w:val="20"/>
          <w:szCs w:val="20"/>
        </w:rPr>
        <w:t xml:space="preserve">El dataset Ames Housing (De Cock, 2011) registra </w:t>
      </w:r>
      <w:r>
        <w:rPr>
          <w:rFonts w:ascii="Cambria" w:cs="Cambria" w:eastAsia="Cambria" w:hAnsi="Cambria"/>
          <w:b/>
          <w:bCs/>
          <w:color w:val="2D2D2D"/>
          <w:sz w:val="20"/>
          <w:szCs w:val="20"/>
        </w:rPr>
        <w:t xml:space="preserve">2930 ventas residenciales</w:t>
      </w:r>
      <w:r>
        <w:rPr>
          <w:rFonts w:ascii="Cambria" w:cs="Cambria" w:eastAsia="Cambria" w:hAnsi="Cambria"/>
          <w:color w:val="2D2D2D"/>
          <w:sz w:val="20"/>
          <w:szCs w:val="20"/>
        </w:rPr>
        <w:t xml:space="preserve"> en Ames, Iowa (2006–2010), con el precio de venta (</w:t>
      </w:r>
      <w:r>
        <w:rPr>
          <w:rFonts w:ascii="Consolas" w:cs="Consolas" w:eastAsia="Consolas" w:hAnsi="Consolas"/>
          <w:color w:val="7A1526"/>
          <w:sz w:val="18"/>
          <w:szCs w:val="18"/>
        </w:rPr>
        <w:t xml:space="preserve">SalePrice</w:t>
      </w:r>
      <w:r>
        <w:rPr>
          <w:rFonts w:ascii="Cambria" w:cs="Cambria" w:eastAsia="Cambria" w:hAnsi="Cambria"/>
          <w:color w:val="2D2D2D"/>
          <w:sz w:val="20"/>
          <w:szCs w:val="20"/>
        </w:rPr>
        <w:t xml:space="preserve">, en USD) y ~80 características de cada vivienda: tamaño, calidad, garaje, sótano, año de construcción, barrio, condición de la venta, etc. Se usa la versión canónica </w:t>
      </w:r>
      <w:r>
        <w:rPr>
          <w:rFonts w:ascii="Consolas" w:cs="Consolas" w:eastAsia="Consolas" w:hAnsi="Consolas"/>
          <w:color w:val="7A1526"/>
          <w:sz w:val="18"/>
          <w:szCs w:val="18"/>
        </w:rPr>
        <w:t xml:space="preserve">AmesHousing.csv</w:t>
      </w:r>
      <w:r>
        <w:rPr>
          <w:rFonts w:ascii="Cambria" w:cs="Cambria" w:eastAsia="Cambria" w:hAnsi="Cambria"/>
          <w:color w:val="2D2D2D"/>
          <w:sz w:val="20"/>
          <w:szCs w:val="20"/>
        </w:rPr>
        <w:t xml:space="preserve"> (nombres con espacios: </w:t>
      </w:r>
      <w:r>
        <w:rPr>
          <w:rFonts w:ascii="Consolas" w:cs="Consolas" w:eastAsia="Consolas" w:hAnsi="Consolas"/>
          <w:color w:val="7A1526"/>
          <w:sz w:val="18"/>
          <w:szCs w:val="18"/>
        </w:rPr>
        <w:t xml:space="preserve">Gr Liv Area</w:t>
      </w:r>
      <w:r>
        <w:rPr>
          <w:rFonts w:ascii="Cambria" w:cs="Cambria" w:eastAsia="Cambria" w:hAnsi="Cambria"/>
          <w:color w:val="2D2D2D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7A1526"/>
          <w:sz w:val="18"/>
          <w:szCs w:val="18"/>
        </w:rPr>
        <w:t xml:space="preserve">Overall Qual</w:t>
      </w:r>
      <w:r>
        <w:rPr>
          <w:rFonts w:ascii="Cambria" w:cs="Cambria" w:eastAsia="Cambria" w:hAnsi="Cambria"/>
          <w:color w:val="2D2D2D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7A1526"/>
          <w:sz w:val="18"/>
          <w:szCs w:val="18"/>
        </w:rPr>
        <w:t xml:space="preserve">Total Bsmt SF</w:t>
      </w:r>
      <w:r>
        <w:rPr>
          <w:rFonts w:ascii="Cambria" w:cs="Cambria" w:eastAsia="Cambria" w:hAnsi="Cambria"/>
          <w:color w:val="2D2D2D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7A1526"/>
          <w:sz w:val="18"/>
          <w:szCs w:val="18"/>
        </w:rPr>
        <w:t xml:space="preserve">Garage Cars</w:t>
      </w:r>
      <w:r>
        <w:rPr>
          <w:rFonts w:ascii="Cambria" w:cs="Cambria" w:eastAsia="Cambria" w:hAnsi="Cambria"/>
          <w:color w:val="2D2D2D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7A1526"/>
          <w:sz w:val="18"/>
          <w:szCs w:val="18"/>
        </w:rPr>
        <w:t xml:space="preserve">Year Built</w:t>
      </w:r>
      <w:r>
        <w:rPr>
          <w:rFonts w:ascii="Cambria" w:cs="Cambria" w:eastAsia="Cambria" w:hAnsi="Cambria"/>
          <w:color w:val="2D2D2D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7A1526"/>
          <w:sz w:val="18"/>
          <w:szCs w:val="18"/>
        </w:rPr>
        <w:t xml:space="preserve">Neighborhood</w:t>
      </w:r>
      <w:r>
        <w:rPr>
          <w:rFonts w:ascii="Cambria" w:cs="Cambria" w:eastAsia="Cambria" w:hAnsi="Cambria"/>
          <w:color w:val="2D2D2D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7A1526"/>
          <w:sz w:val="18"/>
          <w:szCs w:val="18"/>
        </w:rPr>
        <w:t xml:space="preserve">Sale Condition</w:t>
      </w:r>
      <w:r>
        <w:rPr>
          <w:rFonts w:ascii="Cambria" w:cs="Cambria" w:eastAsia="Cambria" w:hAnsi="Cambria"/>
          <w:color w:val="2D2D2D"/>
          <w:sz w:val="20"/>
          <w:szCs w:val="20"/>
        </w:rPr>
        <w:t xml:space="preserve">). Ver </w:t>
      </w:r>
      <w:r>
        <w:rPr>
          <w:rFonts w:ascii="Consolas" w:cs="Consolas" w:eastAsia="Consolas" w:hAnsi="Consolas"/>
          <w:color w:val="7A1526"/>
          <w:sz w:val="18"/>
          <w:szCs w:val="18"/>
        </w:rPr>
        <w:t xml:space="preserve">data/diccionario_datos.md</w:t>
      </w:r>
      <w:r>
        <w:rPr>
          <w:rFonts w:ascii="Cambria" w:cs="Cambria" w:eastAsia="Cambria" w:hAnsi="Cambria"/>
          <w:color w:val="2D2D2D"/>
          <w:sz w:val="20"/>
          <w:szCs w:val="20"/>
        </w:rPr>
        <w:t xml:space="preserve">.</w:t>
      </w:r>
    </w:p>
    <w:p>
      <w:pPr>
        <w:spacing w:after="220"/>
      </w:pPr>
    </w:p>
    <w:p>
      <w:pPr>
        <w:spacing w:line="270"/>
      </w:pPr>
      <w:r>
        <w:rPr>
          <w:rFonts w:ascii="Cambria" w:cs="Cambria" w:eastAsia="Cambria" w:hAnsi="Cambria"/>
          <w:color w:val="2D2D2D"/>
          <w:sz w:val="20"/>
          <w:szCs w:val="20"/>
        </w:rPr>
        <w:t xml:space="preserve">Una consultora de tasación masiva (AVM / </w:t>
      </w:r>
      <w:r>
        <w:rPr>
          <w:rFonts w:ascii="Cambria" w:cs="Cambria" w:eastAsia="Cambria" w:hAnsi="Cambria"/>
          <w:i/>
          <w:iCs/>
          <w:color w:val="2D2D2D"/>
          <w:sz w:val="20"/>
          <w:szCs w:val="20"/>
        </w:rPr>
        <w:t xml:space="preserve">pricing</w:t>
      </w:r>
      <w:r>
        <w:rPr>
          <w:rFonts w:ascii="Cambria" w:cs="Cambria" w:eastAsia="Cambria" w:hAnsi="Cambria"/>
          <w:color w:val="2D2D2D"/>
          <w:sz w:val="20"/>
          <w:szCs w:val="20"/>
        </w:rPr>
        <w:t xml:space="preserve"> hedónico) necesita un modelo </w:t>
      </w:r>
      <w:r>
        <w:rPr>
          <w:rFonts w:ascii="Cambria" w:cs="Cambria" w:eastAsia="Cambria" w:hAnsi="Cambria"/>
          <w:b/>
          <w:bCs/>
          <w:color w:val="2D2D2D"/>
          <w:sz w:val="20"/>
          <w:szCs w:val="20"/>
        </w:rPr>
        <w:t xml:space="preserve">interpretable</w:t>
      </w:r>
      <w:r>
        <w:rPr>
          <w:rFonts w:ascii="Cambria" w:cs="Cambria" w:eastAsia="Cambria" w:hAnsi="Cambria"/>
          <w:color w:val="2D2D2D"/>
          <w:sz w:val="20"/>
          <w:szCs w:val="20"/>
        </w:rPr>
        <w:t xml:space="preserve"> que estime el precio y explique </w:t>
      </w:r>
      <w:r>
        <w:rPr>
          <w:rFonts w:ascii="Cambria" w:cs="Cambria" w:eastAsia="Cambria" w:hAnsi="Cambria"/>
          <w:b/>
          <w:bCs/>
          <w:color w:val="2D2D2D"/>
          <w:sz w:val="20"/>
          <w:szCs w:val="20"/>
        </w:rPr>
        <w:t xml:space="preserve">cuánto aporta cada factor</w:t>
      </w:r>
      <w:r>
        <w:rPr>
          <w:rFonts w:ascii="Cambria" w:cs="Cambria" w:eastAsia="Cambria" w:hAnsi="Cambria"/>
          <w:color w:val="2D2D2D"/>
          <w:sz w:val="20"/>
          <w:szCs w:val="20"/>
        </w:rPr>
        <w:t xml:space="preserve"> y que cumpla estándares de diagnóstico y validación exigibles en producción (ver las fuentes de actualidad de la sesión: la regla AVM de EE. UU. vigente desde 01/10/2025 obliga a controles de calidad y no discriminación).</w:t>
      </w:r>
    </w:p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color w:val="7A1526"/>
          <w:sz w:val="24"/>
          <w:szCs w:val="24"/>
        </w:rPr>
        <w:t xml:space="preserve">2.  </w:t>
      </w:r>
      <w:r>
        <w:rPr>
          <w:rFonts w:ascii="Calibri" w:cs="Calibri" w:eastAsia="Calibri" w:hAnsi="Calibri"/>
          <w:b/>
          <w:bCs/>
          <w:color w:val="7A1526"/>
          <w:spacing w:val="20"/>
          <w:sz w:val="24"/>
          <w:szCs w:val="24"/>
        </w:rPr>
        <w:t xml:space="preserve">TAREA</w:t>
      </w:r>
    </w:p>
    <w:p>
      <w:pPr>
        <w:keepNext/>
        <w:pBdr>
          <w:bottom w:val="single" w:color="E4002B" w:sz="14" w:space="8"/>
        </w:pBdr>
        <w:spacing w:after="140"/>
      </w:pPr>
      <w:r>
        <w:rPr>
          <w:rFonts w:ascii="Cambria" w:cs="Cambria" w:eastAsia="Cambria" w:hAnsi="Cambria"/>
          <w:i/>
          <w:iCs/>
          <w:color w:val="6E6E6E"/>
          <w:sz w:val="19"/>
          <w:szCs w:val="19"/>
        </w:rPr>
        <w:t xml:space="preserve">Ajustar, diagnosticar, elegir por CV y comunicar el modelo — informe máx. 4 páginas + anexos</w:t>
      </w:r>
      <w:r>
        <w:rPr>
          <w:rFonts w:ascii="Cambria" w:cs="Cambria" w:eastAsia="Cambria" w:hAnsi="Cambria"/>
          <w:b/>
          <w:bCs/>
          <w:color w:val="7A1526"/>
          <w:sz w:val="19"/>
          <w:szCs w:val="19"/>
        </w:rPr>
        <w:t xml:space="preserve"/>
      </w:r>
    </w:p>
    <w:p>
      <w:pPr>
        <w:spacing w:line="270"/>
      </w:pPr>
      <w:r>
        <w:rPr>
          <w:rFonts w:ascii="Cambria" w:cs="Cambria" w:eastAsia="Cambria" w:hAnsi="Cambria"/>
          <w:color w:val="2D2D2D"/>
          <w:sz w:val="20"/>
          <w:szCs w:val="20"/>
        </w:rPr>
        <w:t xml:space="preserve">Ajustar, diagnosticar, </w:t>
      </w:r>
      <w:r>
        <w:rPr>
          <w:rFonts w:ascii="Cambria" w:cs="Cambria" w:eastAsia="Cambria" w:hAnsi="Cambria"/>
          <w:b/>
          <w:bCs/>
          <w:color w:val="2D2D2D"/>
          <w:sz w:val="20"/>
          <w:szCs w:val="20"/>
        </w:rPr>
        <w:t xml:space="preserve">elegir por validación cruzada</w:t>
      </w:r>
      <w:r>
        <w:rPr>
          <w:rFonts w:ascii="Cambria" w:cs="Cambria" w:eastAsia="Cambria" w:hAnsi="Cambria"/>
          <w:color w:val="2D2D2D"/>
          <w:sz w:val="20"/>
          <w:szCs w:val="20"/>
        </w:rPr>
        <w:t xml:space="preserve"> y comunicar un </w:t>
      </w:r>
      <w:r>
        <w:rPr>
          <w:rFonts w:ascii="Cambria" w:cs="Cambria" w:eastAsia="Cambria" w:hAnsi="Cambria"/>
          <w:b/>
          <w:bCs/>
          <w:color w:val="2D2D2D"/>
          <w:sz w:val="20"/>
          <w:szCs w:val="20"/>
        </w:rPr>
        <w:t xml:space="preserve">modelo de regresión lineal múltiple</w:t>
      </w:r>
      <w:r>
        <w:rPr>
          <w:rFonts w:ascii="Cambria" w:cs="Cambria" w:eastAsia="Cambria" w:hAnsi="Cambria"/>
          <w:color w:val="2D2D2D"/>
          <w:sz w:val="20"/>
          <w:szCs w:val="20"/>
        </w:rPr>
        <w:t xml:space="preserve"> del precio de vivienda de Ames. El informe (máx. 4 páginas + anexos del cuaderno) debe contener, en este orden:</w:t>
      </w:r>
    </w:p>
    <w:p>
      <w:pPr>
        <w:spacing w:after="220"/>
      </w:pP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80"/>
      </w:tblGrid>
      <w:tr>
        <w:tc>
          <w:tcPr>
            <w:tcW w:type="dxa" w:w="10080"/>
            <w:tcBorders>
              <w:top w:val="single" w:color="E4002B" w:sz="14"/>
              <w:left w:val="none" w:color="FFFFFF" w:sz="0"/>
              <w:bottom w:val="single" w:color="D9D9D9" w:sz="4"/>
              <w:right w:val="none" w:color="FFFFFF" w:sz="0"/>
            </w:tcBorders>
            <w:shd w:fill="F2F3F5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keepNext/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7A1526"/>
                <w:sz w:val="15"/>
                <w:szCs w:val="15"/>
              </w:rPr>
              <w:t xml:space="preserve">NOTA TÉCNICA 2.1   </w:t>
            </w:r>
            <w:r>
              <w:rPr>
                <w:rFonts w:ascii="Calibri" w:cs="Calibri" w:eastAsia="Calibri" w:hAnsi="Calibri"/>
                <w:b/>
                <w:bCs/>
                <w:color w:val="7A1526"/>
                <w:sz w:val="19"/>
                <w:szCs w:val="19"/>
              </w:rPr>
              <w:t xml:space="preserve">Preparación y limpieza</w:t>
            </w:r>
          </w:p>
          <w:p>
            <w:pPr>
              <w:spacing w:after="70" w:line="265"/>
            </w:pP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Cargar </w:t>
            </w:r>
            <w:r>
              <w:rPr>
                <w:rFonts w:ascii="Consolas" w:cs="Consolas" w:eastAsia="Consolas" w:hAnsi="Consolas"/>
                <w:color w:val="7A1526"/>
                <w:sz w:val="16"/>
                <w:szCs w:val="16"/>
              </w:rPr>
              <w:t xml:space="preserve">AmesHousing.csv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, verificar la relación clave </w:t>
            </w:r>
            <w:r>
              <w:rPr>
                <w:rFonts w:ascii="Consolas" w:cs="Consolas" w:eastAsia="Consolas" w:hAnsi="Consolas"/>
                <w:color w:val="7A1526"/>
                <w:sz w:val="16"/>
                <w:szCs w:val="16"/>
              </w:rPr>
              <w:t xml:space="preserve">SalePrice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~ </w:t>
            </w:r>
            <w:r>
              <w:rPr>
                <w:rFonts w:ascii="Consolas" w:cs="Consolas" w:eastAsia="Consolas" w:hAnsi="Consolas"/>
                <w:color w:val="7A1526"/>
                <w:sz w:val="16"/>
                <w:szCs w:val="16"/>
              </w:rPr>
              <w:t xml:space="preserve">Gr Liv Area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(correlación) y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remover las ventas atípicas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con </w:t>
            </w:r>
            <w:r>
              <w:rPr>
                <w:rFonts w:ascii="Consolas" w:cs="Consolas" w:eastAsia="Consolas" w:hAnsi="Consolas"/>
                <w:color w:val="7A1526"/>
                <w:sz w:val="16"/>
                <w:szCs w:val="16"/>
              </w:rPr>
              <w:t xml:space="preserve">Gr Liv Area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&gt; 4000 (según la recomendación de De Cock), tras inspeccionar su </w:t>
            </w:r>
            <w:r>
              <w:rPr>
                <w:rFonts w:ascii="Consolas" w:cs="Consolas" w:eastAsia="Consolas" w:hAnsi="Consolas"/>
                <w:color w:val="7A1526"/>
                <w:sz w:val="16"/>
                <w:szCs w:val="16"/>
              </w:rPr>
              <w:t xml:space="preserve">Sale Condition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para justificar </w:t>
            </w:r>
            <w:r>
              <w:rPr>
                <w:rFonts w:ascii="Cambria" w:cs="Cambria" w:eastAsia="Cambria" w:hAnsi="Cambria"/>
                <w:i/>
                <w:iCs/>
                <w:color w:val="3A3A3A"/>
                <w:sz w:val="18"/>
                <w:szCs w:val="18"/>
              </w:rPr>
              <w:t xml:space="preserve">por qué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se remueven (no borrado ciego). Reportar el n final.</w:t>
            </w:r>
          </w:p>
        </w:tc>
      </w:tr>
    </w:tbl>
    <w:p>
      <w:pPr>
        <w:spacing w:after="220"/>
      </w:pP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80"/>
      </w:tblGrid>
      <w:tr>
        <w:tc>
          <w:tcPr>
            <w:tcW w:type="dxa" w:w="10080"/>
            <w:tcBorders>
              <w:top w:val="single" w:color="E4002B" w:sz="14"/>
              <w:left w:val="none" w:color="FFFFFF" w:sz="0"/>
              <w:bottom w:val="single" w:color="D9D9D9" w:sz="4"/>
              <w:right w:val="none" w:color="FFFFFF" w:sz="0"/>
            </w:tcBorders>
            <w:shd w:fill="F2F3F5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keepNext/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7A1526"/>
                <w:sz w:val="15"/>
                <w:szCs w:val="15"/>
              </w:rPr>
              <w:t xml:space="preserve">NOTA TÉCNICA 2.2   </w:t>
            </w:r>
            <w:r>
              <w:rPr>
                <w:rFonts w:ascii="Calibri" w:cs="Calibri" w:eastAsia="Calibri" w:hAnsi="Calibri"/>
                <w:b/>
                <w:bCs/>
                <w:color w:val="7A1526"/>
                <w:sz w:val="19"/>
                <w:szCs w:val="19"/>
              </w:rPr>
              <w:t xml:space="preserve">Especificación del modelo</w:t>
            </w:r>
          </w:p>
          <w:p>
            <w:pPr>
              <w:spacing w:after="70" w:line="265"/>
            </w:pP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Ajustar un OLS múltiple </w:t>
            </w:r>
            <w:r>
              <w:rPr>
                <w:rFonts w:ascii="Consolas" w:cs="Consolas" w:eastAsia="Consolas" w:hAnsi="Consolas"/>
                <w:color w:val="7A1526"/>
                <w:sz w:val="16"/>
                <w:szCs w:val="16"/>
              </w:rPr>
              <w:t xml:space="preserve">Y = β0 + β1X1 + β2X2 +... + βpXp + ε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(cada βj es un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efecto parcial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, </w:t>
            </w:r>
            <w:r>
              <w:rPr>
                <w:rFonts w:ascii="Cambria" w:cs="Cambria" w:eastAsia="Cambria" w:hAnsi="Cambria"/>
                <w:i/>
                <w:iCs/>
                <w:color w:val="3A3A3A"/>
                <w:sz w:val="18"/>
                <w:szCs w:val="18"/>
              </w:rPr>
              <w:t xml:space="preserve">ceteris paribus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) con al menos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cuatro predictores numéricos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,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al menos una variable dummy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(p. ej. barrio premium o </w:t>
            </w:r>
            <w:r>
              <w:rPr>
                <w:rFonts w:ascii="Consolas" w:cs="Consolas" w:eastAsia="Consolas" w:hAnsi="Consolas"/>
                <w:color w:val="7A1526"/>
                <w:sz w:val="16"/>
                <w:szCs w:val="16"/>
              </w:rPr>
              <w:t xml:space="preserve">Central Air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, que evite la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dummy redundante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con categoría de referencia) y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al menos una interacción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con sentido de negocio, del tipo </w:t>
            </w:r>
            <w:r>
              <w:rPr>
                <w:rFonts w:ascii="Consolas" w:cs="Consolas" w:eastAsia="Consolas" w:hAnsi="Consolas"/>
                <w:color w:val="7A1526"/>
                <w:sz w:val="16"/>
                <w:szCs w:val="16"/>
              </w:rPr>
              <w:t xml:space="preserve">Y = β0 + β1X1 + β2X2 + β3(X1X2) + ε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(recomendada: </w:t>
            </w:r>
            <w:r>
              <w:rPr>
                <w:rFonts w:ascii="Consolas" w:cs="Consolas" w:eastAsia="Consolas" w:hAnsi="Consolas"/>
                <w:color w:val="7A1526"/>
                <w:sz w:val="16"/>
                <w:szCs w:val="16"/>
              </w:rPr>
              <w:t xml:space="preserve">Gr Liv Area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× zona).</w:t>
            </w:r>
          </w:p>
          <w:p>
            <w:pPr>
              <w:spacing w:after="70" w:line="265"/>
            </w:pP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Si el precio es asimétrico, aplicar y justificar la transformación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log(</w:t>
            </w:r>
            <w:r>
              <w:rPr>
                <w:rFonts w:ascii="Consolas" w:cs="Consolas" w:eastAsia="Consolas" w:hAnsi="Consolas"/>
                <w:b/>
                <w:bCs/>
                <w:color w:val="7A1526"/>
                <w:sz w:val="16"/>
                <w:szCs w:val="16"/>
              </w:rPr>
              <w:t xml:space="preserve">SalePrice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)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(los coeficientes pasan a leerse como cambios porcentuales, ≈ </w:t>
            </w:r>
            <w:r>
              <w:rPr>
                <w:rFonts w:ascii="Consolas" w:cs="Consolas" w:eastAsia="Consolas" w:hAnsi="Consolas"/>
                <w:color w:val="7A1526"/>
                <w:sz w:val="16"/>
                <w:szCs w:val="16"/>
              </w:rPr>
              <w:t xml:space="preserve">100·βj %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). Respetar el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principio de jerarquía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(mantener los términos principales de toda interacción).</w:t>
            </w:r>
          </w:p>
        </w:tc>
      </w:tr>
    </w:tbl>
    <w:p>
      <w:pPr>
        <w:spacing w:after="220"/>
      </w:pP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80"/>
      </w:tblGrid>
      <w:tr>
        <w:tc>
          <w:tcPr>
            <w:tcW w:type="dxa" w:w="10080"/>
            <w:tcBorders>
              <w:top w:val="single" w:color="E4002B" w:sz="14"/>
              <w:left w:val="none" w:color="FFFFFF" w:sz="0"/>
              <w:bottom w:val="single" w:color="D9D9D9" w:sz="4"/>
              <w:right w:val="none" w:color="FFFFFF" w:sz="0"/>
            </w:tcBorders>
            <w:shd w:fill="F2F3F5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keepNext/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7A1526"/>
                <w:sz w:val="15"/>
                <w:szCs w:val="15"/>
              </w:rPr>
              <w:t xml:space="preserve">NOTA TÉCNICA 2.3   </w:t>
            </w:r>
            <w:r>
              <w:rPr>
                <w:rFonts w:ascii="Calibri" w:cs="Calibri" w:eastAsia="Calibri" w:hAnsi="Calibri"/>
                <w:b/>
                <w:bCs/>
                <w:color w:val="7A1526"/>
                <w:sz w:val="19"/>
                <w:szCs w:val="19"/>
              </w:rPr>
              <w:t xml:space="preserve">Diagnóstico de multicolinealidad</w:t>
            </w:r>
          </w:p>
          <w:p>
            <w:pPr>
              <w:spacing w:after="70" w:line="265"/>
            </w:pP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Calcular el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VIF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de cada predictor, </w:t>
            </w:r>
            <w:r>
              <w:rPr>
                <w:rFonts w:ascii="Consolas" w:cs="Consolas" w:eastAsia="Consolas" w:hAnsi="Consolas"/>
                <w:color w:val="7A1526"/>
                <w:sz w:val="16"/>
                <w:szCs w:val="16"/>
              </w:rPr>
              <w:t xml:space="preserve">VIF_j = 1 / (1 - R_j^2)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(con R²j el de regresar Xj contra los demás predictores; sin interpretar el del intercepto), y decidir, con los umbrales 5/10, si algún predictor debe eliminarse, combinarse o transformarse.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Prohibido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usar LASSO/Ridge para seleccionar (materia de S05).</w:t>
            </w:r>
          </w:p>
        </w:tc>
      </w:tr>
    </w:tbl>
    <w:p>
      <w:pPr>
        <w:spacing w:after="220"/>
      </w:pP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80"/>
      </w:tblGrid>
      <w:tr>
        <w:tc>
          <w:tcPr>
            <w:tcW w:type="dxa" w:w="10080"/>
            <w:tcBorders>
              <w:top w:val="single" w:color="E4002B" w:sz="14"/>
              <w:left w:val="none" w:color="FFFFFF" w:sz="0"/>
              <w:bottom w:val="single" w:color="D9D9D9" w:sz="4"/>
              <w:right w:val="none" w:color="FFFFFF" w:sz="0"/>
            </w:tcBorders>
            <w:shd w:fill="F2F3F5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keepNext/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7A1526"/>
                <w:sz w:val="15"/>
                <w:szCs w:val="15"/>
              </w:rPr>
              <w:t xml:space="preserve">NOTA TÉCNICA 2.4   </w:t>
            </w:r>
            <w:r>
              <w:rPr>
                <w:rFonts w:ascii="Calibri" w:cs="Calibri" w:eastAsia="Calibri" w:hAnsi="Calibri"/>
                <w:b/>
                <w:bCs/>
                <w:color w:val="7A1526"/>
                <w:sz w:val="19"/>
                <w:szCs w:val="19"/>
              </w:rPr>
              <w:t xml:space="preserve">Diagnóstico y corrección de supuestos (obligatorio identificar y corregir al menos uno por método)</w:t>
            </w:r>
          </w:p>
          <w:p>
            <w:pPr>
              <w:spacing w:after="70" w:line="265"/>
            </w:pP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Graficar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residuales vs. ajustados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y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Q-Q plot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;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reportar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el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Durbin-Watson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con su lectura correcta; aplicar la prueba de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Breusch-Pagan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.</w:t>
            </w:r>
          </w:p>
          <w:p>
            <w:pPr>
              <w:spacing w:after="70" w:line="265"/>
            </w:pP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Durbin-Watson, con su condición previa: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el DW contrasta la correlación entre residuales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consecutivos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, así que solo informa cuando el orden de las filas significa algo. En Ames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significa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: </w:t>
            </w:r>
            <w:r>
              <w:rPr>
                <w:rFonts w:ascii="Consolas" w:cs="Consolas" w:eastAsia="Consolas" w:hAnsi="Consolas"/>
                <w:color w:val="7A1526"/>
                <w:sz w:val="16"/>
                <w:szCs w:val="16"/>
              </w:rPr>
              <w:t xml:space="preserve">AmesHousing.csv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viene ordenado por PID y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agrupado geográficamente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(86.4 % de filas contiguas comparten barrio), de modo que el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DW ≈ 1.68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(DW ≈ 2(1 − ρ̂) ⇒ ρ̂ ≈ 0.16) es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señal real de dependencia espacial residual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: con los residuos barajados el DW vuelve a ≈ 1.97 y ordenados por barrio reproduce el 1.70 ≈ 1.68 (hoja </w:t>
            </w:r>
            <w:r>
              <w:rPr>
                <w:rFonts w:ascii="Consolas" w:cs="Consolas" w:eastAsia="Consolas" w:hAnsi="Consolas"/>
                <w:color w:val="7A1526"/>
                <w:sz w:val="16"/>
                <w:szCs w:val="16"/>
              </w:rPr>
              <w:t xml:space="preserve">se_cluster_barrio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del Excel). Dos lecturas que la rúbrica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penaliza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: «cercano a 2 ⇒ autocorrelación leve/nula, aceptable»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y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«no aplica por ser corte transversal».</w:t>
            </w:r>
          </w:p>
          <w:p>
            <w:pPr>
              <w:spacing w:after="70" w:line="265"/>
            </w:pP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Consecuencia: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con dependencia intra-barrio los SE clásicos y los HC3 quedan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optimistas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; el remedio de S04 es reportar además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SE agrupados por barrio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(×2.3–2.9 sobre el clásico en los coeficientes clave, hoja </w:t>
            </w:r>
            <w:r>
              <w:rPr>
                <w:rFonts w:ascii="Consolas" w:cs="Consolas" w:eastAsia="Consolas" w:hAnsi="Consolas"/>
                <w:color w:val="7A1526"/>
                <w:sz w:val="16"/>
                <w:szCs w:val="16"/>
              </w:rPr>
              <w:t xml:space="preserve">se_cluster_barrio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). El tratamiento completo (Newey-West/HAC, modelos espaciales o de series) es materia de S11+.</w:t>
            </w:r>
          </w:p>
          <w:p>
            <w:pPr>
              <w:spacing w:after="70" w:line="265"/>
            </w:pP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Normalidad: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el Q-Q del modelo en log muestra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colas pesadas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y la prueba de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Jarque-Bera rechaza la normalidad (JB ≈ 16 160, p ≈ 0)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— no es una desviación leve; con n ≈ 2923 el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TCL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protege la inferencia de los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coeficientes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, pero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no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los intervalos de predicción por vivienda (por eso la banda de tasación se comunica con el RMSE de la CV y la incertidumbre de los coeficientes con HC3). Si se rechaza homocedasticidad (p &lt; 0.05),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reportar los coeficientes con errores estándar robustos (HC3)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y/o justificar la transformación log.</w:t>
            </w:r>
          </w:p>
          <w:p>
            <w:pPr>
              <w:spacing w:after="70" w:line="265"/>
            </w:pP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Atención al modelo que decide: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el múltiple en log(</w:t>
            </w:r>
            <w:r>
              <w:rPr>
                <w:rFonts w:ascii="Consolas" w:cs="Consolas" w:eastAsia="Consolas" w:hAnsi="Consolas"/>
                <w:color w:val="7A1526"/>
                <w:sz w:val="16"/>
                <w:szCs w:val="16"/>
              </w:rPr>
              <w:t xml:space="preserve">SalePrice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) —el que produce los coeficientes de tasación—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todavía rechaza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homocedasticidad (Breusch-Pagan LM ≈ 83, p &lt; 0.05), aunque mucho menos que en nivel; por eso la significancia de esos coeficientes se juzga con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errores robustos HC3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, no con los clásicos. Listar los candidatos a inspección por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distancia de Cook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(</w:t>
            </w:r>
            <w:r>
              <w:rPr>
                <w:rFonts w:ascii="Consolas" w:cs="Consolas" w:eastAsia="Consolas" w:hAnsi="Consolas"/>
                <w:color w:val="7A1526"/>
                <w:sz w:val="16"/>
                <w:szCs w:val="16"/>
              </w:rPr>
              <w:t xml:space="preserve">Di &gt; 4/n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) sin borrarlos automáticamente.</w:t>
            </w:r>
          </w:p>
          <w:p>
            <w:pPr>
              <w:spacing w:after="70" w:line="265"/>
            </w:pP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Como mínimo, identificar explícitamente un supuesto pertinente —multicolinealidad (VIF), heterocedasticidad (Breusch-Pagan </w:t>
            </w:r>
            <w:r>
              <w:rPr>
                <w:rFonts w:ascii="Calibri" w:cs="Calibri" w:eastAsia="Calibri" w:hAnsi="Calibri"/>
                <w:b/>
                <w:bCs/>
                <w:color w:val="3A3A3A"/>
                <w:sz w:val="18"/>
                <w:szCs w:val="18"/>
              </w:rPr>
              <w:t xml:space="preserve">→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 HC3) o influyentes/atípicos (Cook, las 5 ventas </w:t>
            </w:r>
            <w:r>
              <w:rPr>
                <w:rFonts w:ascii="Consolas" w:cs="Consolas" w:eastAsia="Consolas" w:hAnsi="Consolas"/>
                <w:b/>
                <w:bCs/>
                <w:color w:val="7A1526"/>
                <w:sz w:val="16"/>
                <w:szCs w:val="16"/>
              </w:rPr>
              <w:t xml:space="preserve">Gr Liv Area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 &gt; 4000 de De Cock)— e indicar cómo se diagnostica (prueba/gráfico + umbral) y cómo se corrige y por qué método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, según la guía de supuestos de la sesión (multicolinealidad Parte 1.5; heterocedasticidad Parte 1.3; influyentes Parte 2.2). En S04 la corrección es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clásica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: transformar (log), errores robustos HC3, o quitar/combinar predictores colineales; nunca Ridge/Lasso.</w:t>
            </w:r>
          </w:p>
        </w:tc>
      </w:tr>
    </w:tbl>
    <w:p>
      <w:pPr>
        <w:spacing w:after="220"/>
      </w:pP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80"/>
      </w:tblGrid>
      <w:tr>
        <w:tc>
          <w:tcPr>
            <w:tcW w:type="dxa" w:w="10080"/>
            <w:tcBorders>
              <w:top w:val="single" w:color="E4002B" w:sz="14"/>
              <w:left w:val="none" w:color="FFFFFF" w:sz="0"/>
              <w:bottom w:val="single" w:color="D9D9D9" w:sz="4"/>
              <w:right w:val="none" w:color="FFFFFF" w:sz="0"/>
            </w:tcBorders>
            <w:shd w:fill="F2F3F5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keepNext/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7A1526"/>
                <w:sz w:val="15"/>
                <w:szCs w:val="15"/>
              </w:rPr>
              <w:t xml:space="preserve">NOTA TÉCNICA 2.5   </w:t>
            </w:r>
            <w:r>
              <w:rPr>
                <w:rFonts w:ascii="Calibri" w:cs="Calibri" w:eastAsia="Calibri" w:hAnsi="Calibri"/>
                <w:b/>
                <w:bCs/>
                <w:color w:val="7A1526"/>
                <w:sz w:val="19"/>
                <w:szCs w:val="19"/>
              </w:rPr>
              <w:t xml:space="preserve">Selección por validación cruzada</w:t>
            </w:r>
          </w:p>
          <w:p>
            <w:pPr>
              <w:spacing w:after="70" w:line="265"/>
            </w:pP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Comparar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al menos dos modelos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(p. ej. simple vs. múltiple, o con/sin la interacción) por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CV 5-fold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(KFold(5, shuffle=True, </w:t>
            </w:r>
            <w:r>
              <w:rPr>
                <w:rFonts w:ascii="Consolas" w:cs="Consolas" w:eastAsia="Consolas" w:hAnsi="Consolas"/>
                <w:color w:val="7A1526"/>
                <w:sz w:val="16"/>
                <w:szCs w:val="16"/>
              </w:rPr>
              <w:t xml:space="preserve">random_state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=42)), y reportar el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RMSE medio ± sd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en USD. Elegir el modelo por el RMSE de CV (no por el R² in-sample), y justificar también con el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R² ajustado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7A1526"/>
                <w:sz w:val="16"/>
                <w:szCs w:val="16"/>
              </w:rPr>
              <w:t xml:space="preserve">R²_aj = 1 - (1 - R²)·(n-1)/(n-p-1)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(penaliza por el nº de predictores p).</w:t>
            </w:r>
          </w:p>
        </w:tc>
      </w:tr>
    </w:tbl>
    <w:p>
      <w:pPr>
        <w:spacing w:after="220"/>
      </w:pP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80"/>
      </w:tblGrid>
      <w:tr>
        <w:tc>
          <w:tcPr>
            <w:tcW w:type="dxa" w:w="10080"/>
            <w:tcBorders>
              <w:top w:val="single" w:color="E4002B" w:sz="14"/>
              <w:left w:val="none" w:color="FFFFFF" w:sz="0"/>
              <w:bottom w:val="single" w:color="D9D9D9" w:sz="4"/>
              <w:right w:val="none" w:color="FFFFFF" w:sz="0"/>
            </w:tcBorders>
            <w:shd w:fill="F2F3F5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keepNext/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7A1526"/>
                <w:sz w:val="15"/>
                <w:szCs w:val="15"/>
              </w:rPr>
              <w:t xml:space="preserve">NOTA TÉCNICA 2.6   </w:t>
            </w:r>
            <w:r>
              <w:rPr>
                <w:rFonts w:ascii="Calibri" w:cs="Calibri" w:eastAsia="Calibri" w:hAnsi="Calibri"/>
                <w:b/>
                <w:bCs/>
                <w:color w:val="7A1526"/>
                <w:sz w:val="19"/>
                <w:szCs w:val="19"/>
              </w:rPr>
              <w:t xml:space="preserve">Interpretación en unidades de negocio</w:t>
            </w:r>
          </w:p>
          <w:p>
            <w:pPr>
              <w:spacing w:after="70" w:line="265"/>
            </w:pP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Traducir los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coeficientes parciales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del modelo elegido a lenguaje de negocio: con log(precio), cada β como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cambio porcentual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(≈ </w:t>
            </w:r>
            <w:r>
              <w:rPr>
                <w:rFonts w:ascii="Consolas" w:cs="Consolas" w:eastAsia="Consolas" w:hAnsi="Consolas"/>
                <w:color w:val="7A1526"/>
                <w:sz w:val="16"/>
                <w:szCs w:val="16"/>
              </w:rPr>
              <w:t xml:space="preserve">100·βj %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; exacto </w:t>
            </w:r>
            <w:r>
              <w:rPr>
                <w:rFonts w:ascii="Consolas" w:cs="Consolas" w:eastAsia="Consolas" w:hAnsi="Consolas"/>
                <w:color w:val="7A1526"/>
                <w:sz w:val="16"/>
                <w:szCs w:val="16"/>
              </w:rPr>
              <w:t xml:space="preserve">100·(e^βj − 1) %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); la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pendiente condicional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de la interacción </w:t>
            </w:r>
            <w:r>
              <w:rPr>
                <w:rFonts w:ascii="Consolas" w:cs="Consolas" w:eastAsia="Consolas" w:hAnsi="Consolas"/>
                <w:color w:val="7A1526"/>
                <w:sz w:val="16"/>
                <w:szCs w:val="16"/>
              </w:rPr>
              <w:t xml:space="preserve">β1 + β3·premium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(el valor del pie² según la zona); las dummies como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diferencia respecto a la categoría base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. Reportar el IC 95 % de los coeficientes clave.</w:t>
            </w:r>
          </w:p>
          <w:p>
            <w:pPr>
              <w:spacing w:after="70" w:line="265"/>
            </w:pP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Cerrar al menos un coeficiente en dinero absoluto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sobre una vivienda concreta: traducir el efecto porcentual a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USD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(p. ej., el efecto de un punto de calidad general sobre una casa al precio mediano de Ames, ≈ 160 000 USD), para que la lectura no quede solo en porcentaje.</w:t>
            </w:r>
          </w:p>
        </w:tc>
      </w:tr>
    </w:tbl>
    <w:p>
      <w:pPr>
        <w:spacing w:after="220"/>
      </w:pP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80"/>
      </w:tblGrid>
      <w:tr>
        <w:tc>
          <w:tcPr>
            <w:tcW w:type="dxa" w:w="10080"/>
            <w:tcBorders>
              <w:top w:val="single" w:color="E4002B" w:sz="14"/>
              <w:left w:val="none" w:color="FFFFFF" w:sz="0"/>
              <w:bottom w:val="single" w:color="D9D9D9" w:sz="4"/>
              <w:right w:val="none" w:color="FFFFFF" w:sz="0"/>
            </w:tcBorders>
            <w:shd w:fill="F2F3F5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keepNext/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7A1526"/>
                <w:sz w:val="15"/>
                <w:szCs w:val="15"/>
              </w:rPr>
              <w:t xml:space="preserve">NOTA TÉCNICA 2.7   </w:t>
            </w:r>
            <w:r>
              <w:rPr>
                <w:rFonts w:ascii="Calibri" w:cs="Calibri" w:eastAsia="Calibri" w:hAnsi="Calibri"/>
                <w:b/>
                <w:bCs/>
                <w:color w:val="7A1526"/>
                <w:sz w:val="19"/>
                <w:szCs w:val="19"/>
              </w:rPr>
              <w:t xml:space="preserve">Del modelo a la decisión (recomendación accionable)</w:t>
            </w:r>
          </w:p>
          <w:p>
            <w:pPr>
              <w:spacing w:after="70" w:line="265"/>
            </w:pP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No basta con listar coeficientes: hay que convertir el modelo en una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decisión de negocio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y acotar honestamente su valor.</w:t>
            </w:r>
          </w:p>
          <w:p>
            <w:pPr>
              <w:spacing w:after="70" w:line="265"/>
            </w:pP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Regla de decisión.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Usar el modelo para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priorizar viviendas subvaloradas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: señalar como oportunidad de compra las viviendas cuyo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precio esperado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(predicho) supera al precio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pedido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por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más que la banda de error del modelo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(el RMSE de la CV, ≈ 33 300 USD (σ = 33 308, modelo en nivel; con el log desplegado ≈ −18 % — nota de la guía sección 3.9)). Una brecha menor que esa banda es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ruido, no señal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.</w:t>
            </w:r>
          </w:p>
          <w:p>
            <w:pPr>
              <w:spacing w:after="70" w:line="265"/>
            </w:pP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Valor y sensibilidad.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Cuantificar el valor esperado de la regla (dinero de la oportunidad menos la incertidumbre del modelo) y mostrar cómo cambia la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lista corta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de candidatas al mover el umbral (p. ej. exigir una brecha de 1·RMSE frente a 0,5·RMSE) y qué se gana o se pierde (más candidatas, pero más falsos positivos).</w:t>
            </w:r>
          </w:p>
          <w:p>
            <w:pPr>
              <w:spacing w:after="70" w:line="265"/>
            </w:pP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Límites (obligatorio nombrarlos).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(i) el efecto en dinero de un solo factor (+1 punto de calidad ≈ +17 400 USD) es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menor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que el error por vivienda (≈ 33 300 USD; σ = 33 308, modelo en nivel; con el log desplegado ≈ −18 %), así que el valor del modelo se realiza en el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agregado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—una cartera de muchas tasaciones, donde los errores idiosincrásicos se promedian—, sin apostar el precio de una sola casa a un coeficiente; (ii) los coeficientes son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asociación parcial, no causa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(renovar para subir la calidad no garantiza +10,9 %; la lectura causal se difiere a S12); (iii) todo despliegue debe cumplir la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regla AVM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(control de calidad y no discriminación, las fuentes de actualidad de la sesión). Sin confundir coeficiente parcial con causalidad.</w:t>
            </w:r>
          </w:p>
        </w:tc>
      </w:tr>
    </w:tbl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color w:val="7A1526"/>
          <w:sz w:val="24"/>
          <w:szCs w:val="24"/>
        </w:rPr>
        <w:t xml:space="preserve">3.  </w:t>
      </w:r>
      <w:r>
        <w:rPr>
          <w:rFonts w:ascii="Calibri" w:cs="Calibri" w:eastAsia="Calibri" w:hAnsi="Calibri"/>
          <w:b/>
          <w:bCs/>
          <w:color w:val="7A1526"/>
          <w:spacing w:val="20"/>
          <w:sz w:val="24"/>
          <w:szCs w:val="24"/>
        </w:rPr>
        <w:t xml:space="preserve">FORMATO DE ENTREGA</w:t>
      </w:r>
    </w:p>
    <w:p>
      <w:pPr>
        <w:keepNext/>
        <w:pBdr>
          <w:bottom w:val="single" w:color="E4002B" w:sz="14" w:space="8"/>
        </w:pBdr>
        <w:spacing w:after="140"/>
      </w:pPr>
      <w:r>
        <w:rPr>
          <w:rFonts w:ascii="Cambria" w:cs="Cambria" w:eastAsia="Cambria" w:hAnsi="Cambria"/>
          <w:i/>
          <w:iCs/>
          <w:color w:val="6E6E6E"/>
          <w:sz w:val="19"/>
          <w:szCs w:val="19"/>
        </w:rPr>
        <w:t xml:space="preserve"/>
      </w:r>
      <w:r>
        <w:rPr>
          <w:rFonts w:ascii="Cambria" w:cs="Cambria" w:eastAsia="Cambria" w:hAnsi="Cambria"/>
          <w:b/>
          <w:bCs/>
          <w:color w:val="7A1526"/>
          <w:sz w:val="19"/>
          <w:szCs w:val="19"/>
        </w:rPr>
        <w:t xml:space="preserve"/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00"/>
        <w:gridCol w:w="9380"/>
      </w:tblGrid>
      <w:tr>
        <w:tc>
          <w:tcPr>
            <w:tcW w:type="dxa" w:w="7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1526"/>
                <w:sz w:val="20"/>
                <w:szCs w:val="20"/>
              </w:rPr>
              <w:t xml:space="preserve">1.</w:t>
            </w:r>
          </w:p>
        </w:tc>
        <w:tc>
          <w:tcPr>
            <w:tcW w:type="dxa" w:w="93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line="265"/>
            </w:pP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Informe en.md o.docx con las figuras y tablas exportadas desde el cuaderno.</w:t>
            </w:r>
          </w:p>
        </w:tc>
      </w:tr>
      <w:tr>
        <w:tc>
          <w:tcPr>
            <w:tcW w:type="dxa" w:w="7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1526"/>
                <w:sz w:val="20"/>
                <w:szCs w:val="20"/>
              </w:rPr>
              <w:t xml:space="preserve">2.</w:t>
            </w:r>
          </w:p>
        </w:tc>
        <w:tc>
          <w:tcPr>
            <w:tcW w:type="dxa" w:w="93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line="265"/>
            </w:pP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El análisis reproducible en </w:t>
            </w:r>
            <w:r>
              <w:rPr>
                <w:rFonts w:ascii="Consolas" w:cs="Consolas" w:eastAsia="Consolas" w:hAnsi="Consolas"/>
                <w:color w:val="7A1526"/>
                <w:sz w:val="17"/>
                <w:szCs w:val="17"/>
              </w:rPr>
              <w:t xml:space="preserve">notebook/S04_regresion_multiple.ipynb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; los resultados numéricos (coeficientes, p-valores, IC, VIF, Breusch-Pagan, Durbin-Watson, Cook y RMSE de CV) volcados a </w:t>
            </w:r>
            <w:r>
              <w:rPr>
                <w:rFonts w:ascii="Consolas" w:cs="Consolas" w:eastAsia="Consolas" w:hAnsi="Consolas"/>
                <w:color w:val="7A1526"/>
                <w:sz w:val="17"/>
                <w:szCs w:val="17"/>
              </w:rPr>
              <w:t xml:space="preserve">resultados/S04_resultados.xlsx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y las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figuras de resultados generadas al leer ese Excel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(convención del curso).</w:t>
            </w:r>
          </w:p>
        </w:tc>
      </w:tr>
      <w:tr>
        <w:tc>
          <w:tcPr>
            <w:tcW w:type="dxa" w:w="7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1526"/>
                <w:sz w:val="20"/>
                <w:szCs w:val="20"/>
              </w:rPr>
              <w:t xml:space="preserve">3.</w:t>
            </w:r>
          </w:p>
        </w:tc>
        <w:tc>
          <w:tcPr>
            <w:tcW w:type="dxa" w:w="93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line="265"/>
            </w:pP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Toda cifra citada en el informe debe existir en el cuaderno o en el Excel de resultados. Semilla </w:t>
            </w:r>
            <w:r>
              <w:rPr>
                <w:rFonts w:ascii="Consolas" w:cs="Consolas" w:eastAsia="Consolas" w:hAnsi="Consolas"/>
                <w:color w:val="7A1526"/>
                <w:sz w:val="17"/>
                <w:szCs w:val="17"/>
              </w:rPr>
              <w:t xml:space="preserve">random_state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=42 en toda partición/CV.</w:t>
            </w:r>
          </w:p>
        </w:tc>
      </w:tr>
    </w:tbl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color w:val="7A1526"/>
          <w:sz w:val="24"/>
          <w:szCs w:val="24"/>
        </w:rPr>
        <w:t xml:space="preserve">4.  </w:t>
      </w:r>
      <w:r>
        <w:rPr>
          <w:rFonts w:ascii="Calibri" w:cs="Calibri" w:eastAsia="Calibri" w:hAnsi="Calibri"/>
          <w:b/>
          <w:bCs/>
          <w:color w:val="7A1526"/>
          <w:spacing w:val="20"/>
          <w:sz w:val="24"/>
          <w:szCs w:val="24"/>
        </w:rPr>
        <w:t xml:space="preserve">RÚBRICA DE EVALUACIÓN</w:t>
      </w:r>
    </w:p>
    <w:p>
      <w:pPr>
        <w:keepNext/>
        <w:pBdr>
          <w:bottom w:val="single" w:color="E4002B" w:sz="14" w:space="8"/>
        </w:pBdr>
        <w:spacing w:after="140"/>
      </w:pPr>
      <w:r>
        <w:rPr>
          <w:rFonts w:ascii="Cambria" w:cs="Cambria" w:eastAsia="Cambria" w:hAnsi="Cambria"/>
          <w:i/>
          <w:iCs/>
          <w:color w:val="6E6E6E"/>
          <w:sz w:val="19"/>
          <w:szCs w:val="19"/>
        </w:rPr>
        <w:t xml:space="preserve">Escala vigesimal, 0–20 · seis criterios × cuatro niveles</w:t>
      </w:r>
      <w:r>
        <w:rPr>
          <w:rFonts w:ascii="Cambria" w:cs="Cambria" w:eastAsia="Cambria" w:hAnsi="Cambria"/>
          <w:b/>
          <w:bCs/>
          <w:color w:val="7A1526"/>
          <w:sz w:val="19"/>
          <w:szCs w:val="19"/>
        </w:rPr>
        <w:t xml:space="preserve">   |   total 20 puntos</w:t>
      </w:r>
    </w:p>
    <w:p>
      <w:pPr>
        <w:spacing w:line="270"/>
      </w:pPr>
      <w:r>
        <w:rPr>
          <w:rFonts w:ascii="Cambria" w:cs="Cambria" w:eastAsia="Cambria" w:hAnsi="Cambria"/>
          <w:color w:val="2D2D2D"/>
          <w:sz w:val="20"/>
          <w:szCs w:val="20"/>
        </w:rPr>
        <w:t xml:space="preserve">Seis criterios × cuatro niveles. La columna </w:t>
      </w:r>
      <w:r>
        <w:rPr>
          <w:rFonts w:ascii="Cambria" w:cs="Cambria" w:eastAsia="Cambria" w:hAnsi="Cambria"/>
          <w:b/>
          <w:bCs/>
          <w:color w:val="2D2D2D"/>
          <w:sz w:val="20"/>
          <w:szCs w:val="20"/>
        </w:rPr>
        <w:t xml:space="preserve">Peso (máx.)</w:t>
      </w:r>
      <w:r>
        <w:rPr>
          <w:rFonts w:ascii="Cambria" w:cs="Cambria" w:eastAsia="Cambria" w:hAnsi="Cambria"/>
          <w:color w:val="2D2D2D"/>
          <w:sz w:val="20"/>
          <w:szCs w:val="20"/>
        </w:rPr>
        <w:t xml:space="preserve"> es el puntaje del nivel </w:t>
      </w:r>
      <w:r>
        <w:rPr>
          <w:rFonts w:ascii="Cambria" w:cs="Cambria" w:eastAsia="Cambria" w:hAnsi="Cambria"/>
          <w:i/>
          <w:iCs/>
          <w:color w:val="2D2D2D"/>
          <w:sz w:val="20"/>
          <w:szCs w:val="20"/>
        </w:rPr>
        <w:t xml:space="preserve">Excelente</w:t>
      </w:r>
      <w:r>
        <w:rPr>
          <w:rFonts w:ascii="Cambria" w:cs="Cambria" w:eastAsia="Cambria" w:hAnsi="Cambria"/>
          <w:color w:val="2D2D2D"/>
          <w:sz w:val="20"/>
          <w:szCs w:val="20"/>
        </w:rPr>
        <w:t xml:space="preserve">; los pesos </w:t>
      </w:r>
      <w:r>
        <w:rPr>
          <w:rFonts w:ascii="Cambria" w:cs="Cambria" w:eastAsia="Cambria" w:hAnsi="Cambria"/>
          <w:b/>
          <w:bCs/>
          <w:color w:val="2D2D2D"/>
          <w:sz w:val="20"/>
          <w:szCs w:val="20"/>
        </w:rPr>
        <w:t xml:space="preserve">suman exactamente 20</w:t>
      </w:r>
      <w:r>
        <w:rPr>
          <w:rFonts w:ascii="Cambria" w:cs="Cambria" w:eastAsia="Cambria" w:hAnsi="Cambria"/>
          <w:color w:val="2D2D2D"/>
          <w:sz w:val="20"/>
          <w:szCs w:val="20"/>
        </w:rPr>
        <w:t xml:space="preserve">. Cada nivel otorga el puntaje indicado entre paréntesis.</w:t>
      </w:r>
    </w:p>
    <w:p>
      <w:pPr>
        <w:spacing w:after="220"/>
      </w:pP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620"/>
        <w:gridCol w:w="1638"/>
        <w:gridCol w:w="1638"/>
        <w:gridCol w:w="1638"/>
        <w:gridCol w:w="1638"/>
        <w:gridCol w:w="908"/>
      </w:tblGrid>
      <w:tr>
        <w:trPr>
          <w:tblHeader/>
        </w:trPr>
        <w:tc>
          <w:tcPr>
            <w:tcW w:type="dxa" w:w="2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D4450" w:color="auto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CRITERIO</w:t>
            </w:r>
          </w:p>
        </w:tc>
        <w:tc>
          <w:tcPr>
            <w:tcW w:type="dxa" w:w="1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D4450" w:color="auto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3"/>
                <w:szCs w:val="13"/>
              </w:rPr>
              <w:t xml:space="preserve">INSUFICIENTE</w:t>
            </w:r>
          </w:p>
        </w:tc>
        <w:tc>
          <w:tcPr>
            <w:tcW w:type="dxa" w:w="1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D4450" w:color="auto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3"/>
                <w:szCs w:val="13"/>
              </w:rPr>
              <w:t xml:space="preserve">BÁSICO</w:t>
            </w:r>
          </w:p>
        </w:tc>
        <w:tc>
          <w:tcPr>
            <w:tcW w:type="dxa" w:w="1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D4450" w:color="auto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3"/>
                <w:szCs w:val="13"/>
              </w:rPr>
              <w:t xml:space="preserve">COMPETENTE</w:t>
            </w:r>
          </w:p>
        </w:tc>
        <w:tc>
          <w:tcPr>
            <w:tcW w:type="dxa" w:w="1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D4450" w:color="auto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3"/>
                <w:szCs w:val="13"/>
              </w:rPr>
              <w:t xml:space="preserve">EXCELENTE</w:t>
            </w:r>
          </w:p>
        </w:tc>
        <w:tc>
          <w:tcPr>
            <w:tcW w:type="dxa" w:w="9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D4450" w:color="auto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3"/>
                <w:szCs w:val="13"/>
              </w:rPr>
              <w:t xml:space="preserve">PESO</w:t>
            </w:r>
          </w:p>
        </w:tc>
      </w:tr>
      <w:tr>
        <w:trPr>
          <w:cantSplit/>
        </w:trPr>
        <w:tc>
          <w:tcPr>
            <w:tcW w:type="dxa" w:w="262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b/>
                <w:bCs/>
                <w:color w:val="7A1526"/>
                <w:sz w:val="17"/>
                <w:szCs w:val="17"/>
              </w:rPr>
              <w:t xml:space="preserve">C1. Especificación: dummy + interacción (sin dummy redundante, con jerarquía)</w:t>
            </w:r>
          </w:p>
        </w:tc>
        <w:tc>
          <w:tcPr>
            <w:tcW w:type="dxa" w:w="163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No ajusta el múltiple o no incluye dummy ni interacción.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(0)</w:t>
            </w:r>
          </w:p>
        </w:tc>
        <w:tc>
          <w:tcPr>
            <w:tcW w:type="dxa" w:w="163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Incluye dummy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o</w:t>
            </w: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 interacción, pero con error (dummy redundante, o interacción sin sus términos principales).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(2)</w:t>
            </w:r>
          </w:p>
        </w:tc>
        <w:tc>
          <w:tcPr>
            <w:tcW w:type="dxa" w:w="163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Incluye </w:t>
            </w:r>
            <w:r>
              <w:rPr>
                <w:rFonts w:ascii="Calibri" w:cs="Calibri" w:eastAsia="Calibri" w:hAnsi="Calibri"/>
                <w:color w:val="2D2D2D"/>
                <w:sz w:val="16"/>
                <w:szCs w:val="16"/>
              </w:rPr>
              <w:t xml:space="preserve">≥</w:t>
            </w: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1 dummy y </w:t>
            </w:r>
            <w:r>
              <w:rPr>
                <w:rFonts w:ascii="Calibri" w:cs="Calibri" w:eastAsia="Calibri" w:hAnsi="Calibri"/>
                <w:color w:val="2D2D2D"/>
                <w:sz w:val="16"/>
                <w:szCs w:val="16"/>
              </w:rPr>
              <w:t xml:space="preserve">≥</w:t>
            </w: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1 interacción bien construidas, con categoría de referencia y jerarquía.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(3)</w:t>
            </w:r>
          </w:p>
        </w:tc>
        <w:tc>
          <w:tcPr>
            <w:tcW w:type="dxa" w:w="163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Especificación correcta y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justificada de negocio</w:t>
            </w: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 (elección de la interacción zona × tamaño, log(precio) argumentado), sin dummy redundante y con jerarquía.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(4)</w:t>
            </w:r>
          </w:p>
        </w:tc>
        <w:tc>
          <w:tcPr>
            <w:tcW w:type="dxa" w:w="90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A1526"/>
                <w:sz w:val="19"/>
                <w:szCs w:val="19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262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b/>
                <w:bCs/>
                <w:color w:val="7A1526"/>
                <w:sz w:val="17"/>
                <w:szCs w:val="17"/>
              </w:rPr>
              <w:t xml:space="preserve">C2. Diagnóstico completo + corrección de </w:t>
            </w:r>
            <w:r>
              <w:rPr>
                <w:rFonts w:ascii="Calibri" w:cs="Calibri" w:eastAsia="Calibri" w:hAnsi="Calibri"/>
                <w:b/>
                <w:bCs/>
                <w:color w:val="7A1526"/>
                <w:sz w:val="17"/>
                <w:szCs w:val="17"/>
              </w:rPr>
              <w:t xml:space="preserve">≥</w:t>
            </w:r>
            <w:r>
              <w:rPr>
                <w:rFonts w:ascii="Cambria" w:cs="Cambria" w:eastAsia="Cambria" w:hAnsi="Cambria"/>
                <w:b/>
                <w:bCs/>
                <w:color w:val="7A1526"/>
                <w:sz w:val="17"/>
                <w:szCs w:val="17"/>
              </w:rPr>
              <w:t xml:space="preserve">1 supuesto por método (VIF, residuales, Breusch-Pagan </w:t>
            </w:r>
            <w:r>
              <w:rPr>
                <w:rFonts w:ascii="Calibri" w:cs="Calibri" w:eastAsia="Calibri" w:hAnsi="Calibri"/>
                <w:b/>
                <w:bCs/>
                <w:color w:val="7A1526"/>
                <w:sz w:val="17"/>
                <w:szCs w:val="17"/>
              </w:rPr>
              <w:t xml:space="preserve">→</w:t>
            </w:r>
            <w:r>
              <w:rPr>
                <w:rFonts w:ascii="Cambria" w:cs="Cambria" w:eastAsia="Cambria" w:hAnsi="Cambria"/>
                <w:b/>
                <w:bCs/>
                <w:color w:val="7A1526"/>
                <w:sz w:val="17"/>
                <w:szCs w:val="17"/>
              </w:rPr>
              <w:t xml:space="preserve"> robustos, Cook)</w:t>
            </w:r>
          </w:p>
        </w:tc>
        <w:tc>
          <w:tcPr>
            <w:tcW w:type="dxa" w:w="163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No diagnostica supuestos.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(0)</w:t>
            </w:r>
          </w:p>
        </w:tc>
        <w:tc>
          <w:tcPr>
            <w:tcW w:type="dxa" w:w="163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Muestra algún gráfico o test sin leerlo, o omite el VIF o la heterocedasticidad.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(2)</w:t>
            </w:r>
          </w:p>
        </w:tc>
        <w:tc>
          <w:tcPr>
            <w:tcW w:type="dxa" w:w="163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Reporta VIF (sin leer el del intercepto), residuales/Q-Q, Durbin-Watson y Breusch-Pagan, y los interpreta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con la lectura correcta</w:t>
            </w: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 (el DW se lee al verificar su condición de orden: en Ames el orden es geográfico y el DW ≈ 1.68 se reporta como señal de dependencia espacial, con SE por barrio como remedio; la no normalidad se nombra como colas pesadas, no leves).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(3)</w:t>
            </w:r>
          </w:p>
        </w:tc>
        <w:tc>
          <w:tcPr>
            <w:tcW w:type="dxa" w:w="163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Diagnóstico completo y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con decisión</w:t>
            </w: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, e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identifica y corrige explícitamente al menos un supuesto por método</w:t>
            </w: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 (cómo se diagnostica con su umbral y cómo se corrige, según la guía de supuestos de la sesión): VIF con umbral, Breusch-Pagan </w:t>
            </w:r>
            <w:r>
              <w:rPr>
                <w:rFonts w:ascii="Calibri" w:cs="Calibri" w:eastAsia="Calibri" w:hAnsi="Calibri"/>
                <w:color w:val="2D2D2D"/>
                <w:sz w:val="16"/>
                <w:szCs w:val="16"/>
              </w:rPr>
              <w:t xml:space="preserve">→</w:t>
            </w: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errores robustos HC3</w:t>
            </w: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 o log justificado, Cook como candidatos a inspección (no borrado).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(4)</w:t>
            </w:r>
          </w:p>
        </w:tc>
        <w:tc>
          <w:tcPr>
            <w:tcW w:type="dxa" w:w="90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A1526"/>
                <w:sz w:val="19"/>
                <w:szCs w:val="19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262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b/>
                <w:bCs/>
                <w:color w:val="7A1526"/>
                <w:sz w:val="17"/>
                <w:szCs w:val="17"/>
              </w:rPr>
              <w:t xml:space="preserve">C3. Selección por CV 5-fold</w:t>
            </w:r>
          </w:p>
        </w:tc>
        <w:tc>
          <w:tcPr>
            <w:tcW w:type="dxa" w:w="163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No compara modelos ni usa CV.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(0)</w:t>
            </w:r>
          </w:p>
        </w:tc>
        <w:tc>
          <w:tcPr>
            <w:tcW w:type="dxa" w:w="163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Compara por R² in-sample o reporta solo la media del RMSE.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(2)</w:t>
            </w:r>
          </w:p>
        </w:tc>
        <w:tc>
          <w:tcPr>
            <w:tcW w:type="dxa" w:w="163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Compara </w:t>
            </w:r>
            <w:r>
              <w:rPr>
                <w:rFonts w:ascii="Calibri" w:cs="Calibri" w:eastAsia="Calibri" w:hAnsi="Calibri"/>
                <w:color w:val="2D2D2D"/>
                <w:sz w:val="16"/>
                <w:szCs w:val="16"/>
              </w:rPr>
              <w:t xml:space="preserve">≥</w:t>
            </w: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2 modelos por CV 5-fold y reporta RMSE medio ± sd.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(2.5)</w:t>
            </w:r>
          </w:p>
        </w:tc>
        <w:tc>
          <w:tcPr>
            <w:tcW w:type="dxa" w:w="163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Elige por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RMSE de CV (media ± sd)</w:t>
            </w: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 con semilla fija, contrasta con el R² ajustado y argumenta por qué la CV prevalece sobre el R² crudo.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(3)</w:t>
            </w:r>
          </w:p>
        </w:tc>
        <w:tc>
          <w:tcPr>
            <w:tcW w:type="dxa" w:w="90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A1526"/>
                <w:sz w:val="19"/>
                <w:szCs w:val="19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262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b/>
                <w:bCs/>
                <w:color w:val="7A1526"/>
                <w:sz w:val="17"/>
                <w:szCs w:val="17"/>
              </w:rPr>
              <w:t xml:space="preserve">C4. Interpretación de coeficientes parciales en unidades de negocio</w:t>
            </w:r>
          </w:p>
        </w:tc>
        <w:tc>
          <w:tcPr>
            <w:tcW w:type="dxa" w:w="163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No interpreta los coeficientes o lo hace con errores graves.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(1)</w:t>
            </w:r>
          </w:p>
        </w:tc>
        <w:tc>
          <w:tcPr>
            <w:tcW w:type="dxa" w:w="163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Interpreta algún β pero sin unidades de negocio o sin condicionar la interacción.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(2)</w:t>
            </w:r>
          </w:p>
        </w:tc>
        <w:tc>
          <w:tcPr>
            <w:tcW w:type="dxa" w:w="163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Traduce los β a unidades de negocio (log </w:t>
            </w:r>
            <w:r>
              <w:rPr>
                <w:rFonts w:ascii="Calibri" w:cs="Calibri" w:eastAsia="Calibri" w:hAnsi="Calibri"/>
                <w:color w:val="2D2D2D"/>
                <w:sz w:val="16"/>
                <w:szCs w:val="16"/>
              </w:rPr>
              <w:t xml:space="preserve">→</w:t>
            </w: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 %, dummy </w:t>
            </w:r>
            <w:r>
              <w:rPr>
                <w:rFonts w:ascii="Calibri" w:cs="Calibri" w:eastAsia="Calibri" w:hAnsi="Calibri"/>
                <w:color w:val="2D2D2D"/>
                <w:sz w:val="16"/>
                <w:szCs w:val="16"/>
              </w:rPr>
              <w:t xml:space="preserve">→</w:t>
            </w: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 diferencia vs. base) e interpreta la pendiente condicional.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(3)</w:t>
            </w:r>
          </w:p>
        </w:tc>
        <w:tc>
          <w:tcPr>
            <w:tcW w:type="dxa" w:w="163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Interpretación completa y correcta: coeficiente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parcial</w:t>
            </w: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 (</w:t>
            </w:r>
            <w:r>
              <w:rPr>
                <w:rFonts w:ascii="Cambria" w:cs="Cambria" w:eastAsia="Cambria" w:hAnsi="Cambria"/>
                <w:i/>
                <w:iCs/>
                <w:color w:val="2D2D2D"/>
                <w:sz w:val="16"/>
                <w:szCs w:val="16"/>
              </w:rPr>
              <w:t xml:space="preserve">ceteris paribus</w:t>
            </w: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), log como %,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pendiente condicional</w:t>
            </w: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 de la interacción por zona, dummy vs. base, con IC 95 % y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al menos un coeficiente cerrado en dinero absoluto</w:t>
            </w: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 (efecto en USD sobre una vivienda concreta).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(4)</w:t>
            </w:r>
          </w:p>
        </w:tc>
        <w:tc>
          <w:tcPr>
            <w:tcW w:type="dxa" w:w="90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A1526"/>
                <w:sz w:val="19"/>
                <w:szCs w:val="19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262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b/>
                <w:bCs/>
                <w:color w:val="7A1526"/>
                <w:sz w:val="17"/>
                <w:szCs w:val="17"/>
              </w:rPr>
              <w:t xml:space="preserve">C5. Reproducibilidad y convención Excel</w:t>
            </w:r>
          </w:p>
        </w:tc>
        <w:tc>
          <w:tcPr>
            <w:tcW w:type="dxa" w:w="163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Sin cuaderno reproducible ni Excel de resultados.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(0)</w:t>
            </w:r>
          </w:p>
        </w:tc>
        <w:tc>
          <w:tcPr>
            <w:tcW w:type="dxa" w:w="163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Cuaderno presente pero cifras no trazables o sin Excel.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(1)</w:t>
            </w:r>
          </w:p>
        </w:tc>
        <w:tc>
          <w:tcPr>
            <w:tcW w:type="dxa" w:w="163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Cuaderno reproducible y resultados volcados a </w:t>
            </w:r>
            <w:r>
              <w:rPr>
                <w:rFonts w:ascii="Consolas" w:cs="Consolas" w:eastAsia="Consolas" w:hAnsi="Consolas"/>
                <w:color w:val="7A1526"/>
                <w:sz w:val="14"/>
                <w:szCs w:val="14"/>
              </w:rPr>
              <w:t xml:space="preserve">S04_resultados.xlsx</w:t>
            </w: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.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(1.5)</w:t>
            </w:r>
          </w:p>
        </w:tc>
        <w:tc>
          <w:tcPr>
            <w:tcW w:type="dxa" w:w="163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Resultados en </w:t>
            </w:r>
            <w:r>
              <w:rPr>
                <w:rFonts w:ascii="Consolas" w:cs="Consolas" w:eastAsia="Consolas" w:hAnsi="Consolas"/>
                <w:color w:val="7A1526"/>
                <w:sz w:val="14"/>
                <w:szCs w:val="14"/>
              </w:rPr>
              <w:t xml:space="preserve">S04_resultados.xlsx</w:t>
            </w: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,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gráficas generadas al leer el Excel</w:t>
            </w: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, semilla fija y toda cifra del informe trazable.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(2)</w:t>
            </w:r>
          </w:p>
        </w:tc>
        <w:tc>
          <w:tcPr>
            <w:tcW w:type="dxa" w:w="90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A1526"/>
                <w:sz w:val="19"/>
                <w:szCs w:val="19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262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b/>
                <w:bCs/>
                <w:color w:val="7A1526"/>
                <w:sz w:val="17"/>
                <w:szCs w:val="17"/>
              </w:rPr>
              <w:t xml:space="preserve">C6. Recomendación de negocio y comunicación</w:t>
            </w:r>
          </w:p>
        </w:tc>
        <w:tc>
          <w:tcPr>
            <w:tcW w:type="dxa" w:w="163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Sin recomendación o incoherente con el análisis.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(0)</w:t>
            </w:r>
          </w:p>
        </w:tc>
        <w:tc>
          <w:tcPr>
            <w:tcW w:type="dxa" w:w="163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Recomendación presente pero débilmente sustentada.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(1)</w:t>
            </w:r>
          </w:p>
        </w:tc>
        <w:tc>
          <w:tcPr>
            <w:tcW w:type="dxa" w:w="163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Recomendación clara y coherente con los resultados.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(2)</w:t>
            </w:r>
          </w:p>
        </w:tc>
        <w:tc>
          <w:tcPr>
            <w:tcW w:type="dxa" w:w="163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Decisión accionable formulada como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modelo de decisión</w:t>
            </w: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: una regla que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prioriza viviendas subvaloradas</w:t>
            </w: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 contra la banda de error del modelo, con una nota de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sensibilidad</w:t>
            </w: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 al umbral y con los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límites</w:t>
            </w: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 nombrados (efecto por-casa &lt; error ⇒ el valor está en el agregado; parcial </w:t>
            </w:r>
            <w:r>
              <w:rPr>
                <w:rFonts w:ascii="Calibri" w:cs="Calibri" w:eastAsia="Calibri" w:hAnsi="Calibri"/>
                <w:color w:val="2D2D2D"/>
                <w:sz w:val="16"/>
                <w:szCs w:val="16"/>
              </w:rPr>
              <w:t xml:space="preserve">≠</w:t>
            </w: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 causal; marco AVM), en lenguaje de negocio.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(3)</w:t>
            </w:r>
          </w:p>
        </w:tc>
        <w:tc>
          <w:tcPr>
            <w:tcW w:type="dxa" w:w="90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A1526"/>
                <w:sz w:val="19"/>
                <w:szCs w:val="19"/>
              </w:rPr>
              <w:t xml:space="preserve">3</w:t>
            </w:r>
          </w:p>
        </w:tc>
      </w:tr>
    </w:tbl>
    <w:p>
      <w:pPr>
        <w:spacing w:after="80"/>
      </w:pP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D9D9D9" w:sz="4"/>
              <w:left w:val="none" w:color="FFFFFF" w:sz="0"/>
              <w:bottom w:val="single" w:color="D9D9D9" w:sz="4"/>
              <w:right w:val="none" w:color="FFFFFF" w:sz="0"/>
            </w:tcBorders>
            <w:shd w:fill="F2F3F5" w:color="auto" w:val="clear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A1526"/>
                <w:sz w:val="18"/>
                <w:szCs w:val="18"/>
              </w:rPr>
              <w:t xml:space="preserve">Puntaje total = C1 + C2 + C3 + C4 + C5 + C6 = 4 + 4 + 3 + 4 + 2 + 3 = 20 puntos.</w:t>
            </w:r>
          </w:p>
        </w:tc>
      </w:tr>
    </w:tbl>
    <w:p>
      <w:pPr>
        <w:spacing w:after="220"/>
      </w:pP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80"/>
      </w:tblGrid>
      <w:tr>
        <w:tc>
          <w:tcPr>
            <w:tcW w:type="dxa" w:w="10080"/>
            <w:tcBorders>
              <w:top w:val="single" w:color="E4002B" w:sz="14"/>
              <w:left w:val="none" w:color="FFFFFF" w:sz="0"/>
              <w:bottom w:val="single" w:color="D9D9D9" w:sz="4"/>
              <w:right w:val="none" w:color="FFFFFF" w:sz="0"/>
            </w:tcBorders>
            <w:shd w:fill="F2F3F5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keepNext/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7A1526"/>
                <w:sz w:val="15"/>
                <w:szCs w:val="15"/>
              </w:rPr>
              <w:t xml:space="preserve">NOTA TÉCNICA 4.1   </w:t>
            </w:r>
            <w:r>
              <w:rPr>
                <w:rFonts w:ascii="Calibri" w:cs="Calibri" w:eastAsia="Calibri" w:hAnsi="Calibri"/>
                <w:b/>
                <w:bCs/>
                <w:color w:val="7A1526"/>
                <w:sz w:val="19"/>
                <w:szCs w:val="19"/>
              </w:rPr>
              <w:t xml:space="preserve">Honestidad analítica: la referencia y la comparación válida entre modelos</w:t>
            </w:r>
          </w:p>
          <w:p>
            <w:pPr>
              <w:spacing w:after="70" w:line="265"/>
            </w:pP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No hay una única especificación "correcta", pero el modelo debe ser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coherente con la evidencia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. Como referencia, el múltiple log(</w:t>
            </w:r>
            <w:r>
              <w:rPr>
                <w:rFonts w:ascii="Consolas" w:cs="Consolas" w:eastAsia="Consolas" w:hAnsi="Consolas"/>
                <w:color w:val="7A1526"/>
                <w:sz w:val="16"/>
                <w:szCs w:val="16"/>
              </w:rPr>
              <w:t xml:space="preserve">SalePrice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) ~ </w:t>
            </w:r>
            <w:r>
              <w:rPr>
                <w:rFonts w:ascii="Consolas" w:cs="Consolas" w:eastAsia="Consolas" w:hAnsi="Consolas"/>
                <w:color w:val="7A1526"/>
                <w:sz w:val="16"/>
                <w:szCs w:val="16"/>
              </w:rPr>
              <w:t xml:space="preserve">Overall Qual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+ </w:t>
            </w:r>
            <w:r>
              <w:rPr>
                <w:rFonts w:ascii="Consolas" w:cs="Consolas" w:eastAsia="Consolas" w:hAnsi="Consolas"/>
                <w:color w:val="7A1526"/>
                <w:sz w:val="16"/>
                <w:szCs w:val="16"/>
              </w:rPr>
              <w:t xml:space="preserve">Gr Liv Area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+ </w:t>
            </w:r>
            <w:r>
              <w:rPr>
                <w:rFonts w:ascii="Consolas" w:cs="Consolas" w:eastAsia="Consolas" w:hAnsi="Consolas"/>
                <w:color w:val="7A1526"/>
                <w:sz w:val="16"/>
                <w:szCs w:val="16"/>
              </w:rPr>
              <w:t xml:space="preserve">Garage Cars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+ </w:t>
            </w:r>
            <w:r>
              <w:rPr>
                <w:rFonts w:ascii="Consolas" w:cs="Consolas" w:eastAsia="Consolas" w:hAnsi="Consolas"/>
                <w:color w:val="7A1526"/>
                <w:sz w:val="16"/>
                <w:szCs w:val="16"/>
              </w:rPr>
              <w:t xml:space="preserve">Total Bsmt SF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+ </w:t>
            </w:r>
            <w:r>
              <w:rPr>
                <w:rFonts w:ascii="Consolas" w:cs="Consolas" w:eastAsia="Consolas" w:hAnsi="Consolas"/>
                <w:color w:val="7A1526"/>
                <w:sz w:val="16"/>
                <w:szCs w:val="16"/>
              </w:rPr>
              <w:t xml:space="preserve">Year Built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alcanza R² ≈ 0.847 con todos los VIF &lt; 2.5, y la CV reduce el RMSE de ~54 500 a ~33 300 USD.</w:t>
            </w:r>
          </w:p>
          <w:p>
            <w:pPr>
              <w:spacing w:after="70" w:line="265"/>
            </w:pP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Cuidado con la escala al comparar R²: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el 0.847 es varianza explicada de log(</w:t>
            </w:r>
            <w:r>
              <w:rPr>
                <w:rFonts w:ascii="Consolas" w:cs="Consolas" w:eastAsia="Consolas" w:hAnsi="Consolas"/>
                <w:color w:val="7A1526"/>
                <w:sz w:val="16"/>
                <w:szCs w:val="16"/>
              </w:rPr>
              <w:t xml:space="preserve">SalePrice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) y el 0.518 del simple (o el 0.820 del mismo múltiple ajustado en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nivel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) es varianza explicada de </w:t>
            </w:r>
            <w:r>
              <w:rPr>
                <w:rFonts w:ascii="Consolas" w:cs="Consolas" w:eastAsia="Consolas" w:hAnsi="Consolas"/>
                <w:color w:val="7A1526"/>
                <w:sz w:val="16"/>
                <w:szCs w:val="16"/>
              </w:rPr>
              <w:t xml:space="preserve">SalePrice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en USD —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respuestas distintas, denominadores distintos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. Por eso 0.518 </w:t>
            </w:r>
            <w:r>
              <w:rPr>
                <w:rFonts w:ascii="Calibri" w:cs="Calibri" w:eastAsia="Calibri" w:hAnsi="Calibri"/>
                <w:color w:val="3A3A3A"/>
                <w:sz w:val="18"/>
                <w:szCs w:val="18"/>
              </w:rPr>
              <w:t xml:space="preserve">→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0.847 y 0.820 </w:t>
            </w:r>
            <w:r>
              <w:rPr>
                <w:rFonts w:ascii="Calibri" w:cs="Calibri" w:eastAsia="Calibri" w:hAnsi="Calibri"/>
                <w:color w:val="3A3A3A"/>
                <w:sz w:val="18"/>
                <w:szCs w:val="18"/>
              </w:rPr>
              <w:t xml:space="preserve">→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0.847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no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son incrementos de poder explicativo comparables y no se leen como «el modelo mejora tanto». La comparación válida entre modelos usa una métrica en la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misma escala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: el RMSE en USD (54 506 vs. 33 308).</w:t>
            </w:r>
          </w:p>
          <w:p>
            <w:pPr>
              <w:spacing w:after="70" w:line="265"/>
            </w:pP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Para incorporar el modelo en log a esa comparación hay que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retransformar sus predicciones a USD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, y no con exp sin corrección (subestima el precio esperado) sino con el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factor de smearing de Duan (1983)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7A1526"/>
                <w:sz w:val="16"/>
                <w:szCs w:val="16"/>
              </w:rPr>
              <w:t xml:space="preserve">E[y|X] = e^(Xβ) · S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con S estimado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solo en el fold de entrenamiento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: aquí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S = 1.0119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y el modelo en log rinde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27 281.55 ± 1 275.74 USD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de RMSE en CV, es decir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6 026.91 USD menos por tasación (−18.09 %)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que el múltiple en nivel (hoja </w:t>
            </w:r>
            <w:r>
              <w:rPr>
                <w:rFonts w:ascii="Consolas" w:cs="Consolas" w:eastAsia="Consolas" w:hAnsi="Consolas"/>
                <w:color w:val="7A1526"/>
                <w:sz w:val="16"/>
                <w:szCs w:val="16"/>
              </w:rPr>
              <w:t xml:space="preserve">retransformacion_duan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del Excel). Es decir: el aporte del log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existe y es grande, pero se mide en dólares, no en R²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— además de dar un modelo mejor comportado (ataca el embudo, aproxima la simetría) y coeficientes legibles en porcentaje.</w:t>
            </w:r>
          </w:p>
          <w:p>
            <w:pPr>
              <w:spacing w:after="70" w:line="265"/>
            </w:pP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La interacción </w:t>
            </w:r>
            <w:r>
              <w:rPr>
                <w:rFonts w:ascii="Consolas" w:cs="Consolas" w:eastAsia="Consolas" w:hAnsi="Consolas"/>
                <w:color w:val="7A1526"/>
                <w:sz w:val="16"/>
                <w:szCs w:val="16"/>
              </w:rPr>
              <w:t xml:space="preserve">Gr Liv Area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× barrio premium muestra que el pie² vale ~88 USD en zona estándar y ~131 USD en zona premium. En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dinero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, dos lecturas que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no se confunden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: (i) esa mejora de RMSE (~54 500 </w:t>
            </w:r>
            <w:r>
              <w:rPr>
                <w:rFonts w:ascii="Calibri" w:cs="Calibri" w:eastAsia="Calibri" w:hAnsi="Calibri"/>
                <w:color w:val="3A3A3A"/>
                <w:sz w:val="18"/>
                <w:szCs w:val="18"/>
              </w:rPr>
              <w:t xml:space="preserve">→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~33 300 USD)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estrecha la banda de error de predicción ~21 200 USD por tasación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—menos riesgo de mispricing,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no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caja ahorrada que se sume transacción a transacción—; (ii) un efecto de negocio directo, +10.9 % por punto de calidad ≈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+17 400 USD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sobre una vivienda al precio mediano (~160 000 USD, mediana recomputada y certificada — hoja </w:t>
            </w:r>
            <w:r>
              <w:rPr>
                <w:rFonts w:ascii="Consolas" w:cs="Consolas" w:eastAsia="Consolas" w:hAnsi="Consolas"/>
                <w:color w:val="7A1526"/>
                <w:sz w:val="16"/>
                <w:szCs w:val="16"/>
              </w:rPr>
              <w:t xml:space="preserve">conversion_monetaria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del Excel). El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costo esperado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de una decisión (p. ej. un sobre-préstamo por sobrevaluar) es un concepto distinto del RMSE: depende de la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exposición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y del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costo del error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, no del tamaño del error de predicción.</w:t>
            </w:r>
          </w:p>
          <w:p>
            <w:pPr>
              <w:spacing w:after="70" w:line="265"/>
            </w:pP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El modelo en log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todavía muestra heterocedasticidad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(Breusch-Pagan LM ≈ 83), por lo que su inferencia honesta usa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errores robustos HC3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. Un modelo que ignore el diagnóstico de heterocedasticidad o elija por R² crudo no puede alcanzar C2/C3 altos.</w:t>
            </w:r>
          </w:p>
        </w:tc>
      </w:tr>
    </w:tbl>
    <w:p>
      <w:pPr>
        <w:spacing w:after="220"/>
      </w:pP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80"/>
      </w:tblGrid>
      <w:tr>
        <w:tc>
          <w:tcPr>
            <w:tcW w:type="dxa" w:w="10080"/>
            <w:tcBorders>
              <w:top w:val="single" w:color="E4002B" w:sz="14"/>
              <w:left w:val="none" w:color="FFFFFF" w:sz="0"/>
              <w:bottom w:val="single" w:color="D9D9D9" w:sz="4"/>
              <w:right w:val="none" w:color="FFFFFF" w:sz="0"/>
            </w:tcBorders>
            <w:shd w:fill="F2F3F5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keepNext/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7A1526"/>
                <w:sz w:val="15"/>
                <w:szCs w:val="15"/>
              </w:rPr>
              <w:t xml:space="preserve">NOTA TÉCNICA 4.2   </w:t>
            </w:r>
            <w:r>
              <w:rPr>
                <w:rFonts w:ascii="Calibri" w:cs="Calibri" w:eastAsia="Calibri" w:hAnsi="Calibri"/>
                <w:b/>
                <w:bCs/>
                <w:color w:val="7A1526"/>
                <w:sz w:val="19"/>
                <w:szCs w:val="19"/>
              </w:rPr>
              <w:t xml:space="preserve">Modelo de decisión — ejemplo de referencia (la cartera es ilustrativa; el error y los efectos son los del modelo real)</w:t>
            </w:r>
          </w:p>
          <w:p>
            <w:pPr>
              <w:spacing w:after="70" w:line="265"/>
            </w:pP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Así se ve una recomendación que va de la tasación a la decisión, y que un evaluador de negocio esperaría (criterio C6). Una consultora de inversión escanea listados con el modelo desplegado (RMSE ≈ 33 300 USD = banda de error por vivienda) y compara el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precio esperado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(predicho) con el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pedido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:</w:t>
            </w:r>
          </w:p>
        </w:tc>
      </w:tr>
    </w:tbl>
    <w:p>
      <w:pPr>
        <w:spacing w:after="220"/>
      </w:pP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016"/>
        <w:gridCol w:w="2016"/>
        <w:gridCol w:w="2016"/>
        <w:gridCol w:w="2016"/>
        <w:gridCol w:w="2016"/>
      </w:tblGrid>
      <w:tr>
        <w:trPr>
          <w:tblHeader/>
        </w:trPr>
        <w:tc>
          <w:tcPr>
            <w:tcW w:type="dxa" w:w="20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D4450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Vivienda</w:t>
            </w:r>
          </w:p>
        </w:tc>
        <w:tc>
          <w:tcPr>
            <w:tcW w:type="dxa" w:w="20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D4450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Precio pedido</w:t>
            </w:r>
          </w:p>
        </w:tc>
        <w:tc>
          <w:tcPr>
            <w:tcW w:type="dxa" w:w="20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D4450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Precio predicho (modelo)</w:t>
            </w:r>
          </w:p>
        </w:tc>
        <w:tc>
          <w:tcPr>
            <w:tcW w:type="dxa" w:w="20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D4450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Brecha (predicho − pedido)</w:t>
            </w:r>
          </w:p>
        </w:tc>
        <w:tc>
          <w:tcPr>
            <w:tcW w:type="dxa" w:w="20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D4450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Lectura</w:t>
            </w:r>
          </w:p>
        </w:tc>
      </w:tr>
      <w:tr>
        <w:tc>
          <w:tcPr>
            <w:tcW w:type="dxa" w:w="2016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1526"/>
                <w:sz w:val="18"/>
                <w:szCs w:val="18"/>
              </w:rPr>
              <w:t xml:space="preserve">V1</w:t>
            </w:r>
          </w:p>
        </w:tc>
        <w:tc>
          <w:tcPr>
            <w:tcW w:type="dxa" w:w="2016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150 000</w:t>
            </w:r>
          </w:p>
        </w:tc>
        <w:tc>
          <w:tcPr>
            <w:tcW w:type="dxa" w:w="2016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172 000</w:t>
            </w:r>
          </w:p>
        </w:tc>
        <w:tc>
          <w:tcPr>
            <w:tcW w:type="dxa" w:w="2016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+22 000</w:t>
            </w:r>
          </w:p>
        </w:tc>
        <w:tc>
          <w:tcPr>
            <w:tcW w:type="dxa" w:w="2016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brecha &lt; banda de error ⇒ señal débil (ruido)</w:t>
            </w:r>
          </w:p>
        </w:tc>
      </w:tr>
      <w:tr>
        <w:tc>
          <w:tcPr>
            <w:tcW w:type="dxa" w:w="2016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1526"/>
                <w:sz w:val="18"/>
                <w:szCs w:val="18"/>
              </w:rPr>
              <w:t xml:space="preserve">V2</w:t>
            </w:r>
          </w:p>
        </w:tc>
        <w:tc>
          <w:tcPr>
            <w:tcW w:type="dxa" w:w="2016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320 000</w:t>
            </w:r>
          </w:p>
        </w:tc>
        <w:tc>
          <w:tcPr>
            <w:tcW w:type="dxa" w:w="2016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268 000</w:t>
            </w:r>
          </w:p>
        </w:tc>
        <w:tc>
          <w:tcPr>
            <w:tcW w:type="dxa" w:w="2016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−52 000</w:t>
            </w:r>
          </w:p>
        </w:tc>
        <w:tc>
          <w:tcPr>
            <w:tcW w:type="dxa" w:w="2016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sobrevalorada en el mercado ⇒ no comprar</w:t>
            </w:r>
          </w:p>
        </w:tc>
      </w:tr>
      <w:tr>
        <w:tc>
          <w:tcPr>
            <w:tcW w:type="dxa" w:w="2016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1526"/>
                <w:sz w:val="18"/>
                <w:szCs w:val="18"/>
              </w:rPr>
              <w:t xml:space="preserve">V3</w:t>
            </w:r>
          </w:p>
        </w:tc>
        <w:tc>
          <w:tcPr>
            <w:tcW w:type="dxa" w:w="2016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128 000</w:t>
            </w:r>
          </w:p>
        </w:tc>
        <w:tc>
          <w:tcPr>
            <w:tcW w:type="dxa" w:w="2016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178 000</w:t>
            </w:r>
          </w:p>
        </w:tc>
        <w:tc>
          <w:tcPr>
            <w:tcW w:type="dxa" w:w="2016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+50 000</w:t>
            </w:r>
          </w:p>
        </w:tc>
        <w:tc>
          <w:tcPr>
            <w:tcW w:type="dxa" w:w="2016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brecha &gt; banda de error ⇒ </w:t>
            </w:r>
            <w:r>
              <w:rPr>
                <w:rFonts w:ascii="Calibri" w:cs="Calibri" w:eastAsia="Calibri" w:hAnsi="Calibri"/>
                <w:b/>
                <w:bCs/>
                <w:color w:val="2D2D2D"/>
                <w:sz w:val="18"/>
                <w:szCs w:val="18"/>
              </w:rPr>
              <w:t xml:space="preserve">candidata sólida</w:t>
            </w:r>
          </w:p>
        </w:tc>
      </w:tr>
      <w:tr>
        <w:tc>
          <w:tcPr>
            <w:tcW w:type="dxa" w:w="2016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1526"/>
                <w:sz w:val="18"/>
                <w:szCs w:val="18"/>
              </w:rPr>
              <w:t xml:space="preserve">V4</w:t>
            </w:r>
          </w:p>
        </w:tc>
        <w:tc>
          <w:tcPr>
            <w:tcW w:type="dxa" w:w="2016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205 000</w:t>
            </w:r>
          </w:p>
        </w:tc>
        <w:tc>
          <w:tcPr>
            <w:tcW w:type="dxa" w:w="2016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214 000</w:t>
            </w:r>
          </w:p>
        </w:tc>
        <w:tc>
          <w:tcPr>
            <w:tcW w:type="dxa" w:w="2016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+9 000</w:t>
            </w:r>
          </w:p>
        </w:tc>
        <w:tc>
          <w:tcPr>
            <w:tcW w:type="dxa" w:w="2016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dentro del ruido</w:t>
            </w:r>
          </w:p>
        </w:tc>
      </w:tr>
    </w:tbl>
    <w:p>
      <w:pPr>
        <w:spacing w:after="220"/>
      </w:pP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80"/>
      </w:tblGrid>
      <w:tr>
        <w:tc>
          <w:tcPr>
            <w:tcW w:type="dxa" w:w="10080"/>
            <w:tcBorders>
              <w:top w:val="single" w:color="E4002B" w:sz="14"/>
              <w:left w:val="none" w:color="FFFFFF" w:sz="0"/>
              <w:bottom w:val="single" w:color="D9D9D9" w:sz="4"/>
              <w:right w:val="none" w:color="FFFFFF" w:sz="0"/>
            </w:tcBorders>
            <w:shd w:fill="F2F3F5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keepNext/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7A1526"/>
                <w:sz w:val="15"/>
                <w:szCs w:val="15"/>
              </w:rPr>
              <w:t xml:space="preserve">NOTA TÉCNICA 4.3   </w:t>
            </w:r>
            <w:r>
              <w:rPr>
                <w:rFonts w:ascii="Calibri" w:cs="Calibri" w:eastAsia="Calibri" w:hAnsi="Calibri"/>
                <w:b/>
                <w:bCs/>
                <w:color w:val="7A1526"/>
                <w:sz w:val="19"/>
                <w:szCs w:val="19"/>
              </w:rPr>
              <w:t xml:space="preserve">Lectura de la cartera de ejemplo: valor, límite y salvaguardas</w:t>
            </w:r>
          </w:p>
          <w:p>
            <w:pPr>
              <w:spacing w:after="70" w:line="265"/>
            </w:pP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(a) Valor y regla: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solo las brechas que superan la banda (≈ 33 300 USD; σ = 33 308, modelo en nivel; con el log desplegado ≈ −18 % — nota de la guía sección 3.9) se distinguen del error; con umbral 1·RMSE la lista corta es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{V3}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; al relajar a 0,5·RMSE (≈ 16 650) entra también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V1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—más candidatas, más falsos positivos— (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análisis de sensibilidad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).</w:t>
            </w:r>
          </w:p>
          <w:p>
            <w:pPr>
              <w:spacing w:after="70" w:line="265"/>
            </w:pP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(b) Límite central: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el efecto de un punto de calidad (≈ +17 400 USD) es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menor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que el error por casa (≈ 33 300), por lo que la ganancia se cosecha en el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agregado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—sobre N tasaciones independientes el error del promedio cae ≈ con 1/√N (SE de la media = σ/√N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bajo independencia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; en Ames la dependencia espacial intra-barrio la vuelve una cota optimista — el glosario de la sesión)—, sin apostar a una sola vivienda.</w:t>
            </w:r>
          </w:p>
          <w:p>
            <w:pPr>
              <w:spacing w:after="70" w:line="265"/>
            </w:pP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(c) Salvaguardas: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parcial </w:t>
            </w:r>
            <w:r>
              <w:rPr>
                <w:rFonts w:ascii="Calibri" w:cs="Calibri" w:eastAsia="Calibri" w:hAnsi="Calibri"/>
                <w:color w:val="3A3A3A"/>
                <w:sz w:val="18"/>
                <w:szCs w:val="18"/>
              </w:rPr>
              <w:t xml:space="preserve">≠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causal (renovar no garantiza +10,9 %; S12) y la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regla AVM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exige control de calidad y no discriminación antes de decidir hipotecas.</w:t>
            </w:r>
          </w:p>
        </w:tc>
      </w:tr>
    </w:tbl>
    <w:p>
      <w:pPr>
        <w:spacing w:after="220"/>
      </w:pP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80"/>
      </w:tblGrid>
      <w:tr>
        <w:tc>
          <w:tcPr>
            <w:tcW w:type="dxa" w:w="10080"/>
            <w:tcBorders>
              <w:top w:val="single" w:color="E4002B" w:sz="14"/>
              <w:left w:val="none" w:color="FFFFFF" w:sz="0"/>
              <w:bottom w:val="single" w:color="D9D9D9" w:sz="4"/>
              <w:right w:val="none" w:color="FFFFFF" w:sz="0"/>
            </w:tcBorders>
            <w:shd w:fill="F2F3F5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keepNext/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7A1526"/>
                <w:sz w:val="15"/>
                <w:szCs w:val="15"/>
              </w:rPr>
              <w:t xml:space="preserve">NOTA TÉCNICA 4.4   </w:t>
            </w:r>
            <w:r>
              <w:rPr>
                <w:rFonts w:ascii="Calibri" w:cs="Calibri" w:eastAsia="Calibri" w:hAnsi="Calibri"/>
                <w:b/>
                <w:bCs/>
                <w:color w:val="7A1526"/>
                <w:sz w:val="19"/>
                <w:szCs w:val="19"/>
              </w:rPr>
              <w:t xml:space="preserve">Reto avanzado (opcional, no calificado — E4)</w:t>
            </w:r>
          </w:p>
          <w:p>
            <w:pPr>
              <w:spacing w:after="70" w:line="265"/>
            </w:pP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La tasación tiene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pérdida asimétrica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. Para un prestamista,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sobrevalorar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(predicho &gt; real) financia un préstamo excesivo </w:t>
            </w:r>
            <w:r>
              <w:rPr>
                <w:rFonts w:ascii="Calibri" w:cs="Calibri" w:eastAsia="Calibri" w:hAnsi="Calibri"/>
                <w:color w:val="3A3A3A"/>
                <w:sz w:val="18"/>
                <w:szCs w:val="18"/>
              </w:rPr>
              <w:t xml:space="preserve">→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pérdida esperada por impago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(≈ probabilidad de impago × severidad × sobre-préstamo, lo que la regla AVM busca frenar);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infravalorar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solo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pierde la operación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(el margen de una venta). Bajo un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supuesto ilustrativo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—sobrevaluar cuesta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3×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por dólar lo que infravaluar, cifra a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calibrar con datos del negocio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, no un dato del modelo— el umbral óptimo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no es simétrico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: conviene un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cuantil conservador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(exigir un margen mayor antes de confiar en una predicción alta, o un </w:t>
            </w:r>
            <w:r>
              <w:rPr>
                <w:rFonts w:ascii="Cambria" w:cs="Cambria" w:eastAsia="Cambria" w:hAnsi="Cambria"/>
                <w:i/>
                <w:iCs/>
                <w:color w:val="3A3A3A"/>
                <w:sz w:val="18"/>
                <w:szCs w:val="18"/>
              </w:rPr>
              <w:t xml:space="preserve">haircut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): se compara el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costo esperado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de "confiar en toda predicción" frente a "aplicar haircut",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no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el RMSE.</w:t>
            </w:r>
          </w:p>
        </w:tc>
      </w:tr>
    </w:tbl>
    <w:p>
      <w:pPr>
        <w:spacing w:after="220"/>
      </w:pP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80"/>
      </w:tblGrid>
      <w:tr>
        <w:tc>
          <w:tcPr>
            <w:tcW w:type="dxa" w:w="10080"/>
            <w:tcBorders>
              <w:top w:val="single" w:color="E4002B" w:sz="14"/>
              <w:left w:val="none" w:color="FFFFFF" w:sz="0"/>
              <w:bottom w:val="single" w:color="D9D9D9" w:sz="4"/>
              <w:right w:val="none" w:color="FFFFFF" w:sz="0"/>
            </w:tcBorders>
            <w:shd w:fill="F2F3F5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keepNext/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7A1526"/>
                <w:sz w:val="15"/>
                <w:szCs w:val="15"/>
              </w:rPr>
              <w:t xml:space="preserve">NOTA TÉCNICA 4.5   </w:t>
            </w:r>
            <w:r>
              <w:rPr>
                <w:rFonts w:ascii="Calibri" w:cs="Calibri" w:eastAsia="Calibri" w:hAnsi="Calibri"/>
                <w:b/>
                <w:bCs/>
                <w:color w:val="7A1526"/>
                <w:sz w:val="19"/>
                <w:szCs w:val="19"/>
              </w:rPr>
              <w:t xml:space="preserve">Dinero-en-riesgo de la cartera (ilustrativo, no del Excel)</w:t>
            </w:r>
          </w:p>
          <w:p>
            <w:pPr>
              <w:spacing w:after="70" w:line="265"/>
            </w:pP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No es RMSE × N. Sobre una cartera de, por ejemplo,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N = 1 000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hipotecas, si el modelo fija de más ~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p = 20 %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de ellas y la pérdida esperada por caso sobre-fijado ronda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L = 15 000 USD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, el dinero en riesgo ≈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N·p·L = 3 000 000 USD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. El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RMSE (≈ 33 300)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dimensiona el </w:t>
            </w:r>
            <w:r>
              <w:rPr>
                <w:rFonts w:ascii="Cambria" w:cs="Cambria" w:eastAsia="Cambria" w:hAnsi="Cambria"/>
                <w:i/>
                <w:iCs/>
                <w:color w:val="3A3A3A"/>
                <w:sz w:val="18"/>
                <w:szCs w:val="18"/>
              </w:rPr>
              <w:t xml:space="preserve">error de predicción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; el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costo esperado (N·p·L)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dimensiona el </w:t>
            </w:r>
            <w:r>
              <w:rPr>
                <w:rFonts w:ascii="Cambria" w:cs="Cambria" w:eastAsia="Cambria" w:hAnsi="Cambria"/>
                <w:i/>
                <w:iCs/>
                <w:color w:val="3A3A3A"/>
                <w:sz w:val="18"/>
                <w:szCs w:val="18"/>
              </w:rPr>
              <w:t xml:space="preserve">dinero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. Bajar el RMSE reduce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p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, y por esa vía —sin sumar bandas de error— baja el dinero en riesgo.</w:t>
            </w:r>
          </w:p>
        </w:tc>
      </w:tr>
    </w:tbl>
    <w:p>
      <w:pPr>
        <w:spacing w:after="220"/>
      </w:pP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80"/>
      </w:tblGrid>
      <w:tr>
        <w:tc>
          <w:tcPr>
            <w:tcW w:type="dxa" w:w="10080"/>
            <w:tcBorders>
              <w:top w:val="single" w:color="E4002B" w:sz="14"/>
              <w:left w:val="none" w:color="FFFFFF" w:sz="0"/>
              <w:bottom w:val="single" w:color="D9D9D9" w:sz="4"/>
              <w:right w:val="none" w:color="FFFFFF" w:sz="0"/>
            </w:tcBorders>
            <w:shd w:fill="F2F3F5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keepNext/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7A1526"/>
                <w:sz w:val="15"/>
                <w:szCs w:val="15"/>
              </w:rPr>
              <w:t xml:space="preserve">NOTA TÉCNICA 4.6   </w:t>
            </w:r>
            <w:r>
              <w:rPr>
                <w:rFonts w:ascii="Calibri" w:cs="Calibri" w:eastAsia="Calibri" w:hAnsi="Calibri"/>
                <w:b/>
                <w:bCs/>
                <w:color w:val="7A1526"/>
                <w:sz w:val="19"/>
                <w:szCs w:val="19"/>
              </w:rPr>
              <w:t xml:space="preserve">Champion–challenger operativo (no decorativo)</w:t>
            </w:r>
          </w:p>
          <w:p>
            <w:pPr>
              <w:spacing w:after="70" w:line="265"/>
            </w:pP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Para reemplazar en producción el modelo vigente (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campeón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) por un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retador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: (1)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muestra de contraste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— ambos tasan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en paralelo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el mismo lote de listados nuevos; (2)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métrica de decisión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— su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error real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(RMSE o error absoluto medio) contra el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precio de venta posterior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, no el ajuste in-sample; (3)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regla de promoción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— se promueve el retador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solo si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su error es inferior al del campeón por un margen material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y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el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IC de la diferencia no cruza 0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sobre una ventana de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3–6 meses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. Validar así antes de producción es la frontera económica de la sesión (optimizar por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costo esperado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, no solo por RMSE).</w:t>
            </w:r>
          </w:p>
        </w:tc>
      </w:tr>
    </w:tbl>
    <w:p>
      <w:pPr>
        <w:spacing w:after="220"/>
      </w:pPr>
    </w:p>
    <w:p>
      <w:pPr>
        <w:spacing w:after="260" w:line="265"/>
      </w:pPr>
      <w:r>
        <w:rPr>
          <w:rFonts w:ascii="Cambria" w:cs="Cambria" w:eastAsia="Cambria" w:hAnsi="Cambria"/>
          <w:i/>
          <w:iCs/>
          <w:color w:val="6E6E6E"/>
          <w:sz w:val="18"/>
          <w:szCs w:val="18"/>
        </w:rPr>
        <w:t xml:space="preserve">El desempeño en este entregable se refuerza con el </w:t>
      </w:r>
      <w:r>
        <w:rPr>
          <w:rFonts w:ascii="Cambria" w:cs="Cambria" w:eastAsia="Cambria" w:hAnsi="Cambria"/>
          <w:b/>
          <w:bCs/>
          <w:i/>
          <w:iCs/>
          <w:color w:val="6E6E6E"/>
          <w:sz w:val="18"/>
          <w:szCs w:val="18"/>
        </w:rPr>
        <w:t xml:space="preserve">control corto</w:t>
      </w:r>
      <w:r>
        <w:rPr>
          <w:rFonts w:ascii="Cambria" w:cs="Cambria" w:eastAsia="Cambria" w:hAnsi="Cambria"/>
          <w:i/>
          <w:iCs/>
          <w:color w:val="6E6E6E"/>
          <w:sz w:val="18"/>
          <w:szCs w:val="18"/>
        </w:rPr>
        <w:t xml:space="preserve"> de cierre y con los ítems [S04] del banco de exámenes. Alimenta la fase «Modelado» del proyecto integrador. Lecturas de apoyo: ISLR cap. 3.2–3.3 y Sección 5.1 (CV), en la bibliografía de la sesión.</w:t>
      </w:r>
    </w:p>
    <w:sectPr>
      <w:headerReference w:type="default" r:id="rId7"/>
      <w:footerReference w:type="default" r:id="rId8"/>
      <w:pgSz w:w="12240" w:h="15840" w:orient="portrait"/>
      <w:pgMar w:top="1080" w:right="1080" w:bottom="10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E6E6E"/>
        <w:sz w:val="14"/>
        <w:szCs w:val="14"/>
      </w:rPr>
      <w:t xml:space="preserve">Herramientas para la Ciencia de Datos, UPC, Facultad de Negocios     |     </w:t>
    </w:r>
    <w:r>
      <w:rPr>
        <w:rFonts w:ascii="Calibri" w:cs="Calibri" w:eastAsia="Calibri" w:hAnsi="Calibri"/>
        <w:b/>
        <w:bCs/>
        <w:color w:val="7A1526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FE2E6" w:sz="4" w:space="4"/>
      </w:pBdr>
      <w:spacing w:after="120"/>
    </w:pPr>
    <w:r>
      <w:rPr>
        <w:rFonts w:ascii="Calibri" w:cs="Calibri" w:eastAsia="Calibri" w:hAnsi="Calibri"/>
        <w:color w:val="6E6E6E"/>
        <w:sz w:val="15"/>
        <w:szCs w:val="15"/>
      </w:rPr>
      <w:t xml:space="preserve">Entregable evaluable — Sesión S04: modelo de precios de vivienda (Ames) con diagnóstico, dummies e interacción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mbria" w:cs="Cambria" w:eastAsia="Cambria" w:hAnsi="Cambria"/>
        <w:color w:val="2D2D2D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Entregable evaluable — Sesión S04</dc:title>
  <dc:creator>UPC</dc:creator>
  <dc:description>Modelo de precios de vivienda (Ames) con diagnóstico, dummies e interacción</dc:description>
  <cp:lastModifiedBy>Un-named</cp:lastModifiedBy>
  <cp:revision>1</cp:revision>
  <dcterms:created xsi:type="dcterms:W3CDTF">2026-09-14T18:47:18.579Z</dcterms:created>
  <dcterms:modified xsi:type="dcterms:W3CDTF">2026-09-14T18:47:18.579Z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