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7A1526"/>
          <w:spacing w:val="40"/>
          <w:sz w:val="15"/>
          <w:szCs w:val="15"/>
        </w:rPr>
        <w:t xml:space="preserve">UPC · FACULTAD DE NEGOCIOS · PROGRAMA ADMINISTRACIÓN Y CIENCIA DE DATOS PARA NEGOCIOS</w:t>
      </w:r>
    </w:p>
    <w:p>
      <w:pPr>
        <w:spacing w:after="40"/>
      </w:pPr>
      <w:r>
        <w:rPr>
          <w:rFonts w:ascii="Cambria" w:cs="Cambria" w:eastAsia="Cambria" w:hAnsi="Cambria"/>
          <w:b/>
          <w:bCs/>
          <w:color w:val="2D2D2D"/>
          <w:sz w:val="36"/>
          <w:szCs w:val="36"/>
        </w:rPr>
        <w:t xml:space="preserve">Guía de laboratorio — Sesión S04</w:t>
      </w:r>
    </w:p>
    <w:p>
      <w:pPr>
        <w:pBdr>
          <w:bottom w:val="single" w:color="E4002B" w:sz="18" w:space="10"/>
        </w:pBdr>
        <w:spacing w:after="160"/>
      </w:pPr>
      <w:r>
        <w:rPr>
          <w:rFonts w:ascii="Cambria" w:cs="Cambria" w:eastAsia="Cambria" w:hAnsi="Cambria"/>
          <w:color w:val="7A1526"/>
          <w:sz w:val="28"/>
          <w:szCs w:val="28"/>
        </w:rPr>
        <w:t xml:space="preserve">Regresión lineal múltiple: diagnóstico, dummies, interacciones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200"/>
        <w:gridCol w:w="7880"/>
      </w:tblGrid>
      <w:tr>
        <w:tc>
          <w:tcPr>
            <w:tcW w:type="dxa" w:w="22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5"/>
                <w:szCs w:val="15"/>
              </w:rPr>
              <w:t xml:space="preserve">CURSO</w:t>
            </w:r>
          </w:p>
        </w:tc>
        <w:tc>
          <w:tcPr>
            <w:tcW w:type="dxa" w:w="7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mbria" w:cs="Cambria" w:eastAsia="Cambria" w:hAnsi="Cambria"/>
                <w:color w:val="2D2D2D"/>
                <w:sz w:val="19"/>
                <w:szCs w:val="19"/>
              </w:rPr>
              <w:t xml:space="preserve">Herramientas para la Ciencia de Datos · Sesión 04 · Regresión lineal múltiple: diagnóstico, dummies, interacciones · Material del estudiante</w:t>
            </w:r>
          </w:p>
        </w:tc>
      </w:tr>
      <w:tr>
        <w:tc>
          <w:tcPr>
            <w:tcW w:type="dxa" w:w="22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5"/>
                <w:szCs w:val="15"/>
              </w:rPr>
              <w:t xml:space="preserve">MODALIDAD</w:t>
            </w:r>
          </w:p>
        </w:tc>
        <w:tc>
          <w:tcPr>
            <w:tcW w:type="dxa" w:w="7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mbria" w:cs="Cambria" w:eastAsia="Cambria" w:hAnsi="Cambria"/>
                <w:color w:val="2D2D2D"/>
                <w:sz w:val="19"/>
                <w:szCs w:val="19"/>
              </w:rPr>
              <w:t xml:space="preserve">Práctica en parejas ejecutada íntegramente en aula, conducida por el docente · entregable individual (cada estudiante redacta su propia valoración y recomendación de precio)</w:t>
            </w:r>
          </w:p>
        </w:tc>
      </w:tr>
      <w:tr>
        <w:tc>
          <w:tcPr>
            <w:tcW w:type="dxa" w:w="22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5"/>
                <w:szCs w:val="15"/>
              </w:rPr>
              <w:t xml:space="preserve">DURACIÓN</w:t>
            </w:r>
          </w:p>
        </w:tc>
        <w:tc>
          <w:tcPr>
            <w:tcW w:type="dxa" w:w="7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mbria" w:cs="Cambria" w:eastAsia="Cambria" w:hAnsi="Cambria"/>
                <w:color w:val="2D2D2D"/>
                <w:sz w:val="19"/>
                <w:szCs w:val="19"/>
              </w:rPr>
              <w:t xml:space="preserve">~112 min de guion (Pasos 0–5 ≈87 min + Paso 6 ≈25 min) · jueves: capítulo 4.5 (bloque A2, ventana de aula 35 min) · viernes: capítulo 4.8 (bloque B, ventana de aula 40 min)</w:t>
            </w:r>
          </w:p>
        </w:tc>
      </w:tr>
      <w:tr>
        <w:tc>
          <w:tcPr>
            <w:tcW w:type="dxa" w:w="22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5"/>
                <w:szCs w:val="15"/>
              </w:rPr>
              <w:t xml:space="preserve">CUADERNO</w:t>
            </w:r>
          </w:p>
        </w:tc>
        <w:tc>
          <w:tcPr>
            <w:tcW w:type="dxa" w:w="7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onsolas" w:cs="Consolas" w:eastAsia="Consolas" w:hAnsi="Consolas"/>
                <w:color w:val="7A1526"/>
                <w:sz w:val="17"/>
                <w:szCs w:val="17"/>
              </w:rPr>
              <w:t xml:space="preserve">notebook/S04_regresion_multiple.ipynb</w:t>
            </w:r>
            <w:r>
              <w:rPr>
                <w:rFonts w:ascii="Cambria" w:cs="Cambria" w:eastAsia="Cambria" w:hAnsi="Cambria"/>
                <w:color w:val="2D2D2D"/>
                <w:sz w:val="19"/>
                <w:szCs w:val="19"/>
              </w:rPr>
              <w:t xml:space="preserve"> · Bloque 1 = capítulo 4.5, Sección 4 del cuaderno (réplica, Pasos 0–5) · Bloque 2 = capítulo 4.8, Sección 5 del cuaderno (negocio, Paso 6)</w:t>
            </w:r>
          </w:p>
        </w:tc>
      </w:tr>
    </w:tbl>
    <w:p>
      <w:pPr>
        <w:spacing w:after="150"/>
      </w:pPr>
    </w:p>
    <w:p>
      <w:pPr>
        <w:spacing w:after="180" w:line="265"/>
      </w:pPr>
      <w:r>
        <w:rPr>
          <w:rFonts w:ascii="Cambria" w:cs="Cambria" w:eastAsia="Cambria" w:hAnsi="Cambria"/>
          <w:color w:val="3A3A3A"/>
          <w:sz w:val="18"/>
          <w:szCs w:val="18"/>
        </w:rPr>
        <w:t xml:space="preserve">El laboratorio se ejecuta </w:t>
      </w:r>
      <w:r>
        <w:rPr>
          <w:rFonts w:ascii="Cambria" w:cs="Cambria" w:eastAsia="Cambria" w:hAnsi="Cambria"/>
          <w:b/>
          <w:bCs/>
          <w:color w:val="3A3A3A"/>
          <w:sz w:val="18"/>
          <w:szCs w:val="18"/>
        </w:rPr>
        <w:t xml:space="preserve">íntegro en aula</w:t>
      </w:r>
      <w:r>
        <w:rPr>
          <w:rFonts w:ascii="Cambria" w:cs="Cambria" w:eastAsia="Cambria" w:hAnsi="Cambria"/>
          <w:color w:val="3A3A3A"/>
          <w:sz w:val="18"/>
          <w:szCs w:val="18"/>
        </w:rPr>
        <w:t xml:space="preserve">, conducido por el docente: ningún paso es trabajo domiciliario. En casa queda la redacción del </w:t>
      </w:r>
      <w:r>
        <w:rPr>
          <w:rFonts w:ascii="Cambria" w:cs="Cambria" w:eastAsia="Cambria" w:hAnsi="Cambria"/>
          <w:b/>
          <w:bCs/>
          <w:color w:val="3A3A3A"/>
          <w:sz w:val="18"/>
          <w:szCs w:val="18"/>
        </w:rPr>
        <w:t xml:space="preserve">entregable</w:t>
      </w:r>
      <w:r>
        <w:rPr>
          <w:rFonts w:ascii="Cambria" w:cs="Cambria" w:eastAsia="Cambria" w:hAnsi="Cambria"/>
          <w:color w:val="3A3A3A"/>
          <w:sz w:val="18"/>
          <w:szCs w:val="18"/>
        </w:rPr>
        <w:t xml:space="preserve">, no el aprendizaje del método. El </w:t>
      </w:r>
      <w:r>
        <w:rPr>
          <w:rFonts w:ascii="Cambria" w:cs="Cambria" w:eastAsia="Cambria" w:hAnsi="Cambria"/>
          <w:b/>
          <w:bCs/>
          <w:color w:val="3A3A3A"/>
          <w:sz w:val="18"/>
          <w:szCs w:val="18"/>
        </w:rPr>
        <w:t xml:space="preserve">control corto</w:t>
      </w:r>
      <w:r>
        <w:rPr>
          <w:rFonts w:ascii="Cambria" w:cs="Cambria" w:eastAsia="Cambria" w:hAnsi="Cambria"/>
          <w:color w:val="3A3A3A"/>
          <w:sz w:val="18"/>
          <w:szCs w:val="18"/>
        </w:rPr>
        <w:t xml:space="preserve"> tampoco es tarea: se resuelve en aula, en la franja de 20 minutos del jueves siguiente, y cubre los nueve capítulos de la sesión.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tcBorders>
              <w:top w:val="none" w:color="FFFFFF" w:sz="0"/>
              <w:left w:val="none" w:color="FFFFFF" w:sz="0"/>
              <w:bottom w:val="none" w:color="FFFFFF" w:sz="0"/>
              <w:right w:val="none" w:color="FFFFFF" w:sz="0"/>
            </w:tcBorders>
            <w:shd w:fill="7A1526" w:color="auto" w:val="clear"/>
            <w:tcMar>
              <w:top w:type="dxa" w:w="180"/>
              <w:left w:type="dxa" w:w="150"/>
              <w:bottom w:type="dxa" w:w="180"/>
              <w:right w:type="dxa" w:w="150"/>
            </w:tcMar>
          </w:tcPr>
          <w:p>
            <w:pPr>
              <w:spacing w:after="80"/>
            </w:pPr>
            <w:r>
              <w:rPr>
                <w:rFonts w:ascii="Calibri" w:cs="Calibri" w:eastAsia="Calibri" w:hAnsi="Calibri"/>
                <w:b/>
                <w:bCs/>
                <w:color w:val="FFFFFF"/>
                <w:spacing w:val="30"/>
                <w:sz w:val="15"/>
                <w:szCs w:val="15"/>
              </w:rPr>
              <w:t xml:space="preserve">OBJETIVO DEL LABORATORIO</w:t>
            </w:r>
          </w:p>
          <w:p>
            <w:pPr>
              <w:spacing w:line="280"/>
            </w:pPr>
            <w:r>
              <w:rPr>
                <w:rFonts w:ascii="Cambria" w:cs="Cambria" w:eastAsia="Cambria" w:hAnsi="Cambria"/>
                <w:color w:val="FFFFFF"/>
                <w:sz w:val="21"/>
                <w:szCs w:val="21"/>
              </w:rPr>
              <w:t xml:space="preserve">Reproducir sobre el dataset original de De Cock (2930 ventas) los cuatro números ancla de la sesión —la correlación </w:t>
            </w:r>
            <w:r>
              <w:rPr>
                <w:rFonts w:ascii="Consolas" w:cs="Consolas" w:eastAsia="Consolas" w:hAnsi="Consolas"/>
                <w:color w:val="FFFFFF"/>
                <w:sz w:val="19"/>
                <w:szCs w:val="19"/>
              </w:rPr>
              <w:t xml:space="preserve">SalePrice ~ Gr Liv Area</w:t>
            </w:r>
            <w:r>
              <w:rPr>
                <w:rFonts w:ascii="Cambria" w:cs="Cambria" w:eastAsia="Cambria" w:hAnsi="Cambria"/>
                <w:color w:val="FFFFFF"/>
                <w:sz w:val="21"/>
                <w:szCs w:val="21"/>
              </w:rPr>
              <w:t xml:space="preserve"> (≈ 0.71), las 5 ventas atípicas que el autor recomienda remover, el R² del modelo simple limpio (≈ 0.518) y el R² del modelo múltiple en log(</w:t>
            </w:r>
            <w:r>
              <w:rPr>
                <w:rFonts w:ascii="Consolas" w:cs="Consolas" w:eastAsia="Consolas" w:hAnsi="Consolas"/>
                <w:color w:val="FFFFFF"/>
                <w:sz w:val="19"/>
                <w:szCs w:val="19"/>
              </w:rPr>
              <w:t xml:space="preserve">SalePrice</w:t>
            </w:r>
            <w:r>
              <w:rPr>
                <w:rFonts w:ascii="Cambria" w:cs="Cambria" w:eastAsia="Cambria" w:hAnsi="Cambria"/>
                <w:color w:val="FFFFFF"/>
                <w:sz w:val="21"/>
                <w:szCs w:val="21"/>
              </w:rPr>
              <w:t xml:space="preserve">) (≈ 0.847)— y comprobar que caen dentro de la tolerancia declarado para la sesión de la sesión. En el camino se practica el ciclo completo de la regresión múltiple: interpretar </w:t>
            </w:r>
            <w:r>
              <w:rPr>
                <w:rFonts w:ascii="Cambria" w:cs="Cambria" w:eastAsia="Cambria" w:hAnsi="Cambria"/>
                <w:b/>
                <w:bCs/>
                <w:color w:val="FFFFFF"/>
                <w:sz w:val="21"/>
                <w:szCs w:val="21"/>
              </w:rPr>
              <w:t xml:space="preserve">coeficientes parciales</w:t>
            </w:r>
            <w:r>
              <w:rPr>
                <w:rFonts w:ascii="Cambria" w:cs="Cambria" w:eastAsia="Cambria" w:hAnsi="Cambria"/>
                <w:color w:val="FFFFFF"/>
                <w:sz w:val="21"/>
                <w:szCs w:val="21"/>
              </w:rPr>
              <w:t xml:space="preserve"> ("con lo demás constante"), diagnosticar la </w:t>
            </w:r>
            <w:r>
              <w:rPr>
                <w:rFonts w:ascii="Cambria" w:cs="Cambria" w:eastAsia="Cambria" w:hAnsi="Cambria"/>
                <w:b/>
                <w:bCs/>
                <w:color w:val="FFFFFF"/>
                <w:sz w:val="21"/>
                <w:szCs w:val="21"/>
              </w:rPr>
              <w:t xml:space="preserve">multicolinealidad</w:t>
            </w:r>
            <w:r>
              <w:rPr>
                <w:rFonts w:ascii="Cambria" w:cs="Cambria" w:eastAsia="Cambria" w:hAnsi="Cambria"/>
                <w:color w:val="FFFFFF"/>
                <w:sz w:val="21"/>
                <w:szCs w:val="21"/>
              </w:rPr>
              <w:t xml:space="preserve"> (VIF), la </w:t>
            </w:r>
            <w:r>
              <w:rPr>
                <w:rFonts w:ascii="Cambria" w:cs="Cambria" w:eastAsia="Cambria" w:hAnsi="Cambria"/>
                <w:b/>
                <w:bCs/>
                <w:color w:val="FFFFFF"/>
                <w:sz w:val="21"/>
                <w:szCs w:val="21"/>
              </w:rPr>
              <w:t xml:space="preserve">heterocedasticidad</w:t>
            </w:r>
            <w:r>
              <w:rPr>
                <w:rFonts w:ascii="Cambria" w:cs="Cambria" w:eastAsia="Cambria" w:hAnsi="Cambria"/>
                <w:color w:val="FFFFFF"/>
                <w:sz w:val="21"/>
                <w:szCs w:val="21"/>
              </w:rPr>
              <w:t xml:space="preserve"> (Breusch-Pagan) y las </w:t>
            </w:r>
            <w:r>
              <w:rPr>
                <w:rFonts w:ascii="Cambria" w:cs="Cambria" w:eastAsia="Cambria" w:hAnsi="Cambria"/>
                <w:b/>
                <w:bCs/>
                <w:color w:val="FFFFFF"/>
                <w:sz w:val="21"/>
                <w:szCs w:val="21"/>
              </w:rPr>
              <w:t xml:space="preserve">observaciones influyentes</w:t>
            </w:r>
            <w:r>
              <w:rPr>
                <w:rFonts w:ascii="Cambria" w:cs="Cambria" w:eastAsia="Cambria" w:hAnsi="Cambria"/>
                <w:color w:val="FFFFFF"/>
                <w:sz w:val="21"/>
                <w:szCs w:val="21"/>
              </w:rPr>
              <w:t xml:space="preserve"> (distancia de Cook), corregir con </w:t>
            </w:r>
            <w:r>
              <w:rPr>
                <w:rFonts w:ascii="Cambria" w:cs="Cambria" w:eastAsia="Cambria" w:hAnsi="Cambria"/>
                <w:b/>
                <w:bCs/>
                <w:color w:val="FFFFFF"/>
                <w:sz w:val="21"/>
                <w:szCs w:val="21"/>
              </w:rPr>
              <w:t xml:space="preserve">transformación log</w:t>
            </w:r>
            <w:r>
              <w:rPr>
                <w:rFonts w:ascii="Cambria" w:cs="Cambria" w:eastAsia="Cambria" w:hAnsi="Cambria"/>
                <w:color w:val="FFFFFF"/>
                <w:sz w:val="21"/>
                <w:szCs w:val="21"/>
              </w:rPr>
              <w:t xml:space="preserve"> y </w:t>
            </w:r>
            <w:r>
              <w:rPr>
                <w:rFonts w:ascii="Cambria" w:cs="Cambria" w:eastAsia="Cambria" w:hAnsi="Cambria"/>
                <w:b/>
                <w:bCs/>
                <w:color w:val="FFFFFF"/>
                <w:sz w:val="21"/>
                <w:szCs w:val="21"/>
              </w:rPr>
              <w:t xml:space="preserve">errores estándar robustos</w:t>
            </w:r>
            <w:r>
              <w:rPr>
                <w:rFonts w:ascii="Cambria" w:cs="Cambria" w:eastAsia="Cambria" w:hAnsi="Cambria"/>
                <w:color w:val="FFFFFF"/>
                <w:sz w:val="21"/>
                <w:szCs w:val="21"/>
              </w:rPr>
              <w:t xml:space="preserve"> (HC3), incorporar una </w:t>
            </w:r>
            <w:r>
              <w:rPr>
                <w:rFonts w:ascii="Cambria" w:cs="Cambria" w:eastAsia="Cambria" w:hAnsi="Cambria"/>
                <w:b/>
                <w:bCs/>
                <w:color w:val="FFFFFF"/>
                <w:sz w:val="21"/>
                <w:szCs w:val="21"/>
              </w:rPr>
              <w:t xml:space="preserve">dummy</w:t>
            </w:r>
            <w:r>
              <w:rPr>
                <w:rFonts w:ascii="Cambria" w:cs="Cambria" w:eastAsia="Cambria" w:hAnsi="Cambria"/>
                <w:color w:val="FFFFFF"/>
                <w:sz w:val="21"/>
                <w:szCs w:val="21"/>
              </w:rPr>
              <w:t xml:space="preserve"> de barrio, que evita la dummy redundante, y una </w:t>
            </w:r>
            <w:r>
              <w:rPr>
                <w:rFonts w:ascii="Cambria" w:cs="Cambria" w:eastAsia="Cambria" w:hAnsi="Cambria"/>
                <w:b/>
                <w:bCs/>
                <w:color w:val="FFFFFF"/>
                <w:sz w:val="21"/>
                <w:szCs w:val="21"/>
              </w:rPr>
              <w:t xml:space="preserve">interacción zona × tamaño</w:t>
            </w:r>
            <w:r>
              <w:rPr>
                <w:rFonts w:ascii="Cambria" w:cs="Cambria" w:eastAsia="Cambria" w:hAnsi="Cambria"/>
                <w:color w:val="FFFFFF"/>
                <w:sz w:val="21"/>
                <w:szCs w:val="21"/>
              </w:rPr>
              <w:t xml:space="preserve">, y elegir el modelo más generalizable por </w:t>
            </w:r>
            <w:r>
              <w:rPr>
                <w:rFonts w:ascii="Cambria" w:cs="Cambria" w:eastAsia="Cambria" w:hAnsi="Cambria"/>
                <w:b/>
                <w:bCs/>
                <w:color w:val="FFFFFF"/>
                <w:sz w:val="21"/>
                <w:szCs w:val="21"/>
              </w:rPr>
              <w:t xml:space="preserve">validación cruzada 5-fold</w:t>
            </w:r>
            <w:r>
              <w:rPr>
                <w:rFonts w:ascii="Cambria" w:cs="Cambria" w:eastAsia="Cambria" w:hAnsi="Cambria"/>
                <w:color w:val="FFFFFF"/>
                <w:sz w:val="21"/>
                <w:szCs w:val="21"/>
              </w:rPr>
              <w:t xml:space="preserve"> (RMSE medio ± sd), no por el R² in-sample. Finalmente, se traslada el modelo elegido a un caso de negocio para emitir una </w:t>
            </w:r>
            <w:r>
              <w:rPr>
                <w:rFonts w:ascii="Cambria" w:cs="Cambria" w:eastAsia="Cambria" w:hAnsi="Cambria"/>
                <w:b/>
                <w:bCs/>
                <w:color w:val="FFFFFF"/>
                <w:sz w:val="21"/>
                <w:szCs w:val="21"/>
              </w:rPr>
              <w:t xml:space="preserve">valoración con recomendación de precio</w:t>
            </w:r>
            <w:r>
              <w:rPr>
                <w:rFonts w:ascii="Cambria" w:cs="Cambria" w:eastAsia="Cambria" w:hAnsi="Cambria"/>
                <w:color w:val="FFFFFF"/>
                <w:sz w:val="21"/>
                <w:szCs w:val="21"/>
              </w:rPr>
              <w:t xml:space="preserve"> documentada.</w:t>
            </w:r>
          </w:p>
        </w:tc>
      </w:tr>
    </w:tbl>
    <w:p>
      <w:pPr>
        <w:spacing w:after="200"/>
      </w:pPr>
    </w:p>
    <w:p>
      <w:pPr>
        <w:keepNext/>
        <w:spacing w:after="110" w:before="240"/>
      </w:pPr>
      <w:r>
        <w:rPr>
          <w:rFonts w:ascii="Calibri" w:cs="Calibri" w:eastAsia="Calibri" w:hAnsi="Calibri"/>
          <w:b/>
          <w:bCs/>
          <w:color w:val="7A1526"/>
          <w:sz w:val="21"/>
          <w:szCs w:val="21"/>
        </w:rPr>
        <w:t xml:space="preserve">Contenido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500"/>
        <w:gridCol w:w="6180"/>
        <w:gridCol w:w="2400"/>
      </w:tblGrid>
      <w:tr>
        <w:tc>
          <w:tcPr>
            <w:tcW w:type="dxa" w:w="15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7"/>
                <w:szCs w:val="17"/>
              </w:rPr>
              <w:t xml:space="preserve">Sección 0</w:t>
            </w:r>
          </w:p>
        </w:tc>
        <w:tc>
          <w:tcPr>
            <w:tcW w:type="dxa" w:w="61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mbria" w:cs="Cambria" w:eastAsia="Cambria" w:hAnsi="Cambria"/>
                <w:color w:val="2D2D2D"/>
                <w:sz w:val="19"/>
                <w:szCs w:val="19"/>
              </w:rPr>
              <w:t xml:space="preserve">Antes de empezar</w:t>
            </w:r>
          </w:p>
        </w:tc>
        <w:tc>
          <w:tcPr>
            <w:tcW w:type="dxa" w:w="24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jc w:val="right"/>
            </w:pPr>
            <w:r>
              <w:rPr>
                <w:rFonts w:ascii="Calibri" w:cs="Calibri" w:eastAsia="Calibri" w:hAnsi="Calibri"/>
                <w:color w:val="6E6E6E"/>
                <w:sz w:val="17"/>
                <w:szCs w:val="17"/>
              </w:rPr>
              <w:t xml:space="preserve">—</w:t>
            </w:r>
          </w:p>
        </w:tc>
      </w:tr>
      <w:tr>
        <w:tc>
          <w:tcPr>
            <w:tcW w:type="dxa" w:w="15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7"/>
                <w:szCs w:val="17"/>
              </w:rPr>
              <w:t xml:space="preserve">Sección 1</w:t>
            </w:r>
          </w:p>
        </w:tc>
        <w:tc>
          <w:tcPr>
            <w:tcW w:type="dxa" w:w="61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mbria" w:cs="Cambria" w:eastAsia="Cambria" w:hAnsi="Cambria"/>
                <w:color w:val="2D2D2D"/>
                <w:sz w:val="19"/>
                <w:szCs w:val="19"/>
              </w:rPr>
              <w:t xml:space="preserve">Réplica del paper de Ames, De Cock (2011) (Pasos 0–5)</w:t>
            </w:r>
          </w:p>
        </w:tc>
        <w:tc>
          <w:tcPr>
            <w:tcW w:type="dxa" w:w="24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jc w:val="right"/>
            </w:pPr>
            <w:r>
              <w:rPr>
                <w:rFonts w:ascii="Calibri" w:cs="Calibri" w:eastAsia="Calibri" w:hAnsi="Calibri"/>
                <w:color w:val="6E6E6E"/>
                <w:sz w:val="17"/>
                <w:szCs w:val="17"/>
              </w:rPr>
              <w:t xml:space="preserve">~87 min</w:t>
            </w:r>
          </w:p>
        </w:tc>
      </w:tr>
      <w:tr>
        <w:tc>
          <w:tcPr>
            <w:tcW w:type="dxa" w:w="15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7"/>
                <w:szCs w:val="17"/>
              </w:rPr>
              <w:t xml:space="preserve">Sección 2</w:t>
            </w:r>
          </w:p>
        </w:tc>
        <w:tc>
          <w:tcPr>
            <w:tcW w:type="dxa" w:w="61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mbria" w:cs="Cambria" w:eastAsia="Cambria" w:hAnsi="Cambria"/>
                <w:color w:val="2D2D2D"/>
                <w:sz w:val="19"/>
                <w:szCs w:val="19"/>
              </w:rPr>
              <w:t xml:space="preserve">Del paper al negocio: valoración de precio (Paso 6)</w:t>
            </w:r>
          </w:p>
        </w:tc>
        <w:tc>
          <w:tcPr>
            <w:tcW w:type="dxa" w:w="24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jc w:val="right"/>
            </w:pPr>
            <w:r>
              <w:rPr>
                <w:rFonts w:ascii="Calibri" w:cs="Calibri" w:eastAsia="Calibri" w:hAnsi="Calibri"/>
                <w:color w:val="6E6E6E"/>
                <w:sz w:val="17"/>
                <w:szCs w:val="17"/>
              </w:rPr>
              <w:t xml:space="preserve">~25 min</w:t>
            </w:r>
          </w:p>
        </w:tc>
      </w:tr>
      <w:tr>
        <w:tc>
          <w:tcPr>
            <w:tcW w:type="dxa" w:w="15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7"/>
                <w:szCs w:val="17"/>
              </w:rPr>
              <w:t xml:space="preserve">Sección 3</w:t>
            </w:r>
          </w:p>
        </w:tc>
        <w:tc>
          <w:tcPr>
            <w:tcW w:type="dxa" w:w="61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mbria" w:cs="Cambria" w:eastAsia="Cambria" w:hAnsi="Cambria"/>
                <w:color w:val="2D2D2D"/>
                <w:sz w:val="19"/>
                <w:szCs w:val="19"/>
              </w:rPr>
              <w:t xml:space="preserve">Cierre: entregable y proyecto integrador</w:t>
            </w:r>
          </w:p>
        </w:tc>
        <w:tc>
          <w:tcPr>
            <w:tcW w:type="dxa" w:w="240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jc w:val="right"/>
            </w:pPr>
            <w:r>
              <w:rPr>
                <w:rFonts w:ascii="Calibri" w:cs="Calibri" w:eastAsia="Calibri" w:hAnsi="Calibri"/>
                <w:color w:val="6E6E6E"/>
                <w:sz w:val="17"/>
                <w:szCs w:val="17"/>
              </w:rPr>
              <w:t xml:space="preserve">—</w:t>
            </w:r>
          </w:p>
        </w:tc>
      </w:tr>
      <w:tr>
        <w:tc>
          <w:tcPr>
            <w:tcW w:type="dxa" w:w="15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7"/>
                <w:szCs w:val="17"/>
              </w:rPr>
              <w:t xml:space="preserve">Sección 4</w:t>
            </w:r>
          </w:p>
        </w:tc>
        <w:tc>
          <w:tcPr>
            <w:tcW w:type="dxa" w:w="61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mbria" w:cs="Cambria" w:eastAsia="Cambria" w:hAnsi="Cambria"/>
                <w:color w:val="2D2D2D"/>
                <w:sz w:val="19"/>
                <w:szCs w:val="19"/>
              </w:rPr>
              <w:t xml:space="preserve">Checklist final de autoevaluación</w:t>
            </w:r>
          </w:p>
        </w:tc>
        <w:tc>
          <w:tcPr>
            <w:tcW w:type="dxa" w:w="240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jc w:val="right"/>
            </w:pPr>
            <w:r>
              <w:rPr>
                <w:rFonts w:ascii="Calibri" w:cs="Calibri" w:eastAsia="Calibri" w:hAnsi="Calibri"/>
                <w:color w:val="6E6E6E"/>
                <w:sz w:val="17"/>
                <w:szCs w:val="17"/>
              </w:rPr>
              <w:t xml:space="preserve">14 criterios</w:t>
            </w:r>
          </w:p>
        </w:tc>
      </w:tr>
    </w:tbl>
    <w:p>
      <w:pPr>
        <w:spacing w:after="220"/>
      </w:pPr>
    </w:p>
    <w:p>
      <w:pPr>
        <w:keepNext/>
        <w:spacing w:after="110" w:before="240"/>
      </w:pPr>
      <w:r>
        <w:rPr>
          <w:rFonts w:ascii="Calibri" w:cs="Calibri" w:eastAsia="Calibri" w:hAnsi="Calibri"/>
          <w:b/>
          <w:bCs/>
          <w:color w:val="7A1526"/>
          <w:sz w:val="21"/>
          <w:szCs w:val="21"/>
        </w:rPr>
        <w:t xml:space="preserve">0. Antes de empezar</w:t>
      </w:r>
    </w:p>
    <w:p>
      <w:pPr>
        <w:spacing w:after="110" w:line="265"/>
      </w:pPr>
      <w:r>
        <w:rPr>
          <w:rFonts w:ascii="Calibri" w:cs="Calibri" w:eastAsia="Calibri" w:hAnsi="Calibri"/>
          <w:b/>
          <w:bCs/>
          <w:color w:val="7A1526"/>
          <w:sz w:val="18"/>
          <w:szCs w:val="18"/>
        </w:rPr>
        <w:t xml:space="preserve">0.1   </w:t>
      </w:r>
      <w:r>
        <w:rPr>
          <w:rFonts w:ascii="Cambria" w:cs="Cambria" w:eastAsia="Cambria" w:hAnsi="Cambria"/>
          <w:b/>
          <w:bCs/>
          <w:color w:val="2D2D2D"/>
          <w:sz w:val="19"/>
          <w:szCs w:val="19"/>
        </w:rPr>
        <w:t xml:space="preserve">Prerequisitos:</w:t>
      </w:r>
      <w:r>
        <w:rPr>
          <w:rFonts w:ascii="Cambria" w:cs="Cambria" w:eastAsia="Cambria" w:hAnsi="Cambria"/>
          <w:color w:val="2D2D2D"/>
          <w:sz w:val="19"/>
          <w:szCs w:val="19"/>
        </w:rPr>
        <w:t xml:space="preserve"> haber recorrido las secciones 2 y 3 del cuaderno (teoría guiada de regresión múltiple: coeficiente parcial, R² ajustado y F global, VIF y multicolinealidad, distancia de Cook, diagnóstico de supuestos, errores robustos, transformaciones, dummies e interacciones, y validación cruzada k-fold). Se asume dominado el </w:t>
      </w:r>
      <w:r>
        <w:rPr>
          <w:rFonts w:ascii="Cambria" w:cs="Cambria" w:eastAsia="Cambria" w:hAnsi="Cambria"/>
          <w:b/>
          <w:bCs/>
          <w:color w:val="2D2D2D"/>
          <w:sz w:val="19"/>
          <w:szCs w:val="19"/>
        </w:rPr>
        <w:t xml:space="preserve">OLS simple de S03</w:t>
      </w:r>
      <w:r>
        <w:rPr>
          <w:rFonts w:ascii="Cambria" w:cs="Cambria" w:eastAsia="Cambria" w:hAnsi="Cambria"/>
          <w:color w:val="2D2D2D"/>
          <w:sz w:val="19"/>
          <w:szCs w:val="19"/>
        </w:rPr>
        <w:t xml:space="preserve"> (recta de mínimos cuadrados, β₀/β₁, R², residuales, train/test), que aquí no se re-enseña: S04 solo tiende el puente de uno a varios predictores. Se asume Python y pandas básicos (prerequisito del curso). No se requiere instalar nada localmente: el cuaderno se ejecuta en Google Colab con su celda de </w:t>
      </w:r>
      <w:r>
        <w:rPr>
          <w:rFonts w:ascii="Cambria" w:cs="Cambria" w:eastAsia="Cambria" w:hAnsi="Cambria"/>
          <w:i/>
          <w:iCs/>
          <w:color w:val="2D2D2D"/>
          <w:sz w:val="19"/>
          <w:szCs w:val="19"/>
        </w:rPr>
        <w:t xml:space="preserve">setup</w:t>
      </w:r>
      <w:r>
        <w:rPr>
          <w:rFonts w:ascii="Cambria" w:cs="Cambria" w:eastAsia="Cambria" w:hAnsi="Cambria"/>
          <w:color w:val="2D2D2D"/>
          <w:sz w:val="19"/>
          <w:szCs w:val="19"/>
        </w:rPr>
        <w:t xml:space="preserve">.</w:t>
      </w:r>
    </w:p>
    <w:p>
      <w:pPr>
        <w:spacing w:after="110" w:line="265"/>
      </w:pPr>
      <w:r>
        <w:rPr>
          <w:rFonts w:ascii="Calibri" w:cs="Calibri" w:eastAsia="Calibri" w:hAnsi="Calibri"/>
          <w:b/>
          <w:bCs/>
          <w:color w:val="7A1526"/>
          <w:sz w:val="18"/>
          <w:szCs w:val="18"/>
        </w:rPr>
        <w:t xml:space="preserve">0.2   </w:t>
      </w:r>
      <w:r>
        <w:rPr>
          <w:rFonts w:ascii="Cambria" w:cs="Cambria" w:eastAsia="Cambria" w:hAnsi="Cambria"/>
          <w:color w:val="2D2D2D"/>
          <w:sz w:val="19"/>
          <w:szCs w:val="19"/>
        </w:rPr>
        <w:t xml:space="preserve">Cuaderno de la sesión: </w:t>
      </w:r>
      <w:r>
        <w:rPr>
          <w:rFonts w:ascii="Consolas" w:cs="Consolas" w:eastAsia="Consolas" w:hAnsi="Consolas"/>
          <w:color w:val="7A1526"/>
          <w:sz w:val="17"/>
          <w:szCs w:val="17"/>
        </w:rPr>
        <w:t xml:space="preserve">notebook/S04_regresion_multiple.ipynb</w:t>
      </w:r>
      <w:r>
        <w:rPr>
          <w:rFonts w:ascii="Cambria" w:cs="Cambria" w:eastAsia="Cambria" w:hAnsi="Cambria"/>
          <w:color w:val="2D2D2D"/>
          <w:sz w:val="19"/>
          <w:szCs w:val="19"/>
        </w:rPr>
        <w:t xml:space="preserve"> — motor del laboratorio: Sección 4 (replicación, pasos 0–5) y Sección 5 (negocio, paso 6).</w:t>
      </w:r>
    </w:p>
    <w:p>
      <w:pPr>
        <w:spacing w:after="110" w:line="265"/>
      </w:pPr>
      <w:r>
        <w:rPr>
          <w:rFonts w:ascii="Calibri" w:cs="Calibri" w:eastAsia="Calibri" w:hAnsi="Calibri"/>
          <w:b/>
          <w:bCs/>
          <w:color w:val="7A1526"/>
          <w:sz w:val="18"/>
          <w:szCs w:val="18"/>
        </w:rPr>
        <w:t xml:space="preserve">0.3   </w:t>
      </w:r>
      <w:r>
        <w:rPr>
          <w:rFonts w:ascii="Cambria" w:cs="Cambria" w:eastAsia="Cambria" w:hAnsi="Cambria"/>
          <w:color w:val="2D2D2D"/>
          <w:sz w:val="19"/>
          <w:szCs w:val="19"/>
        </w:rPr>
        <w:t xml:space="preserve">Descarga de datos: </w:t>
      </w:r>
      <w:r>
        <w:rPr>
          <w:rFonts w:ascii="Consolas" w:cs="Consolas" w:eastAsia="Consolas" w:hAnsi="Consolas"/>
          <w:color w:val="7A1526"/>
          <w:sz w:val="17"/>
          <w:szCs w:val="17"/>
        </w:rPr>
        <w:t xml:space="preserve">data/descargar_datos.py</w:t>
      </w:r>
      <w:r>
        <w:rPr>
          <w:rFonts w:ascii="Cambria" w:cs="Cambria" w:eastAsia="Cambria" w:hAnsi="Cambria"/>
          <w:color w:val="2D2D2D"/>
          <w:sz w:val="19"/>
          <w:szCs w:val="19"/>
        </w:rPr>
        <w:t xml:space="preserve"> — obtiene </w:t>
      </w:r>
      <w:r>
        <w:rPr>
          <w:rFonts w:ascii="Consolas" w:cs="Consolas" w:eastAsia="Consolas" w:hAnsi="Consolas"/>
          <w:color w:val="7A1526"/>
          <w:sz w:val="17"/>
          <w:szCs w:val="17"/>
        </w:rPr>
        <w:t xml:space="preserve">AmesHousing.csv</w:t>
      </w:r>
      <w:r>
        <w:rPr>
          <w:rFonts w:ascii="Cambria" w:cs="Cambria" w:eastAsia="Cambria" w:hAnsi="Cambria"/>
          <w:color w:val="2D2D2D"/>
          <w:sz w:val="19"/>
          <w:szCs w:val="19"/>
        </w:rPr>
        <w:t xml:space="preserve"> (réplica, 2930×82) y </w:t>
      </w:r>
      <w:r>
        <w:rPr>
          <w:rFonts w:ascii="Consolas" w:cs="Consolas" w:eastAsia="Consolas" w:hAnsi="Consolas"/>
          <w:color w:val="7A1526"/>
          <w:sz w:val="17"/>
          <w:szCs w:val="17"/>
        </w:rPr>
        <w:t xml:space="preserve">AmesHousing_kaggle.csv</w:t>
      </w:r>
      <w:r>
        <w:rPr>
          <w:rFonts w:ascii="Cambria" w:cs="Cambria" w:eastAsia="Cambria" w:hAnsi="Cambria"/>
          <w:color w:val="2D2D2D"/>
          <w:sz w:val="19"/>
          <w:szCs w:val="19"/>
        </w:rPr>
        <w:t xml:space="preserve"> (negocio, 1460×81) de forma idempotente, con verificación de esquema y checksum SHA256.</w:t>
      </w:r>
    </w:p>
    <w:p>
      <w:pPr>
        <w:spacing w:after="110" w:line="265"/>
      </w:pPr>
      <w:r>
        <w:rPr>
          <w:rFonts w:ascii="Calibri" w:cs="Calibri" w:eastAsia="Calibri" w:hAnsi="Calibri"/>
          <w:b/>
          <w:bCs/>
          <w:color w:val="7A1526"/>
          <w:sz w:val="18"/>
          <w:szCs w:val="18"/>
        </w:rPr>
        <w:t xml:space="preserve">0.4   </w:t>
      </w:r>
      <w:r>
        <w:rPr>
          <w:rFonts w:ascii="Cambria" w:cs="Cambria" w:eastAsia="Cambria" w:hAnsi="Cambria"/>
          <w:color w:val="2D2D2D"/>
          <w:sz w:val="19"/>
          <w:szCs w:val="19"/>
        </w:rPr>
        <w:t xml:space="preserve">Diccionario de datos: </w:t>
      </w:r>
      <w:r>
        <w:rPr>
          <w:rFonts w:ascii="Consolas" w:cs="Consolas" w:eastAsia="Consolas" w:hAnsi="Consolas"/>
          <w:color w:val="7A1526"/>
          <w:sz w:val="17"/>
          <w:szCs w:val="17"/>
        </w:rPr>
        <w:t xml:space="preserve">data/diccionario_datos.md</w:t>
      </w:r>
      <w:r>
        <w:rPr>
          <w:rFonts w:ascii="Cambria" w:cs="Cambria" w:eastAsia="Cambria" w:hAnsi="Cambria"/>
          <w:color w:val="2D2D2D"/>
          <w:sz w:val="19"/>
          <w:szCs w:val="19"/>
        </w:rPr>
        <w:t xml:space="preserve"> — significado de cada variable, la diferencia de nombres entre versiones (con/sin espacios) y la ficha de la sesión de las 5 ventas atípicas.</w:t>
      </w:r>
    </w:p>
    <w:p>
      <w:pPr>
        <w:spacing w:after="110" w:line="265"/>
      </w:pPr>
      <w:r>
        <w:rPr>
          <w:rFonts w:ascii="Calibri" w:cs="Calibri" w:eastAsia="Calibri" w:hAnsi="Calibri"/>
          <w:b/>
          <w:bCs/>
          <w:color w:val="7A1526"/>
          <w:sz w:val="18"/>
          <w:szCs w:val="18"/>
        </w:rPr>
        <w:t xml:space="preserve">0.5   </w:t>
      </w:r>
      <w:r>
        <w:rPr>
          <w:rFonts w:ascii="Cambria" w:cs="Cambria" w:eastAsia="Cambria" w:hAnsi="Cambria"/>
          <w:color w:val="2D2D2D"/>
          <w:sz w:val="19"/>
          <w:szCs w:val="19"/>
        </w:rPr>
        <w:t xml:space="preserve">Diccionario resumido para el estudiante: </w:t>
      </w:r>
      <w:r>
        <w:rPr>
          <w:rFonts w:ascii="Consolas" w:cs="Consolas" w:eastAsia="Consolas" w:hAnsi="Consolas"/>
          <w:color w:val="7A1526"/>
          <w:sz w:val="17"/>
          <w:szCs w:val="17"/>
        </w:rPr>
        <w:t xml:space="preserve">plantillas/diccionario_ames.docx</w:t>
      </w:r>
      <w:r>
        <w:rPr>
          <w:rFonts w:ascii="Cambria" w:cs="Cambria" w:eastAsia="Cambria" w:hAnsi="Cambria"/>
          <w:color w:val="2D2D2D"/>
          <w:sz w:val="19"/>
          <w:szCs w:val="19"/>
        </w:rPr>
        <w:t xml:space="preserve"> — subconjunto de una página con las variables clave del laboratorio.</w:t>
      </w:r>
    </w:p>
    <w:p>
      <w:pPr>
        <w:spacing w:after="110" w:line="265"/>
      </w:pPr>
      <w:r>
        <w:rPr>
          <w:rFonts w:ascii="Calibri" w:cs="Calibri" w:eastAsia="Calibri" w:hAnsi="Calibri"/>
          <w:b/>
          <w:bCs/>
          <w:color w:val="7A1526"/>
          <w:sz w:val="18"/>
          <w:szCs w:val="18"/>
        </w:rPr>
        <w:t xml:space="preserve">0.6   </w:t>
      </w:r>
      <w:r>
        <w:rPr>
          <w:rFonts w:ascii="Cambria" w:cs="Cambria" w:eastAsia="Cambria" w:hAnsi="Cambria"/>
          <w:color w:val="2D2D2D"/>
          <w:sz w:val="19"/>
          <w:szCs w:val="19"/>
        </w:rPr>
        <w:t xml:space="preserve">Checklist de diagnóstico de regresión: </w:t>
      </w:r>
      <w:r>
        <w:rPr>
          <w:rFonts w:ascii="Consolas" w:cs="Consolas" w:eastAsia="Consolas" w:hAnsi="Consolas"/>
          <w:color w:val="7A1526"/>
          <w:sz w:val="17"/>
          <w:szCs w:val="17"/>
        </w:rPr>
        <w:t xml:space="preserve">plantillas/checklist_diagnostico_regresion.docx</w:t>
      </w:r>
      <w:r>
        <w:rPr>
          <w:rFonts w:ascii="Cambria" w:cs="Cambria" w:eastAsia="Cambria" w:hAnsi="Cambria"/>
          <w:color w:val="2D2D2D"/>
          <w:sz w:val="19"/>
          <w:szCs w:val="19"/>
        </w:rPr>
        <w:t xml:space="preserve"> — guía para verificar los supuestos del OLS (VIF, residuales vs. ajustados, Q-Q, Durbin-Watson, Breusch-Pagan, robustos) en los pasos 4–5 y en el drill 1.</w:t>
      </w:r>
    </w:p>
    <w:p>
      <w:pPr>
        <w:spacing w:after="110" w:line="265"/>
      </w:pPr>
      <w:r>
        <w:rPr>
          <w:rFonts w:ascii="Calibri" w:cs="Calibri" w:eastAsia="Calibri" w:hAnsi="Calibri"/>
          <w:b/>
          <w:bCs/>
          <w:color w:val="7A1526"/>
          <w:sz w:val="18"/>
          <w:szCs w:val="18"/>
        </w:rPr>
        <w:t xml:space="preserve">0.7   </w:t>
      </w:r>
      <w:r>
        <w:rPr>
          <w:rFonts w:ascii="Cambria" w:cs="Cambria" w:eastAsia="Cambria" w:hAnsi="Cambria"/>
          <w:color w:val="2D2D2D"/>
          <w:sz w:val="19"/>
          <w:szCs w:val="19"/>
        </w:rPr>
        <w:t xml:space="preserve">Plantilla de comparación de modelos por CV: </w:t>
      </w:r>
      <w:r>
        <w:rPr>
          <w:rFonts w:ascii="Consolas" w:cs="Consolas" w:eastAsia="Consolas" w:hAnsi="Consolas"/>
          <w:color w:val="7A1526"/>
          <w:sz w:val="17"/>
          <w:szCs w:val="17"/>
        </w:rPr>
        <w:t xml:space="preserve">plantillas/comparacion_modelos_cv.docx</w:t>
      </w:r>
      <w:r>
        <w:rPr>
          <w:rFonts w:ascii="Cambria" w:cs="Cambria" w:eastAsia="Cambria" w:hAnsi="Cambria"/>
          <w:color w:val="2D2D2D"/>
          <w:sz w:val="19"/>
          <w:szCs w:val="19"/>
        </w:rPr>
        <w:t xml:space="preserve"> — estructura para registrar el RMSE 5-fold (media ± sd) de cada modelo y justificar la elección en el paso 6 y en el drill 3.</w:t>
      </w:r>
    </w:p>
    <w:p>
      <w:pPr>
        <w:spacing w:after="110" w:line="265"/>
      </w:pPr>
      <w:r>
        <w:rPr>
          <w:rFonts w:ascii="Calibri" w:cs="Calibri" w:eastAsia="Calibri" w:hAnsi="Calibri"/>
          <w:b/>
          <w:bCs/>
          <w:color w:val="7A1526"/>
          <w:sz w:val="18"/>
          <w:szCs w:val="18"/>
        </w:rPr>
        <w:t xml:space="preserve">0.8   </w:t>
      </w:r>
      <w:r>
        <w:rPr>
          <w:rFonts w:ascii="Cambria" w:cs="Cambria" w:eastAsia="Cambria" w:hAnsi="Cambria"/>
          <w:color w:val="2D2D2D"/>
          <w:sz w:val="19"/>
          <w:szCs w:val="19"/>
        </w:rPr>
        <w:t xml:space="preserve">Enunciado y rúbrica del entregable: </w:t>
      </w:r>
      <w:r>
        <w:rPr>
          <w:rFonts w:ascii="Consolas" w:cs="Consolas" w:eastAsia="Consolas" w:hAnsi="Consolas"/>
          <w:color w:val="7A1526"/>
          <w:sz w:val="17"/>
          <w:szCs w:val="17"/>
        </w:rPr>
        <w:t xml:space="preserve">evaluacion/entregable.docx</w:t>
      </w:r>
      <w:r>
        <w:rPr>
          <w:rFonts w:ascii="Cambria" w:cs="Cambria" w:eastAsia="Cambria" w:hAnsi="Cambria"/>
          <w:color w:val="2D2D2D"/>
          <w:sz w:val="19"/>
          <w:szCs w:val="19"/>
        </w:rPr>
        <w:t xml:space="preserve"> — criterios con los que se calificará la valoración de precio (escala vigesimal, total 20).</w:t>
      </w:r>
    </w:p>
    <w:p>
      <w:pPr>
        <w:spacing w:after="110" w:line="265"/>
      </w:pPr>
      <w:r>
        <w:rPr>
          <w:rFonts w:ascii="Calibri" w:cs="Calibri" w:eastAsia="Calibri" w:hAnsi="Calibri"/>
          <w:b/>
          <w:bCs/>
          <w:color w:val="7A1526"/>
          <w:sz w:val="18"/>
          <w:szCs w:val="18"/>
        </w:rPr>
        <w:t xml:space="preserve">0.9   </w:t>
      </w:r>
      <w:r>
        <w:rPr>
          <w:rFonts w:ascii="Cambria" w:cs="Cambria" w:eastAsia="Cambria" w:hAnsi="Cambria"/>
          <w:color w:val="2D2D2D"/>
          <w:sz w:val="19"/>
          <w:szCs w:val="19"/>
        </w:rPr>
        <w:t xml:space="preserve">Ejercicios de práctica: </w:t>
      </w:r>
      <w:r>
        <w:rPr>
          <w:rFonts w:ascii="Consolas" w:cs="Consolas" w:eastAsia="Consolas" w:hAnsi="Consolas"/>
          <w:color w:val="7A1526"/>
          <w:sz w:val="17"/>
          <w:szCs w:val="17"/>
        </w:rPr>
        <w:t xml:space="preserve">evaluacion/drills.docx</w:t>
      </w:r>
      <w:r>
        <w:rPr>
          <w:rFonts w:ascii="Cambria" w:cs="Cambria" w:eastAsia="Cambria" w:hAnsi="Cambria"/>
          <w:color w:val="2D2D2D"/>
          <w:sz w:val="19"/>
          <w:szCs w:val="19"/>
        </w:rPr>
        <w:t xml:space="preserve"> — los tres drills del sílabo (VIF de tres predictores correlacionados; construir e interpretar una interacción zona × tamaño; comparar dos modelos por R² ajustado vs. RMSE en CV 5-fold).</w:t>
      </w:r>
    </w:p>
    <w:p>
      <w:pPr>
        <w:spacing w:after="110" w:line="265"/>
      </w:pPr>
      <w:r>
        <w:rPr>
          <w:rFonts w:ascii="Calibri" w:cs="Calibri" w:eastAsia="Calibri" w:hAnsi="Calibri"/>
          <w:b/>
          <w:bCs/>
          <w:color w:val="7A1526"/>
          <w:sz w:val="18"/>
          <w:szCs w:val="18"/>
        </w:rPr>
        <w:t xml:space="preserve">0.10   </w:t>
      </w:r>
      <w:r>
        <w:rPr>
          <w:rFonts w:ascii="Cambria" w:cs="Cambria" w:eastAsia="Cambria" w:hAnsi="Cambria"/>
          <w:b/>
          <w:bCs/>
          <w:color w:val="2D2D2D"/>
          <w:sz w:val="19"/>
          <w:szCs w:val="19"/>
        </w:rPr>
        <w:t xml:space="preserve">Reglas que la rúbrica penaliza</w:t>
      </w:r>
      <w:r>
        <w:rPr>
          <w:rFonts w:ascii="Cambria" w:cs="Cambria" w:eastAsia="Cambria" w:hAnsi="Cambria"/>
          <w:color w:val="2D2D2D"/>
          <w:sz w:val="19"/>
          <w:szCs w:val="19"/>
        </w:rPr>
        <w:t xml:space="preserve"> (verificarlas antes de entregar): (i) leer el Durbin-Watson como «cercano a 2 ⇒ sin problema» </w:t>
      </w:r>
      <w:r>
        <w:rPr>
          <w:rFonts w:ascii="Cambria" w:cs="Cambria" w:eastAsia="Cambria" w:hAnsi="Cambria"/>
          <w:b/>
          <w:bCs/>
          <w:color w:val="2D2D2D"/>
          <w:sz w:val="19"/>
          <w:szCs w:val="19"/>
        </w:rPr>
        <w:t xml:space="preserve">o</w:t>
      </w:r>
      <w:r>
        <w:rPr>
          <w:rFonts w:ascii="Cambria" w:cs="Cambria" w:eastAsia="Cambria" w:hAnsi="Cambria"/>
          <w:color w:val="2D2D2D"/>
          <w:sz w:val="19"/>
          <w:szCs w:val="19"/>
        </w:rPr>
        <w:t xml:space="preserve"> despacharlo como «no aplica (transversal)» — la lectura correcta está en el Paso 4.5; (ii) llamar «leves» a las colas cuando Jarque-Bera ≈ 16 160 rechaza la normalidad con contundencia; (iii) comparar R² de escalas distintas (0.518/0.820 en nivel vs. 0.847 en log); (iv) elegir el modelo por el R² crudo in-sample; (v) incurrir en la </w:t>
      </w:r>
      <w:r>
        <w:rPr>
          <w:rFonts w:ascii="Cambria" w:cs="Cambria" w:eastAsia="Cambria" w:hAnsi="Cambria"/>
          <w:b/>
          <w:bCs/>
          <w:color w:val="2D2D2D"/>
          <w:sz w:val="19"/>
          <w:szCs w:val="19"/>
        </w:rPr>
        <w:t xml:space="preserve">dummy redundante</w:t>
      </w:r>
      <w:r>
        <w:rPr>
          <w:rFonts w:ascii="Cambria" w:cs="Cambria" w:eastAsia="Cambria" w:hAnsi="Cambria"/>
          <w:color w:val="2D2D2D"/>
          <w:sz w:val="19"/>
          <w:szCs w:val="19"/>
        </w:rPr>
        <w:t xml:space="preserve"> (crear todas las categorías más el intercepto produce colinealidad perfecta; se evita con </w:t>
      </w:r>
      <w:r>
        <w:rPr>
          <w:rFonts w:ascii="Consolas" w:cs="Consolas" w:eastAsia="Consolas" w:hAnsi="Consolas"/>
          <w:color w:val="7A1526"/>
          <w:sz w:val="17"/>
          <w:szCs w:val="17"/>
        </w:rPr>
        <w:t xml:space="preserve">drop_first</w:t>
      </w:r>
      <w:r>
        <w:rPr>
          <w:rFonts w:ascii="Cambria" w:cs="Cambria" w:eastAsia="Cambria" w:hAnsi="Cambria"/>
          <w:color w:val="2D2D2D"/>
          <w:sz w:val="19"/>
          <w:szCs w:val="19"/>
        </w:rPr>
        <w:t xml:space="preserve"> y categoría de referencia).</w:t>
      </w:r>
    </w:p>
    <w:p>
      <w:pPr>
        <w:keepNext/>
        <w:spacing w:after="60" w:before="120"/>
      </w:pPr>
      <w:r>
        <w:rPr>
          <w:rFonts w:ascii="Calibri" w:cs="Calibri" w:eastAsia="Calibri" w:hAnsi="Calibri"/>
          <w:b/>
          <w:bCs/>
          <w:color w:val="7A1526"/>
          <w:sz w:val="24"/>
          <w:szCs w:val="24"/>
        </w:rPr>
        <w:t xml:space="preserve">1.  </w:t>
      </w:r>
      <w:r>
        <w:rPr>
          <w:rFonts w:ascii="Calibri" w:cs="Calibri" w:eastAsia="Calibri" w:hAnsi="Calibri"/>
          <w:b/>
          <w:bCs/>
          <w:color w:val="7A1526"/>
          <w:spacing w:val="20"/>
          <w:sz w:val="24"/>
          <w:szCs w:val="24"/>
        </w:rPr>
        <w:t xml:space="preserve">RÉPLICA DEL PAPER DE AMES, DE COCK (2011)</w:t>
      </w:r>
    </w:p>
    <w:p>
      <w:pPr>
        <w:keepNext/>
        <w:pBdr>
          <w:bottom w:val="single" w:color="E4002B" w:sz="14" w:space="8"/>
        </w:pBdr>
        <w:spacing w:after="140"/>
      </w:pPr>
      <w:r>
        <w:rPr>
          <w:rFonts w:ascii="Cambria" w:cs="Cambria" w:eastAsia="Cambria" w:hAnsi="Cambria"/>
          <w:i/>
          <w:iCs/>
          <w:color w:val="6E6E6E"/>
          <w:sz w:val="19"/>
          <w:szCs w:val="19"/>
        </w:rPr>
        <w:t xml:space="preserve">jueves · capítulo 4.5, Sección 4 del cuaderno · Pasos 0–5</w:t>
      </w:r>
      <w:r>
        <w:rPr>
          <w:rFonts w:ascii="Cambria" w:cs="Cambria" w:eastAsia="Cambria" w:hAnsi="Cambria"/>
          <w:b/>
          <w:bCs/>
          <w:color w:val="7A1526"/>
          <w:sz w:val="19"/>
          <w:szCs w:val="19"/>
        </w:rPr>
        <w:t xml:space="preserve">   |   ~87 min (ventana de aula: 35 min)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1.1   </w:t>
            </w:r>
            <w:r>
              <w:rPr>
                <w:rFonts w:ascii="Calibri" w:cs="Calibri" w:eastAsia="Calibri" w:hAnsi="Calibri"/>
                <w:b/>
                <w:bCs/>
                <w:color w:val="7A1526"/>
                <w:sz w:val="19"/>
                <w:szCs w:val="19"/>
              </w:rPr>
              <w:t xml:space="preserve">Boston Housing, y qué buscaba De Cock</w:t>
            </w:r>
          </w:p>
          <w:p>
            <w:pPr>
              <w:spacing w:after="70" w:line="265"/>
            </w:pPr>
            <w:r>
              <w:rPr>
                <w:rFonts w:ascii="Cambria" w:cs="Cambria" w:eastAsia="Cambria" w:hAnsi="Cambria"/>
                <w:color w:val="3A3A3A"/>
                <w:sz w:val="18"/>
                <w:szCs w:val="18"/>
              </w:rPr>
              <w:t xml:space="preserve">Durante décadas, el ejemplo docente estándar de regresión fue </w:t>
            </w:r>
            <w:r>
              <w:rPr>
                <w:rFonts w:ascii="Cambria" w:cs="Cambria" w:eastAsia="Cambria" w:hAnsi="Cambria"/>
                <w:b/>
                <w:bCs/>
                <w:color w:val="3A3A3A"/>
                <w:sz w:val="18"/>
                <w:szCs w:val="18"/>
              </w:rPr>
              <w:t xml:space="preserve">Boston Housing</w:t>
            </w:r>
            <w:r>
              <w:rPr>
                <w:rFonts w:ascii="Cambria" w:cs="Cambria" w:eastAsia="Cambria" w:hAnsi="Cambria"/>
                <w:color w:val="3A3A3A"/>
                <w:sz w:val="18"/>
                <w:szCs w:val="18"/>
              </w:rPr>
              <w:t xml:space="preserve"> (Harrison &amp; Rubinfeld, 1978). Ese dataset contiene una variable (B) construida a partir de la proporción de población afroamericana por barrio —un </w:t>
            </w:r>
            <w:r>
              <w:rPr>
                <w:rFonts w:ascii="Cambria" w:cs="Cambria" w:eastAsia="Cambria" w:hAnsi="Cambria"/>
                <w:b/>
                <w:bCs/>
                <w:color w:val="3A3A3A"/>
                <w:sz w:val="18"/>
                <w:szCs w:val="18"/>
              </w:rPr>
              <w:t xml:space="preserve">sesgo racial explícito</w:t>
            </w:r>
            <w:r>
              <w:rPr>
                <w:rFonts w:ascii="Cambria" w:cs="Cambria" w:eastAsia="Cambria" w:hAnsi="Cambria"/>
                <w:color w:val="3A3A3A"/>
                <w:sz w:val="18"/>
                <w:szCs w:val="18"/>
              </w:rPr>
              <w:t xml:space="preserve"> en su diseño—, por lo que fue </w:t>
            </w:r>
            <w:r>
              <w:rPr>
                <w:rFonts w:ascii="Cambria" w:cs="Cambria" w:eastAsia="Cambria" w:hAnsi="Cambria"/>
                <w:b/>
                <w:bCs/>
                <w:color w:val="3A3A3A"/>
                <w:sz w:val="18"/>
                <w:szCs w:val="18"/>
              </w:rPr>
              <w:t xml:space="preserve">retirado de scikit-learn</w:t>
            </w:r>
            <w:r>
              <w:rPr>
                <w:rFonts w:ascii="Cambria" w:cs="Cambria" w:eastAsia="Cambria" w:hAnsi="Cambria"/>
                <w:color w:val="3A3A3A"/>
                <w:sz w:val="18"/>
                <w:szCs w:val="18"/>
              </w:rPr>
              <w:t xml:space="preserve"> (</w:t>
            </w:r>
            <w:r>
              <w:rPr>
                <w:rFonts w:ascii="Consolas" w:cs="Consolas" w:eastAsia="Consolas" w:hAnsi="Consolas"/>
                <w:color w:val="7A1526"/>
                <w:sz w:val="16"/>
                <w:szCs w:val="16"/>
              </w:rPr>
              <w:t xml:space="preserve">load_boston</w:t>
            </w:r>
            <w:r>
              <w:rPr>
                <w:rFonts w:ascii="Cambria" w:cs="Cambria" w:eastAsia="Cambria" w:hAnsi="Cambria"/>
                <w:color w:val="3A3A3A"/>
                <w:sz w:val="18"/>
                <w:szCs w:val="18"/>
              </w:rPr>
              <w:t xml:space="preserve"> eliminado). En </w:t>
            </w:r>
            <w:r>
              <w:rPr>
                <w:rFonts w:ascii="Cambria" w:cs="Cambria" w:eastAsia="Cambria" w:hAnsi="Cambria"/>
                <w:b/>
                <w:bCs/>
                <w:color w:val="3A3A3A"/>
                <w:sz w:val="18"/>
                <w:szCs w:val="18"/>
              </w:rPr>
              <w:t xml:space="preserve">2011</w:t>
            </w:r>
            <w:r>
              <w:rPr>
                <w:rFonts w:ascii="Cambria" w:cs="Cambria" w:eastAsia="Cambria" w:hAnsi="Cambria"/>
                <w:color w:val="3A3A3A"/>
                <w:sz w:val="18"/>
                <w:szCs w:val="18"/>
              </w:rPr>
              <w:t xml:space="preserve">, </w:t>
            </w:r>
            <w:r>
              <w:rPr>
                <w:rFonts w:ascii="Cambria" w:cs="Cambria" w:eastAsia="Cambria" w:hAnsi="Cambria"/>
                <w:b/>
                <w:bCs/>
                <w:color w:val="3A3A3A"/>
                <w:sz w:val="18"/>
                <w:szCs w:val="18"/>
              </w:rPr>
              <w:t xml:space="preserve">Dean De Cock</w:t>
            </w:r>
            <w:r>
              <w:rPr>
                <w:rFonts w:ascii="Cambria" w:cs="Cambria" w:eastAsia="Cambria" w:hAnsi="Cambria"/>
                <w:color w:val="3A3A3A"/>
                <w:sz w:val="18"/>
                <w:szCs w:val="18"/>
              </w:rPr>
              <w:t xml:space="preserve"> publicó </w:t>
            </w:r>
            <w:r>
              <w:rPr>
                <w:rFonts w:ascii="Cambria" w:cs="Cambria" w:eastAsia="Cambria" w:hAnsi="Cambria"/>
                <w:i/>
                <w:iCs/>
                <w:color w:val="3A3A3A"/>
                <w:sz w:val="18"/>
                <w:szCs w:val="18"/>
              </w:rPr>
              <w:t xml:space="preserve">Ames, Iowa: Alternative to the Boston Housing Data as an End of Semester Regression Project</w:t>
            </w:r>
            <w:r>
              <w:rPr>
                <w:rFonts w:ascii="Cambria" w:cs="Cambria" w:eastAsia="Cambria" w:hAnsi="Cambria"/>
                <w:color w:val="3A3A3A"/>
                <w:sz w:val="18"/>
                <w:szCs w:val="18"/>
              </w:rPr>
              <w:t xml:space="preserve"> (</w:t>
            </w:r>
            <w:r>
              <w:rPr>
                <w:rFonts w:ascii="Cambria" w:cs="Cambria" w:eastAsia="Cambria" w:hAnsi="Cambria"/>
                <w:b/>
                <w:bCs/>
                <w:color w:val="3A3A3A"/>
                <w:sz w:val="18"/>
                <w:szCs w:val="18"/>
              </w:rPr>
              <w:t xml:space="preserve">Journal of Statistics Education, 19(3)</w:t>
            </w:r>
            <w:r>
              <w:rPr>
                <w:rFonts w:ascii="Cambria" w:cs="Cambria" w:eastAsia="Cambria" w:hAnsi="Cambria"/>
                <w:color w:val="3A3A3A"/>
                <w:sz w:val="18"/>
                <w:szCs w:val="18"/>
              </w:rPr>
              <w:t xml:space="preserve">, DOI 10.1080/10691898.2011.11889627) precisamente como </w:t>
            </w:r>
            <w:r>
              <w:rPr>
                <w:rFonts w:ascii="Cambria" w:cs="Cambria" w:eastAsia="Cambria" w:hAnsi="Cambria"/>
                <w:b/>
                <w:bCs/>
                <w:color w:val="3A3A3A"/>
                <w:sz w:val="18"/>
                <w:szCs w:val="18"/>
              </w:rPr>
              <w:t xml:space="preserve">alternativa docente</w:t>
            </w:r>
            <w:r>
              <w:rPr>
                <w:rFonts w:ascii="Cambria" w:cs="Cambria" w:eastAsia="Cambria" w:hAnsi="Cambria"/>
                <w:color w:val="3A3A3A"/>
                <w:sz w:val="18"/>
                <w:szCs w:val="18"/>
              </w:rPr>
              <w:t xml:space="preserve">: </w:t>
            </w:r>
            <w:r>
              <w:rPr>
                <w:rFonts w:ascii="Cambria" w:cs="Cambria" w:eastAsia="Cambria" w:hAnsi="Cambria"/>
                <w:b/>
                <w:bCs/>
                <w:color w:val="3A3A3A"/>
                <w:sz w:val="18"/>
                <w:szCs w:val="18"/>
              </w:rPr>
              <w:t xml:space="preserve">2930 ventas residenciales</w:t>
            </w:r>
            <w:r>
              <w:rPr>
                <w:rFonts w:ascii="Cambria" w:cs="Cambria" w:eastAsia="Cambria" w:hAnsi="Cambria"/>
                <w:color w:val="3A3A3A"/>
                <w:sz w:val="18"/>
                <w:szCs w:val="18"/>
              </w:rPr>
              <w:t xml:space="preserve"> en Ames, Iowa, entre 2006 y 2010, con ~80 características físicas y de calidad de cada vivienda, pensado como proyecto de regresión de fin de semestre. Ese conjunto se convirtió además en la base de la competencia de Kaggle </w:t>
            </w:r>
            <w:r>
              <w:rPr>
                <w:rFonts w:ascii="Cambria" w:cs="Cambria" w:eastAsia="Cambria" w:hAnsi="Cambria"/>
                <w:i/>
                <w:iCs/>
                <w:color w:val="3A3A3A"/>
                <w:sz w:val="18"/>
                <w:szCs w:val="18"/>
              </w:rPr>
              <w:t xml:space="preserve">House Prices: Advanced Regression Techniques</w:t>
            </w:r>
            <w:r>
              <w:rPr>
                <w:rFonts w:ascii="Cambria" w:cs="Cambria" w:eastAsia="Cambria" w:hAnsi="Cambria"/>
                <w:color w:val="3A3A3A"/>
                <w:sz w:val="18"/>
                <w:szCs w:val="18"/>
              </w:rPr>
              <w:t xml:space="preserve">. Su ejemplo canónico es </w:t>
            </w:r>
            <w:r>
              <w:rPr>
                <w:rFonts w:ascii="Consolas" w:cs="Consolas" w:eastAsia="Consolas" w:hAnsi="Consolas"/>
                <w:color w:val="7A1526"/>
                <w:sz w:val="16"/>
                <w:szCs w:val="16"/>
              </w:rPr>
              <w:t xml:space="preserve">SalePrice ~ Gr Liv Area</w:t>
            </w:r>
            <w:r>
              <w:rPr>
                <w:rFonts w:ascii="Cambria" w:cs="Cambria" w:eastAsia="Cambria" w:hAnsi="Cambria"/>
                <w:color w:val="3A3A3A"/>
                <w:sz w:val="18"/>
                <w:szCs w:val="18"/>
              </w:rPr>
              <w:t xml:space="preserve">, acompañado de una recomendación explícita: </w:t>
            </w:r>
            <w:r>
              <w:rPr>
                <w:rFonts w:ascii="Cambria" w:cs="Cambria" w:eastAsia="Cambria" w:hAnsi="Cambria"/>
                <w:b/>
                <w:bCs/>
                <w:color w:val="3A3A3A"/>
                <w:sz w:val="18"/>
                <w:szCs w:val="18"/>
              </w:rPr>
              <w:t xml:space="preserve">remover las viviendas con más de 4000 pies² de superficie habitable</w:t>
            </w:r>
            <w:r>
              <w:rPr>
                <w:rFonts w:ascii="Cambria" w:cs="Cambria" w:eastAsia="Cambria" w:hAnsi="Cambria"/>
                <w:color w:val="3A3A3A"/>
                <w:sz w:val="18"/>
                <w:szCs w:val="18"/>
              </w:rPr>
              <w:t xml:space="preserve"> antes de entregar los datos a los estudiantes.</w:t>
            </w:r>
          </w:p>
          <w:p>
            <w:pPr>
              <w:spacing w:after="70" w:line="265"/>
            </w:pPr>
            <w:r>
              <w:rPr>
                <w:rFonts w:ascii="Cambria" w:cs="Cambria" w:eastAsia="Cambria" w:hAnsi="Cambria"/>
                <w:b/>
                <w:bCs/>
                <w:color w:val="3A3A3A"/>
                <w:sz w:val="18"/>
                <w:szCs w:val="18"/>
              </w:rPr>
              <w:t xml:space="preserve">El objetivo no era proponer un modelo.</w:t>
            </w:r>
            <w:r>
              <w:rPr>
                <w:rFonts w:ascii="Cambria" w:cs="Cambria" w:eastAsia="Cambria" w:hAnsi="Cambria"/>
                <w:color w:val="3A3A3A"/>
                <w:sz w:val="18"/>
                <w:szCs w:val="18"/>
              </w:rPr>
              <w:t xml:space="preserve"> De Cock no modeló el mercado inmobiliario de Ames ni publicó un modelo de referencia: se negó a hacerlo, «to foil my more motivated students» (p. 13). Lo que buscaba lo escribe en la primera página: «For a regression project, I was looking for a data set that would allow students the opportunity to display the skills they had learned within the class. The ideal data set needed to have a reasonably large number of variables and observations so that students would have to go beyond a simple algorithm, such as forward or stepwise selection, to construct a final model» (p. 2). Su pregunta era, en corto: </w:t>
            </w:r>
            <w:r>
              <w:rPr>
                <w:rFonts w:ascii="Cambria" w:cs="Cambria" w:eastAsia="Cambria" w:hAnsi="Cambria"/>
                <w:b/>
                <w:bCs/>
                <w:color w:val="3A3A3A"/>
                <w:sz w:val="18"/>
                <w:szCs w:val="18"/>
              </w:rPr>
              <w:t xml:space="preserve">¿existe un conjunto real, actual y comprensible por un lego, con suficientes variables y observaciones para que ningún algoritmo automático de selección agote el problema?</w:t>
            </w:r>
            <w:r>
              <w:rPr>
                <w:rFonts w:ascii="Cambria" w:cs="Cambria" w:eastAsia="Cambria" w:hAnsi="Cambria"/>
                <w:color w:val="3A3A3A"/>
                <w:sz w:val="18"/>
                <w:szCs w:val="18"/>
              </w:rPr>
              <w:t xml:space="preserve"> El Boston Housing ya no servía —«The original data set is from the 70's and the housing prices have become unrealistic for today's market» (p. 2)—, y la alternativa de menor costo, un factor de actualización sobre los precios, quedó descartada por una razón que vale como principio del curso: «that would change the data from real to realistic» (p. 2).</w:t>
            </w:r>
          </w:p>
          <w:p>
            <w:pPr>
              <w:spacing w:after="70" w:line="265"/>
            </w:pPr>
            <w:r>
              <w:rPr>
                <w:rFonts w:ascii="Cambria" w:cs="Cambria" w:eastAsia="Cambria" w:hAnsi="Cambria"/>
                <w:b/>
                <w:bCs/>
                <w:color w:val="3A3A3A"/>
                <w:sz w:val="18"/>
                <w:szCs w:val="18"/>
              </w:rPr>
              <w:t xml:space="preserve">Con qué contaba.</w:t>
            </w:r>
            <w:r>
              <w:rPr>
                <w:rFonts w:ascii="Cambria" w:cs="Cambria" w:eastAsia="Cambria" w:hAnsi="Cambria"/>
                <w:color w:val="3A3A3A"/>
                <w:sz w:val="18"/>
                <w:szCs w:val="18"/>
              </w:rPr>
              <w:t xml:space="preserve"> Los repositorios docentes de la época (DASL, el </w:t>
            </w:r>
            <w:r>
              <w:rPr>
                <w:rFonts w:ascii="Cambria" w:cs="Cambria" w:eastAsia="Cambria" w:hAnsi="Cambria"/>
                <w:i/>
                <w:iCs/>
                <w:color w:val="3A3A3A"/>
                <w:sz w:val="18"/>
                <w:szCs w:val="18"/>
              </w:rPr>
              <w:t xml:space="preserve">JSE Data Archive</w:t>
            </w:r>
            <w:r>
              <w:rPr>
                <w:rFonts w:ascii="Cambria" w:cs="Cambria" w:eastAsia="Cambria" w:hAnsi="Cambria"/>
                <w:color w:val="3A3A3A"/>
                <w:sz w:val="18"/>
                <w:szCs w:val="18"/>
              </w:rPr>
              <w:t xml:space="preserve">) ofrecían candidatos, pero «the data sets were rather limited in the number of observations (n </w:t>
            </w:r>
            <w:r>
              <w:rPr>
                <w:rFonts w:ascii="Calibri" w:cs="Calibri" w:eastAsia="Calibri" w:hAnsi="Calibri"/>
                <w:color w:val="3A3A3A"/>
                <w:sz w:val="18"/>
                <w:szCs w:val="18"/>
              </w:rPr>
              <w:t xml:space="preserve">≤</w:t>
            </w:r>
            <w:r>
              <w:rPr>
                <w:rFonts w:ascii="Cambria" w:cs="Cambria" w:eastAsia="Cambria" w:hAnsi="Cambria"/>
                <w:color w:val="3A3A3A"/>
                <w:sz w:val="18"/>
                <w:szCs w:val="18"/>
              </w:rPr>
              <w:t xml:space="preserve"> 100)» (p. 2): la restricción de partida no fue teórica ni de cómputo, sino de </w:t>
            </w:r>
            <w:r>
              <w:rPr>
                <w:rFonts w:ascii="Cambria" w:cs="Cambria" w:eastAsia="Cambria" w:hAnsi="Cambria"/>
                <w:b/>
                <w:bCs/>
                <w:color w:val="3A3A3A"/>
                <w:sz w:val="18"/>
                <w:szCs w:val="18"/>
              </w:rPr>
              <w:t xml:space="preserve">disponibilidad</w:t>
            </w:r>
            <w:r>
              <w:rPr>
                <w:rFonts w:ascii="Cambria" w:cs="Cambria" w:eastAsia="Cambria" w:hAnsi="Cambria"/>
                <w:color w:val="3A3A3A"/>
                <w:sz w:val="18"/>
                <w:szCs w:val="18"/>
              </w:rPr>
              <w:t xml:space="preserve">. La materia prima llegó por otra vía —una conversación con el grupo StatCom de Iowa State y una reunión con la Oficina del Asesor Municipal de Ames— y llegó en bruto: «The initial Excel file contained 113 variables describing 3970 property sales that had occurred in Ames, Iowa between 2006 and 2010» (p. 2). El artículo consiste, literalmente, en la conversión de un registro fiscal municipal en un objeto de enseñanza. Su ventaja decisiva es que </w:t>
            </w:r>
            <w:r>
              <w:rPr>
                <w:rFonts w:ascii="Cambria" w:cs="Cambria" w:eastAsia="Cambria" w:hAnsi="Cambria"/>
                <w:b/>
                <w:bCs/>
                <w:color w:val="3A3A3A"/>
                <w:sz w:val="18"/>
                <w:szCs w:val="18"/>
              </w:rPr>
              <w:t xml:space="preserve">la selección de variables ya la hizo un profesional de la tasación</w:t>
            </w:r>
            <w:r>
              <w:rPr>
                <w:rFonts w:ascii="Cambria" w:cs="Cambria" w:eastAsia="Cambria" w:hAnsi="Cambria"/>
                <w:color w:val="3A3A3A"/>
                <w:sz w:val="18"/>
                <w:szCs w:val="18"/>
              </w:rPr>
              <w:t xml:space="preserve">: «one would expect the assessor's office to only collect relevant information» (p. 10).</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1.2   </w:t>
            </w:r>
            <w:r>
              <w:rPr>
                <w:rFonts w:ascii="Calibri" w:cs="Calibri" w:eastAsia="Calibri" w:hAnsi="Calibri"/>
                <w:b/>
                <w:bCs/>
                <w:color w:val="7A1526"/>
                <w:sz w:val="19"/>
                <w:szCs w:val="19"/>
              </w:rPr>
              <w:t xml:space="preserve">Las decisiones de diseño que explican el archivo, y la que da forma a los Pasos 2, 4 y 5</w:t>
            </w:r>
          </w:p>
          <w:p>
            <w:pPr>
              <w:spacing w:after="70" w:line="265"/>
            </w:pPr>
            <w:r>
              <w:rPr>
                <w:rFonts w:ascii="Cambria" w:cs="Cambria" w:eastAsia="Cambria" w:hAnsi="Cambria"/>
                <w:b/>
                <w:bCs/>
                <w:color w:val="3A3A3A"/>
                <w:sz w:val="18"/>
                <w:szCs w:val="18"/>
              </w:rPr>
              <w:t xml:space="preserve">Las decisiones que explican el archivo que se abre en el Paso 1.</w:t>
            </w:r>
            <w:r>
              <w:rPr>
                <w:rFonts w:ascii="Cambria" w:cs="Cambria" w:eastAsia="Cambria" w:hAnsi="Cambria"/>
                <w:color w:val="3A3A3A"/>
                <w:sz w:val="18"/>
                <w:szCs w:val="18"/>
              </w:rPr>
              <w:t xml:space="preserve"> (a) </w:t>
            </w:r>
            <w:r>
              <w:rPr>
                <w:rFonts w:ascii="Cambria" w:cs="Cambria" w:eastAsia="Cambria" w:hAnsi="Cambria"/>
                <w:b/>
                <w:bCs/>
                <w:color w:val="3A3A3A"/>
                <w:sz w:val="18"/>
                <w:szCs w:val="18"/>
              </w:rPr>
              <w:t xml:space="preserve">De 113 a 80 variables:</w:t>
            </w:r>
            <w:r>
              <w:rPr>
                <w:rFonts w:ascii="Cambria" w:cs="Cambria" w:eastAsia="Cambria" w:hAnsi="Cambria"/>
                <w:color w:val="3A3A3A"/>
                <w:sz w:val="18"/>
                <w:szCs w:val="18"/>
              </w:rPr>
              <w:t xml:space="preserve"> el criterio declarado es la comprensibilidad —«a "layman's" data set that could be easily understood by users at all levels»— y lo retirado fueron sobre todo «variables … related to weighting and adjustment factors used in the city's current modeling system» (p. 2), es decir, las piezas internas del modelo de tasación vigente. (b) </w:t>
            </w:r>
            <w:r>
              <w:rPr>
                <w:rFonts w:ascii="Cambria" w:cs="Cambria" w:eastAsia="Cambria" w:hAnsi="Cambria"/>
                <w:b/>
                <w:bCs/>
                <w:color w:val="3A3A3A"/>
                <w:sz w:val="18"/>
                <w:szCs w:val="18"/>
              </w:rPr>
              <w:t xml:space="preserve">De 3970 a 2930 observaciones, con dos filtros y dos argumentos distintos:</w:t>
            </w:r>
            <w:r>
              <w:rPr>
                <w:rFonts w:ascii="Cambria" w:cs="Cambria" w:eastAsia="Cambria" w:hAnsi="Cambria"/>
                <w:color w:val="3A3A3A"/>
                <w:sz w:val="18"/>
                <w:szCs w:val="18"/>
              </w:rPr>
              <w:t xml:space="preserve"> primero se descartaron las ventas no residenciales —garajes independientes, condominios, depósitos— porque generaban «unusual conditions (observations with no living space or lot size)», ceros estructurales que invalidarían cualquier modelo basado en áreas (pp. 3-4); después, del centenar de viviendas vendidas más de una vez en el periodo se conservó solo la más reciente, porque repetirlas «gave a greater weight to these particular homes» (p. 4). (c) </w:t>
            </w:r>
            <w:r>
              <w:rPr>
                <w:rFonts w:ascii="Cambria" w:cs="Cambria" w:eastAsia="Cambria" w:hAnsi="Cambria"/>
                <w:b/>
                <w:bCs/>
                <w:color w:val="3A3A3A"/>
                <w:sz w:val="18"/>
                <w:szCs w:val="18"/>
              </w:rPr>
              <w:t xml:space="preserve">Las columnas categóricas llegan sin codificar</w:t>
            </w:r>
            <w:r>
              <w:rPr>
                <w:rFonts w:ascii="Cambria" w:cs="Cambria" w:eastAsia="Cambria" w:hAnsi="Cambria"/>
                <w:color w:val="3A3A3A"/>
                <w:sz w:val="18"/>
                <w:szCs w:val="18"/>
              </w:rPr>
              <w:t xml:space="preserve"> a propósito: «For my purposes I give the students the data "as is" and expect them to determine how the data could best be utilized» (p. 3). (d) </w:t>
            </w:r>
            <w:r>
              <w:rPr>
                <w:rFonts w:ascii="Cambria" w:cs="Cambria" w:eastAsia="Cambria" w:hAnsi="Cambria"/>
                <w:b/>
                <w:bCs/>
                <w:color w:val="3A3A3A"/>
                <w:sz w:val="18"/>
                <w:szCs w:val="18"/>
              </w:rPr>
              <w:t xml:space="preserve">El tamaño no fue capricho estético:</w:t>
            </w:r>
            <w:r>
              <w:rPr>
                <w:rFonts w:ascii="Cambria" w:cs="Cambria" w:eastAsia="Cambria" w:hAnsi="Cambria"/>
                <w:color w:val="3A3A3A"/>
                <w:sz w:val="18"/>
                <w:szCs w:val="18"/>
              </w:rPr>
              <w:t xml:space="preserve"> el autor enuncia la regla de dimensionamiento que aplicaba —«that the number of observations in the training set be six to ten times the number of variables» (p. 6)—, y con 80 variables candidatas ninguna base de n </w:t>
            </w:r>
            <w:r>
              <w:rPr>
                <w:rFonts w:ascii="Calibri" w:cs="Calibri" w:eastAsia="Calibri" w:hAnsi="Calibri"/>
                <w:color w:val="3A3A3A"/>
                <w:sz w:val="18"/>
                <w:szCs w:val="18"/>
              </w:rPr>
              <w:t xml:space="preserve">≤</w:t>
            </w:r>
            <w:r>
              <w:rPr>
                <w:rFonts w:ascii="Cambria" w:cs="Cambria" w:eastAsia="Cambria" w:hAnsi="Cambria"/>
                <w:color w:val="3A3A3A"/>
                <w:sz w:val="18"/>
                <w:szCs w:val="18"/>
              </w:rPr>
              <w:t xml:space="preserve"> 100 podía cumplirla.</w:t>
            </w:r>
          </w:p>
          <w:p>
            <w:pPr>
              <w:spacing w:after="70" w:line="265"/>
            </w:pPr>
            <w:r>
              <w:rPr>
                <w:rFonts w:ascii="Cambria" w:cs="Cambria" w:eastAsia="Cambria" w:hAnsi="Cambria"/>
                <w:b/>
                <w:bCs/>
                <w:color w:val="3A3A3A"/>
                <w:sz w:val="18"/>
                <w:szCs w:val="18"/>
              </w:rPr>
              <w:t xml:space="preserve">La decisión que da forma a los Pasos 2, 4 y 5.</w:t>
            </w:r>
            <w:r>
              <w:rPr>
                <w:rFonts w:ascii="Cambria" w:cs="Cambria" w:eastAsia="Cambria" w:hAnsi="Cambria"/>
                <w:color w:val="3A3A3A"/>
                <w:sz w:val="18"/>
                <w:szCs w:val="18"/>
              </w:rPr>
              <w:t xml:space="preserve"> De Cock </w:t>
            </w:r>
            <w:r>
              <w:rPr>
                <w:rFonts w:ascii="Cambria" w:cs="Cambria" w:eastAsia="Cambria" w:hAnsi="Cambria"/>
                <w:b/>
                <w:bCs/>
                <w:color w:val="3A3A3A"/>
                <w:sz w:val="18"/>
                <w:szCs w:val="18"/>
              </w:rPr>
              <w:t xml:space="preserve">entregó la base sin depurar a propósito</w:t>
            </w:r>
            <w:r>
              <w:rPr>
                <w:rFonts w:ascii="Cambria" w:cs="Cambria" w:eastAsia="Cambria" w:hAnsi="Cambria"/>
                <w:color w:val="3A3A3A"/>
                <w:sz w:val="18"/>
                <w:szCs w:val="18"/>
              </w:rPr>
              <w:t xml:space="preserve">: «no observations have been removed due to unusual values and all final residential sales from the initial data set are included in the data presented with this article» (p. 4). La regla de las viviendas de más de 4000 pies² que se aplica en el Paso 2 es, por tanto, una </w:t>
            </w:r>
            <w:r>
              <w:rPr>
                <w:rFonts w:ascii="Cambria" w:cs="Cambria" w:eastAsia="Cambria" w:hAnsi="Cambria"/>
                <w:b/>
                <w:bCs/>
                <w:color w:val="3A3A3A"/>
                <w:sz w:val="18"/>
                <w:szCs w:val="18"/>
              </w:rPr>
              <w:t xml:space="preserve">recomendación al docente, no una limpieza ya hecha</w:t>
            </w:r>
            <w:r>
              <w:rPr>
                <w:rFonts w:ascii="Cambria" w:cs="Cambria" w:eastAsia="Cambria" w:hAnsi="Cambria"/>
                <w:color w:val="3A3A3A"/>
                <w:sz w:val="18"/>
                <w:szCs w:val="18"/>
              </w:rPr>
              <w:t xml:space="preserve">, y su criterio de fondo no es el tamaño sino la </w:t>
            </w:r>
            <w:r>
              <w:rPr>
                <w:rFonts w:ascii="Cambria" w:cs="Cambria" w:eastAsia="Cambria" w:hAnsi="Cambria"/>
                <w:b/>
                <w:bCs/>
                <w:color w:val="3A3A3A"/>
                <w:sz w:val="18"/>
                <w:szCs w:val="18"/>
              </w:rPr>
              <w:t xml:space="preserve">naturaleza de la transacción</w:t>
            </w:r>
            <w:r>
              <w:rPr>
                <w:rFonts w:ascii="Cambria" w:cs="Cambria" w:eastAsia="Cambria" w:hAnsi="Cambria"/>
                <w:color w:val="3A3A3A"/>
                <w:sz w:val="18"/>
                <w:szCs w:val="18"/>
              </w:rPr>
              <w:t xml:space="preserve">: la mayoría de esas ventas son </w:t>
            </w:r>
            <w:r>
              <w:rPr>
                <w:rFonts w:ascii="Cambria" w:cs="Cambria" w:eastAsia="Cambria" w:hAnsi="Cambria"/>
                <w:i/>
                <w:iCs/>
                <w:color w:val="3A3A3A"/>
                <w:sz w:val="18"/>
                <w:szCs w:val="18"/>
              </w:rPr>
              <w:t xml:space="preserve">Partial Sales</w:t>
            </w:r>
            <w:r>
              <w:rPr>
                <w:rFonts w:ascii="Cambria" w:cs="Cambria" w:eastAsia="Cambria" w:hAnsi="Cambria"/>
                <w:color w:val="3A3A3A"/>
                <w:sz w:val="18"/>
                <w:szCs w:val="18"/>
              </w:rPr>
              <w:t xml:space="preserve">, obra aún incompleta al momento de la tasación, cuyo precio «likely don't represent actual market values» (p. 4); las restantes son casas de gran superficie con precio coherente, que no distorsionan la relación sino que la extienden. El umbral en pies² es un </w:t>
            </w:r>
            <w:r>
              <w:rPr>
                <w:rFonts w:ascii="Cambria" w:cs="Cambria" w:eastAsia="Cambria" w:hAnsi="Cambria"/>
                <w:b/>
                <w:bCs/>
                <w:color w:val="3A3A3A"/>
                <w:sz w:val="18"/>
                <w:szCs w:val="18"/>
              </w:rPr>
              <w:t xml:space="preserve">proxy operativo</w:t>
            </w:r>
            <w:r>
              <w:rPr>
                <w:rFonts w:ascii="Cambria" w:cs="Cambria" w:eastAsia="Cambria" w:hAnsi="Cambria"/>
                <w:color w:val="3A3A3A"/>
                <w:sz w:val="18"/>
                <w:szCs w:val="18"/>
              </w:rPr>
              <w:t xml:space="preserve"> —aplicable por un estudiante sin álgebra matricial— y el diagnóstico prescrito es un gráfico: un diagrama de dispersión de precio contra superficie habitable «will quickly indicate these points» (p. 4). En la misma línea, el autor ya había diagnosticado en 2011 el problema que reaparece en el Paso 4 —«there is increasing variation with increasing price within the Ames housing market»— junto con su remedio, una transformación de raíz cuadrada del precio (p. 9); el laboratorio emplea el logaritmo, variante de esa misma idea que además deja leer el efecto en porcentaje. Y la interacción zona × tamaño del Paso 5 también tiene raíz en el texto: De Cock recomienda convertir el barrio en dummies porque «the coefficients for the continuous variables tend to have values with more realistic interpretations when used in conjunction with the neighborhood variable» (p. 11).</w:t>
            </w:r>
          </w:p>
          <w:p>
            <w:pPr>
              <w:spacing w:after="70" w:line="265"/>
            </w:pPr>
            <w:r>
              <w:rPr>
                <w:rFonts w:ascii="Cambria" w:cs="Cambria" w:eastAsia="Cambria" w:hAnsi="Cambria"/>
                <w:b/>
                <w:bCs/>
                <w:color w:val="3A3A3A"/>
                <w:sz w:val="18"/>
                <w:szCs w:val="18"/>
              </w:rPr>
              <w:t xml:space="preserve">De ahí una diferencia que conviene anticipar.</w:t>
            </w:r>
            <w:r>
              <w:rPr>
                <w:rFonts w:ascii="Cambria" w:cs="Cambria" w:eastAsia="Cambria" w:hAnsi="Cambria"/>
                <w:color w:val="3A3A3A"/>
                <w:sz w:val="18"/>
                <w:szCs w:val="18"/>
              </w:rPr>
              <w:t xml:space="preserve"> El artículo publica una regresión de cinco predictores con R-Sq = 71,4 % (Figura 5, p. 10) y </w:t>
            </w:r>
            <w:r>
              <w:rPr>
                <w:rFonts w:ascii="Cambria" w:cs="Cambria" w:eastAsia="Cambria" w:hAnsi="Cambria"/>
                <w:b/>
                <w:bCs/>
                <w:color w:val="3A3A3A"/>
                <w:sz w:val="18"/>
                <w:szCs w:val="18"/>
              </w:rPr>
              <w:t xml:space="preserve">no es la que se replica</w:t>
            </w:r>
            <w:r>
              <w:rPr>
                <w:rFonts w:ascii="Cambria" w:cs="Cambria" w:eastAsia="Cambria" w:hAnsi="Cambria"/>
                <w:color w:val="3A3A3A"/>
                <w:sz w:val="18"/>
                <w:szCs w:val="18"/>
              </w:rPr>
              <w:t xml:space="preserve">: ese ajuste se estima sobre una submuestra reducida para cursos introductorios —solo ventas normales, viviendas por debajo de 1500 pies², unas doscientas observaciones al azar (p. 9)— cuyo tamaño exacto, semilla y composición </w:t>
            </w:r>
            <w:r>
              <w:rPr>
                <w:rFonts w:ascii="Cambria" w:cs="Cambria" w:eastAsia="Cambria" w:hAnsi="Cambria"/>
                <w:b/>
                <w:bCs/>
                <w:color w:val="3A3A3A"/>
                <w:sz w:val="18"/>
                <w:szCs w:val="18"/>
              </w:rPr>
              <w:t xml:space="preserve">el paper no documenta</w:t>
            </w:r>
            <w:r>
              <w:rPr>
                <w:rFonts w:ascii="Cambria" w:cs="Cambria" w:eastAsia="Cambria" w:hAnsi="Cambria"/>
                <w:color w:val="3A3A3A"/>
                <w:sz w:val="18"/>
                <w:szCs w:val="18"/>
              </w:rPr>
              <w:t xml:space="preserve">, de modo que ninguna réplica puede recuperarla fila a fila. Los cuatro targets de esta sesión se anclan a la base completa y a reanálisis propio, porque el autor decidió no publicar sus modelos. Lo que se juzga es la </w:t>
            </w:r>
            <w:r>
              <w:rPr>
                <w:rFonts w:ascii="Cambria" w:cs="Cambria" w:eastAsia="Cambria" w:hAnsi="Cambria"/>
                <w:b/>
                <w:bCs/>
                <w:color w:val="3A3A3A"/>
                <w:sz w:val="18"/>
                <w:szCs w:val="18"/>
              </w:rPr>
              <w:t xml:space="preserve">conclusión</w:t>
            </w:r>
            <w:r>
              <w:rPr>
                <w:rFonts w:ascii="Cambria" w:cs="Cambria" w:eastAsia="Cambria" w:hAnsi="Cambria"/>
                <w:color w:val="3A3A3A"/>
                <w:sz w:val="18"/>
                <w:szCs w:val="18"/>
              </w:rPr>
              <w:t xml:space="preserve"> —una variable no basta, cinco bien elegidas explican la mayor parte del precio—, no un decimal.</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016"/>
        <w:gridCol w:w="2016"/>
        <w:gridCol w:w="2016"/>
        <w:gridCol w:w="2016"/>
        <w:gridCol w:w="2016"/>
      </w:tblGrid>
      <w:tr>
        <w:trPr>
          <w:tblHeader/>
        </w:trPr>
        <w:tc>
          <w:tcPr>
            <w:tcW w:type="dxa" w:w="2016"/>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w:t>
            </w:r>
          </w:p>
        </w:tc>
        <w:tc>
          <w:tcPr>
            <w:tcW w:type="dxa" w:w="2016"/>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Resultado a reproducir</w:t>
            </w:r>
          </w:p>
        </w:tc>
        <w:tc>
          <w:tcPr>
            <w:tcW w:type="dxa" w:w="2016"/>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Valor a reproducir</w:t>
            </w:r>
          </w:p>
        </w:tc>
        <w:tc>
          <w:tcPr>
            <w:tcW w:type="dxa" w:w="2016"/>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Tolerancia</w:t>
            </w:r>
          </w:p>
        </w:tc>
        <w:tc>
          <w:tcPr>
            <w:tcW w:type="dxa" w:w="2016"/>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Dataset</w:t>
            </w:r>
          </w:p>
        </w:tc>
      </w:tr>
      <w:tr>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8"/>
                <w:szCs w:val="18"/>
              </w:rPr>
              <w:t xml:space="preserve">1</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Correlación de Pearson </w:t>
            </w:r>
            <w:r>
              <w:rPr>
                <w:rFonts w:ascii="Consolas" w:cs="Consolas" w:eastAsia="Consolas" w:hAnsi="Consolas"/>
                <w:b w:val="false"/>
                <w:bCs w:val="false"/>
                <w:color w:val="7A1526"/>
                <w:sz w:val="16"/>
                <w:szCs w:val="16"/>
              </w:rPr>
              <w:t xml:space="preserve">SalePrice ~ Gr Liv Area</w:t>
            </w:r>
            <w:r>
              <w:rPr>
                <w:rFonts w:ascii="Calibri" w:cs="Calibri" w:eastAsia="Calibri" w:hAnsi="Calibri"/>
                <w:b w:val="false"/>
                <w:bCs w:val="false"/>
                <w:color w:val="2D2D2D"/>
                <w:sz w:val="18"/>
                <w:szCs w:val="18"/>
              </w:rPr>
              <w:t xml:space="preserve"> (todo el set)</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2D2D2D"/>
                <w:sz w:val="18"/>
                <w:szCs w:val="18"/>
              </w:rPr>
              <w:t xml:space="preserve">0.7068</w:t>
            </w:r>
            <w:r>
              <w:rPr>
                <w:rFonts w:ascii="Calibri" w:cs="Calibri" w:eastAsia="Calibri" w:hAnsi="Calibri"/>
                <w:b w:val="false"/>
                <w:bCs w:val="false"/>
                <w:color w:val="2D2D2D"/>
                <w:sz w:val="18"/>
                <w:szCs w:val="18"/>
              </w:rPr>
              <w:t xml:space="preserve"> (≈ 0.71)</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±0.010</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Ames 2930</w:t>
            </w:r>
          </w:p>
        </w:tc>
      </w:tr>
      <w:tr>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8"/>
                <w:szCs w:val="18"/>
              </w:rPr>
              <w:t xml:space="preserve">2</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Nº de ventas atípicas a remover (</w:t>
            </w:r>
            <w:r>
              <w:rPr>
                <w:rFonts w:ascii="Consolas" w:cs="Consolas" w:eastAsia="Consolas" w:hAnsi="Consolas"/>
                <w:b w:val="false"/>
                <w:bCs w:val="false"/>
                <w:color w:val="7A1526"/>
                <w:sz w:val="16"/>
                <w:szCs w:val="16"/>
              </w:rPr>
              <w:t xml:space="preserve">Gr Liv Area</w:t>
            </w:r>
            <w:r>
              <w:rPr>
                <w:rFonts w:ascii="Calibri" w:cs="Calibri" w:eastAsia="Calibri" w:hAnsi="Calibri"/>
                <w:b w:val="false"/>
                <w:bCs w:val="false"/>
                <w:color w:val="2D2D2D"/>
                <w:sz w:val="18"/>
                <w:szCs w:val="18"/>
              </w:rPr>
              <w:t xml:space="preserve"> &gt; 4000 pies²)</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2D2D2D"/>
                <w:sz w:val="18"/>
                <w:szCs w:val="18"/>
              </w:rPr>
              <w:t xml:space="preserve">5</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 (exacto)</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Ames 2930</w:t>
            </w:r>
          </w:p>
        </w:tc>
      </w:tr>
      <w:tr>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8"/>
                <w:szCs w:val="18"/>
              </w:rPr>
              <w:t xml:space="preserve">3</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R² del modelo simple </w:t>
            </w:r>
            <w:r>
              <w:rPr>
                <w:rFonts w:ascii="Consolas" w:cs="Consolas" w:eastAsia="Consolas" w:hAnsi="Consolas"/>
                <w:b w:val="false"/>
                <w:bCs w:val="false"/>
                <w:color w:val="7A1526"/>
                <w:sz w:val="16"/>
                <w:szCs w:val="16"/>
              </w:rPr>
              <w:t xml:space="preserve">SalePrice ~ Gr Liv Area</w:t>
            </w:r>
            <w:r>
              <w:rPr>
                <w:rFonts w:ascii="Calibri" w:cs="Calibri" w:eastAsia="Calibri" w:hAnsi="Calibri"/>
                <w:b w:val="false"/>
                <w:bCs w:val="false"/>
                <w:color w:val="2D2D2D"/>
                <w:sz w:val="18"/>
                <w:szCs w:val="18"/>
              </w:rPr>
              <w:t xml:space="preserve"> tras remover las 5</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2D2D2D"/>
                <w:sz w:val="18"/>
                <w:szCs w:val="18"/>
              </w:rPr>
              <w:t xml:space="preserve">0.518</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±0.010</w:t>
            </w:r>
          </w:p>
        </w:tc>
        <w:tc>
          <w:tcPr>
            <w:tcW w:type="dxa" w:w="2016"/>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Ames 2925</w:t>
            </w:r>
          </w:p>
        </w:tc>
      </w:tr>
      <w:tr>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8"/>
                <w:szCs w:val="18"/>
              </w:rPr>
              <w:t xml:space="preserve">4</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R² del modelo múltiple </w:t>
            </w:r>
            <w:r>
              <w:rPr>
                <w:rFonts w:ascii="Consolas" w:cs="Consolas" w:eastAsia="Consolas" w:hAnsi="Consolas"/>
                <w:b w:val="false"/>
                <w:bCs w:val="false"/>
                <w:color w:val="7A1526"/>
                <w:sz w:val="16"/>
                <w:szCs w:val="16"/>
              </w:rPr>
              <w:t xml:space="preserve">log(SalePrice) ~ 5 predictores</w:t>
            </w:r>
            <w:r>
              <w:rPr>
                <w:rFonts w:ascii="Calibri" w:cs="Calibri" w:eastAsia="Calibri" w:hAnsi="Calibri"/>
                <w:b w:val="false"/>
                <w:bCs w:val="false"/>
                <w:color w:val="2D2D2D"/>
                <w:sz w:val="18"/>
                <w:szCs w:val="18"/>
              </w:rPr>
              <w:t xml:space="preserve"> tras la limpieza</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2D2D2D"/>
                <w:sz w:val="18"/>
                <w:szCs w:val="18"/>
              </w:rPr>
              <w:t xml:space="preserve">0.847</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±0.010</w:t>
            </w:r>
          </w:p>
        </w:tc>
        <w:tc>
          <w:tcPr>
            <w:tcW w:type="dxa" w:w="2016"/>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Ames 2923</w:t>
            </w:r>
          </w:p>
        </w:tc>
      </w:tr>
    </w:tbl>
    <w:p>
      <w:pPr>
        <w:spacing w:after="220"/>
      </w:pPr>
    </w:p>
    <w:p>
      <w:pPr>
        <w:spacing w:after="260" w:line="265"/>
      </w:pPr>
      <w:r>
        <w:rPr>
          <w:rFonts w:ascii="Cambria" w:cs="Cambria" w:eastAsia="Cambria" w:hAnsi="Cambria"/>
          <w:i/>
          <w:iCs/>
          <w:color w:val="6E6E6E"/>
          <w:sz w:val="18"/>
          <w:szCs w:val="18"/>
        </w:rPr>
        <w:t xml:space="preserve">Los cinco predictores del target #4 son </w:t>
      </w:r>
      <w:r>
        <w:rPr>
          <w:rFonts w:ascii="Consolas" w:cs="Consolas" w:eastAsia="Consolas" w:hAnsi="Consolas"/>
          <w:i/>
          <w:iCs/>
          <w:color w:val="7A1526"/>
          <w:sz w:val="16"/>
          <w:szCs w:val="16"/>
        </w:rPr>
        <w:t xml:space="preserve">Overall Qual</w:t>
      </w:r>
      <w:r>
        <w:rPr>
          <w:rFonts w:ascii="Cambria" w:cs="Cambria" w:eastAsia="Cambria" w:hAnsi="Cambria"/>
          <w:i/>
          <w:iCs/>
          <w:color w:val="6E6E6E"/>
          <w:sz w:val="18"/>
          <w:szCs w:val="18"/>
        </w:rPr>
        <w:t xml:space="preserve">, </w:t>
      </w:r>
      <w:r>
        <w:rPr>
          <w:rFonts w:ascii="Consolas" w:cs="Consolas" w:eastAsia="Consolas" w:hAnsi="Consolas"/>
          <w:i/>
          <w:iCs/>
          <w:color w:val="7A1526"/>
          <w:sz w:val="16"/>
          <w:szCs w:val="16"/>
        </w:rPr>
        <w:t xml:space="preserve">Gr Liv Area</w:t>
      </w:r>
      <w:r>
        <w:rPr>
          <w:rFonts w:ascii="Cambria" w:cs="Cambria" w:eastAsia="Cambria" w:hAnsi="Cambria"/>
          <w:i/>
          <w:iCs/>
          <w:color w:val="6E6E6E"/>
          <w:sz w:val="18"/>
          <w:szCs w:val="18"/>
        </w:rPr>
        <w:t xml:space="preserve">, </w:t>
      </w:r>
      <w:r>
        <w:rPr>
          <w:rFonts w:ascii="Consolas" w:cs="Consolas" w:eastAsia="Consolas" w:hAnsi="Consolas"/>
          <w:i/>
          <w:iCs/>
          <w:color w:val="7A1526"/>
          <w:sz w:val="16"/>
          <w:szCs w:val="16"/>
        </w:rPr>
        <w:t xml:space="preserve">Garage Cars</w:t>
      </w:r>
      <w:r>
        <w:rPr>
          <w:rFonts w:ascii="Cambria" w:cs="Cambria" w:eastAsia="Cambria" w:hAnsi="Cambria"/>
          <w:i/>
          <w:iCs/>
          <w:color w:val="6E6E6E"/>
          <w:sz w:val="18"/>
          <w:szCs w:val="18"/>
        </w:rPr>
        <w:t xml:space="preserve">, </w:t>
      </w:r>
      <w:r>
        <w:rPr>
          <w:rFonts w:ascii="Consolas" w:cs="Consolas" w:eastAsia="Consolas" w:hAnsi="Consolas"/>
          <w:i/>
          <w:iCs/>
          <w:color w:val="7A1526"/>
          <w:sz w:val="16"/>
          <w:szCs w:val="16"/>
        </w:rPr>
        <w:t xml:space="preserve">Total Bsmt SF</w:t>
      </w:r>
      <w:r>
        <w:rPr>
          <w:rFonts w:ascii="Cambria" w:cs="Cambria" w:eastAsia="Cambria" w:hAnsi="Cambria"/>
          <w:i/>
          <w:iCs/>
          <w:color w:val="6E6E6E"/>
          <w:sz w:val="18"/>
          <w:szCs w:val="18"/>
        </w:rPr>
        <w:t xml:space="preserve"> y </w:t>
      </w:r>
      <w:r>
        <w:rPr>
          <w:rFonts w:ascii="Consolas" w:cs="Consolas" w:eastAsia="Consolas" w:hAnsi="Consolas"/>
          <w:i/>
          <w:iCs/>
          <w:color w:val="7A1526"/>
          <w:sz w:val="16"/>
          <w:szCs w:val="16"/>
        </w:rPr>
        <w:t xml:space="preserve">Year Built</w:t>
      </w:r>
      <w:r>
        <w:rPr>
          <w:rFonts w:ascii="Cambria" w:cs="Cambria" w:eastAsia="Cambria" w:hAnsi="Cambria"/>
          <w:i/>
          <w:iCs/>
          <w:color w:val="6E6E6E"/>
          <w:sz w:val="18"/>
          <w:szCs w:val="18"/>
        </w:rPr>
        <w:t xml:space="preserve">. La tolerancia ±0.010 cubre diferencias de versión, manejo de NaN y redondeo entre librerías; el objetivo docente es reproducir el </w:t>
      </w:r>
      <w:r>
        <w:rPr>
          <w:rFonts w:ascii="Cambria" w:cs="Cambria" w:eastAsia="Cambria" w:hAnsi="Cambria"/>
          <w:b/>
          <w:bCs/>
          <w:i/>
          <w:iCs/>
          <w:color w:val="6E6E6E"/>
          <w:sz w:val="18"/>
          <w:szCs w:val="18"/>
        </w:rPr>
        <w:t xml:space="preserve">orden de magnitud y la conclusión</w:t>
      </w:r>
      <w:r>
        <w:rPr>
          <w:rFonts w:ascii="Cambria" w:cs="Cambria" w:eastAsia="Cambria" w:hAnsi="Cambria"/>
          <w:i/>
          <w:iCs/>
          <w:color w:val="6E6E6E"/>
          <w:sz w:val="18"/>
          <w:szCs w:val="18"/>
        </w:rPr>
        <w:t xml:space="preserve">, no un decimal idéntico al R/S-Plus del paper.</w:t>
      </w:r>
    </w:p>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10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A0   </w:t>
            </w:r>
            <w:r>
              <w:rPr>
                <w:rFonts w:ascii="Calibri" w:cs="Calibri" w:eastAsia="Calibri" w:hAnsi="Calibri"/>
                <w:b/>
                <w:bCs/>
                <w:color w:val="7A1526"/>
                <w:sz w:val="19"/>
                <w:szCs w:val="19"/>
              </w:rPr>
              <w:t xml:space="preserve">Contexto del paper</w:t>
            </w:r>
          </w:p>
          <w:p>
            <w:pPr>
              <w:spacing w:line="265"/>
            </w:pPr>
            <w:r>
              <w:rPr>
                <w:rFonts w:ascii="Cambria" w:cs="Cambria" w:eastAsia="Cambria" w:hAnsi="Cambria"/>
                <w:color w:val="2D2D2D"/>
                <w:sz w:val="19"/>
                <w:szCs w:val="19"/>
              </w:rPr>
              <w:t xml:space="preserve">En parejas, leer el contexto del cuaderno (capítulo 4.5, sección 0) y anotar con las propias palabras tres respuestas. (1) </w:t>
            </w:r>
            <w:r>
              <w:rPr>
                <w:rFonts w:ascii="Cambria" w:cs="Cambria" w:eastAsia="Cambria" w:hAnsi="Cambria"/>
                <w:b/>
                <w:bCs/>
                <w:color w:val="2D2D2D"/>
                <w:sz w:val="19"/>
                <w:szCs w:val="19"/>
              </w:rPr>
              <w:t xml:space="preserve">¿Qué quería averiguar De Cock?</w:t>
            </w:r>
            <w:r>
              <w:rPr>
                <w:rFonts w:ascii="Cambria" w:cs="Cambria" w:eastAsia="Cambria" w:hAnsi="Cambria"/>
                <w:color w:val="2D2D2D"/>
                <w:sz w:val="19"/>
                <w:szCs w:val="19"/>
              </w:rPr>
              <w:t xml:space="preserve"> — no proponer una técnica, sino comprobar si existía un conjunto real, actual y comprensible por un lego, con variables y observaciones suficientes para que ningún algoritmo automático de selección agotara el problema; de ahí el abandono del Boston Housing. (2) </w:t>
            </w:r>
            <w:r>
              <w:rPr>
                <w:rFonts w:ascii="Cambria" w:cs="Cambria" w:eastAsia="Cambria" w:hAnsi="Cambria"/>
                <w:b/>
                <w:bCs/>
                <w:color w:val="2D2D2D"/>
                <w:sz w:val="19"/>
                <w:szCs w:val="19"/>
              </w:rPr>
              <w:t xml:space="preserve">Reconstruir una decisión de diseño de datos</w:t>
            </w:r>
            <w:r>
              <w:rPr>
                <w:rFonts w:ascii="Cambria" w:cs="Cambria" w:eastAsia="Cambria" w:hAnsi="Cambria"/>
                <w:color w:val="2D2D2D"/>
                <w:sz w:val="19"/>
                <w:szCs w:val="19"/>
              </w:rPr>
              <w:t xml:space="preserve">: elegir </w:t>
            </w:r>
            <w:r>
              <w:rPr>
                <w:rFonts w:ascii="Cambria" w:cs="Cambria" w:eastAsia="Cambria" w:hAnsi="Cambria"/>
                <w:b/>
                <w:bCs/>
                <w:color w:val="2D2D2D"/>
                <w:sz w:val="19"/>
                <w:szCs w:val="19"/>
              </w:rPr>
              <w:t xml:space="preserve">una</w:t>
            </w:r>
            <w:r>
              <w:rPr>
                <w:rFonts w:ascii="Cambria" w:cs="Cambria" w:eastAsia="Cambria" w:hAnsi="Cambria"/>
                <w:color w:val="2D2D2D"/>
                <w:sz w:val="19"/>
                <w:szCs w:val="19"/>
              </w:rPr>
              <w:t xml:space="preserve"> de estas tres, explicar el criterio del autor y decir qué habría pasado sin ella — el recorte de 113 a 80 variables, el de 3970 a 2930 observaciones, o la entrega de la base </w:t>
            </w:r>
            <w:r>
              <w:rPr>
                <w:rFonts w:ascii="Cambria" w:cs="Cambria" w:eastAsia="Cambria" w:hAnsi="Cambria"/>
                <w:b/>
                <w:bCs/>
                <w:color w:val="2D2D2D"/>
                <w:sz w:val="19"/>
                <w:szCs w:val="19"/>
              </w:rPr>
              <w:t xml:space="preserve">sin depurar</w:t>
            </w:r>
            <w:r>
              <w:rPr>
                <w:rFonts w:ascii="Cambria" w:cs="Cambria" w:eastAsia="Cambria" w:hAnsi="Cambria"/>
                <w:color w:val="2D2D2D"/>
                <w:sz w:val="19"/>
                <w:szCs w:val="19"/>
              </w:rPr>
              <w:t xml:space="preserve"> con la recomendación de limpieza aparte. (3) </w:t>
            </w:r>
            <w:r>
              <w:rPr>
                <w:rFonts w:ascii="Cambria" w:cs="Cambria" w:eastAsia="Cambria" w:hAnsi="Cambria"/>
                <w:b/>
                <w:bCs/>
                <w:color w:val="2D2D2D"/>
                <w:sz w:val="19"/>
                <w:szCs w:val="19"/>
              </w:rPr>
              <w:t xml:space="preserve">¿Cuáles son los cuatro números que se buscará reproducir y por qué responden la pregunta?</w:t>
            </w:r>
            <w:r>
              <w:rPr>
                <w:rFonts w:ascii="Cambria" w:cs="Cambria" w:eastAsia="Cambria" w:hAnsi="Cambria"/>
                <w:color w:val="2D2D2D"/>
                <w:sz w:val="19"/>
                <w:szCs w:val="19"/>
              </w:rPr>
              <w:t xml:space="preserve"> — el conteo exacto de ventas atípicas funciona como prueba de identidad del archivo, y el salto de R² del modelo simple al múltiple muestra que la señal está </w:t>
            </w:r>
            <w:r>
              <w:rPr>
                <w:rFonts w:ascii="Cambria" w:cs="Cambria" w:eastAsia="Cambria" w:hAnsi="Cambria"/>
                <w:b/>
                <w:bCs/>
                <w:color w:val="2D2D2D"/>
                <w:sz w:val="19"/>
                <w:szCs w:val="19"/>
              </w:rPr>
              <w:t xml:space="preserve">repartida</w:t>
            </w:r>
            <w:r>
              <w:rPr>
                <w:rFonts w:ascii="Cambria" w:cs="Cambria" w:eastAsia="Cambria" w:hAnsi="Cambria"/>
                <w:color w:val="2D2D2D"/>
                <w:sz w:val="19"/>
                <w:szCs w:val="19"/>
              </w:rPr>
              <w:t xml:space="preserve"> entre varias variables, justo lo que el autor buscaba.</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Dos productos por escrito: (1) los cuatro targets de la réplica (qué números se van a reproducir y de dónde provienen) y (2) </w:t>
            </w:r>
            <w:r>
              <w:rPr>
                <w:rFonts w:ascii="Cambria" w:cs="Cambria" w:eastAsia="Cambria" w:hAnsi="Cambria"/>
                <w:b/>
                <w:bCs/>
                <w:color w:val="2D2D2D"/>
                <w:sz w:val="19"/>
                <w:szCs w:val="19"/>
              </w:rPr>
              <w:t xml:space="preserve">la pregunta que De Cock quería responder junto con la reconstrucción de una de sus decisiones de diseño de datos</w:t>
            </w:r>
            <w:r>
              <w:rPr>
                <w:rFonts w:ascii="Cambria" w:cs="Cambria" w:eastAsia="Cambria" w:hAnsi="Cambria"/>
                <w:color w:val="2D2D2D"/>
                <w:sz w:val="19"/>
                <w:szCs w:val="19"/>
              </w:rPr>
              <w:t xml:space="preserve">.</w:t>
            </w:r>
          </w:p>
        </w:tc>
      </w:tr>
    </w:tbl>
    <w:p>
      <w:pPr>
        <w:spacing w:after="220"/>
      </w:pPr>
    </w:p>
    <w:p>
      <w:pPr>
        <w:spacing w:after="260" w:line="265"/>
      </w:pPr>
      <w:r>
        <w:rPr>
          <w:rFonts w:ascii="Cambria" w:cs="Cambria" w:eastAsia="Cambria" w:hAnsi="Cambria"/>
          <w:b/>
          <w:bCs/>
          <w:i/>
          <w:iCs/>
          <w:color w:val="6E6E6E"/>
          <w:sz w:val="18"/>
          <w:szCs w:val="18"/>
        </w:rPr>
        <w:t xml:space="preserve">Pregunta para discutir en voz alta (2 min).</w:t>
      </w:r>
      <w:r>
        <w:rPr>
          <w:rFonts w:ascii="Cambria" w:cs="Cambria" w:eastAsia="Cambria" w:hAnsi="Cambria"/>
          <w:i/>
          <w:iCs/>
          <w:color w:val="6E6E6E"/>
          <w:sz w:val="18"/>
          <w:szCs w:val="18"/>
        </w:rPr>
        <w:t xml:space="preserve"> Si De Cock hubiera actualizado los precios del Boston Housing con un factor en vez de construir Ames, ¿qué se habría perdido? Los datos habrían pasado «de reales a verosímiles», en sus propias palabras: las relaciones entre variables serían todavía las de los años setenta y ninguna conclusión sería trasladable a un mercado actual. Y la base tendría todavía 506 filas y 14 variables, insuficientes para la regla de seis a diez observaciones por variable que él mismo aplicaba.</w:t>
      </w:r>
    </w:p>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8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A1   </w:t>
            </w:r>
            <w:r>
              <w:rPr>
                <w:rFonts w:ascii="Calibri" w:cs="Calibri" w:eastAsia="Calibri" w:hAnsi="Calibri"/>
                <w:b/>
                <w:bCs/>
                <w:color w:val="7A1526"/>
                <w:sz w:val="19"/>
                <w:szCs w:val="19"/>
              </w:rPr>
              <w:t xml:space="preserve">Cargar el dataset original</w:t>
            </w:r>
          </w:p>
          <w:p>
            <w:pPr>
              <w:spacing w:line="265"/>
            </w:pPr>
            <w:r>
              <w:rPr>
                <w:rFonts w:ascii="Cambria" w:cs="Cambria" w:eastAsia="Cambria" w:hAnsi="Cambria"/>
                <w:color w:val="2D2D2D"/>
                <w:sz w:val="19"/>
                <w:szCs w:val="19"/>
              </w:rPr>
              <w:t xml:space="preserve">Ejecutar la celda de rutas y carga (celda 8 del cuaderno). La celda localiza </w:t>
            </w:r>
            <w:r>
              <w:rPr>
                <w:rFonts w:ascii="Consolas" w:cs="Consolas" w:eastAsia="Consolas" w:hAnsi="Consolas"/>
                <w:color w:val="7A1526"/>
                <w:sz w:val="17"/>
                <w:szCs w:val="17"/>
              </w:rPr>
              <w:t xml:space="preserve">data/AmesHousing.csv</w:t>
            </w:r>
            <w:r>
              <w:rPr>
                <w:rFonts w:ascii="Cambria" w:cs="Cambria" w:eastAsia="Cambria" w:hAnsi="Cambria"/>
                <w:color w:val="2D2D2D"/>
                <w:sz w:val="19"/>
                <w:szCs w:val="19"/>
              </w:rPr>
              <w:t xml:space="preserve"> en local (venv) o en Colab y, si no lo encuentra, </w:t>
            </w:r>
            <w:r>
              <w:rPr>
                <w:rFonts w:ascii="Cambria" w:cs="Cambria" w:eastAsia="Cambria" w:hAnsi="Cambria"/>
                <w:b/>
                <w:bCs/>
                <w:color w:val="2D2D2D"/>
                <w:sz w:val="19"/>
                <w:szCs w:val="19"/>
              </w:rPr>
              <w:t xml:space="preserve">descarga inline la fuente primaria</w:t>
            </w:r>
            <w:r>
              <w:rPr>
                <w:rFonts w:ascii="Cambria" w:cs="Cambria" w:eastAsia="Cambria" w:hAnsi="Cambria"/>
                <w:color w:val="2D2D2D"/>
                <w:sz w:val="19"/>
                <w:szCs w:val="19"/>
              </w:rPr>
              <w:t xml:space="preserve"> del Journal of Statistics Education (tab-separado) y verifica el </w:t>
            </w:r>
            <w:r>
              <w:rPr>
                <w:rFonts w:ascii="Cambria" w:cs="Cambria" w:eastAsia="Cambria" w:hAnsi="Cambria"/>
                <w:b/>
                <w:bCs/>
                <w:color w:val="2D2D2D"/>
                <w:sz w:val="19"/>
                <w:szCs w:val="19"/>
              </w:rPr>
              <w:t xml:space="preserve">checksum SHA256 certificado</w:t>
            </w:r>
            <w:r>
              <w:rPr>
                <w:rFonts w:ascii="Cambria" w:cs="Cambria" w:eastAsia="Cambria" w:hAnsi="Cambria"/>
                <w:color w:val="2D2D2D"/>
                <w:sz w:val="19"/>
                <w:szCs w:val="19"/>
              </w:rPr>
              <w:t xml:space="preserve"> y el esquema </w:t>
            </w:r>
            <w:r>
              <w:rPr>
                <w:rFonts w:ascii="Cambria" w:cs="Cambria" w:eastAsia="Cambria" w:hAnsi="Cambria"/>
                <w:b/>
                <w:bCs/>
                <w:color w:val="2D2D2D"/>
                <w:sz w:val="19"/>
                <w:szCs w:val="19"/>
              </w:rPr>
              <w:t xml:space="preserve">2930 × 82</w:t>
            </w:r>
            <w:r>
              <w:rPr>
                <w:rFonts w:ascii="Cambria" w:cs="Cambria" w:eastAsia="Cambria" w:hAnsi="Cambria"/>
                <w:color w:val="2D2D2D"/>
                <w:sz w:val="19"/>
                <w:szCs w:val="19"/>
              </w:rPr>
              <w:t xml:space="preserve"> antes de guardar el CSV — el mismo contrato de integridad que </w:t>
            </w:r>
            <w:r>
              <w:rPr>
                <w:rFonts w:ascii="Consolas" w:cs="Consolas" w:eastAsia="Consolas" w:hAnsi="Consolas"/>
                <w:color w:val="7A1526"/>
                <w:sz w:val="17"/>
                <w:szCs w:val="17"/>
              </w:rPr>
              <w:t xml:space="preserve">data/descargar_datos.py</w:t>
            </w:r>
            <w:r>
              <w:rPr>
                <w:rFonts w:ascii="Cambria" w:cs="Cambria" w:eastAsia="Cambria" w:hAnsi="Cambria"/>
                <w:color w:val="2D2D2D"/>
                <w:sz w:val="19"/>
                <w:szCs w:val="19"/>
              </w:rPr>
              <w:t xml:space="preserve">, pero reimplementado dentro de la celda (no invoca el script). Si no hay red, la propia celda indica la alternativa de respaldo: ejecutar manualmente </w:t>
            </w:r>
            <w:r>
              <w:rPr>
                <w:rFonts w:ascii="Consolas" w:cs="Consolas" w:eastAsia="Consolas" w:hAnsi="Consolas"/>
                <w:color w:val="7A1526"/>
                <w:sz w:val="17"/>
                <w:szCs w:val="17"/>
              </w:rPr>
              <w:t xml:space="preserve">data/descargar_datos.py</w:t>
            </w:r>
            <w:r>
              <w:rPr>
                <w:rFonts w:ascii="Cambria" w:cs="Cambria" w:eastAsia="Cambria" w:hAnsi="Cambria"/>
                <w:color w:val="2D2D2D"/>
                <w:sz w:val="19"/>
                <w:szCs w:val="19"/>
              </w:rPr>
              <w:t xml:space="preserve"> (que además documenta un fallback vía Rdatasets openintro/ames) o subir el CSV al directorio de trabajo. Verificar que el dataframe tiene </w:t>
            </w:r>
            <w:r>
              <w:rPr>
                <w:rFonts w:ascii="Cambria" w:cs="Cambria" w:eastAsia="Cambria" w:hAnsi="Cambria"/>
                <w:b/>
                <w:bCs/>
                <w:color w:val="2D2D2D"/>
                <w:sz w:val="19"/>
                <w:szCs w:val="19"/>
              </w:rPr>
              <w:t xml:space="preserve">2930 filas y 82 columnas</w:t>
            </w:r>
            <w:r>
              <w:rPr>
                <w:rFonts w:ascii="Cambria" w:cs="Cambria" w:eastAsia="Cambria" w:hAnsi="Cambria"/>
                <w:color w:val="2D2D2D"/>
                <w:sz w:val="19"/>
                <w:szCs w:val="19"/>
              </w:rPr>
              <w:t xml:space="preserve">, y confirmar la fecha de verificación (DD/MM/YYYY).</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El dataframe </w:t>
            </w:r>
            <w:r>
              <w:rPr>
                <w:rFonts w:ascii="Consolas" w:cs="Consolas" w:eastAsia="Consolas" w:hAnsi="Consolas"/>
                <w:color w:val="7A1526"/>
                <w:sz w:val="17"/>
                <w:szCs w:val="17"/>
              </w:rPr>
              <w:t xml:space="preserve">AmesHousing.csv</w:t>
            </w:r>
            <w:r>
              <w:rPr>
                <w:rFonts w:ascii="Cambria" w:cs="Cambria" w:eastAsia="Cambria" w:hAnsi="Cambria"/>
                <w:color w:val="2D2D2D"/>
                <w:sz w:val="19"/>
                <w:szCs w:val="19"/>
              </w:rPr>
              <w:t xml:space="preserve"> cargado y verificado (2930 filas × 82 columnas), con fecha DD/MM/YYYY.</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1.3   </w:t>
            </w:r>
            <w:r>
              <w:rPr>
                <w:rFonts w:ascii="Calibri" w:cs="Calibri" w:eastAsia="Calibri" w:hAnsi="Calibri"/>
                <w:b/>
                <w:bCs/>
                <w:color w:val="7A1526"/>
                <w:sz w:val="19"/>
                <w:szCs w:val="19"/>
              </w:rPr>
              <w:t xml:space="preserve">Aviso de versiones (crítico)</w:t>
            </w:r>
          </w:p>
          <w:p>
            <w:pPr>
              <w:spacing w:after="70" w:line="265"/>
            </w:pPr>
            <w:r>
              <w:rPr>
                <w:rFonts w:ascii="Cambria" w:cs="Cambria" w:eastAsia="Cambria" w:hAnsi="Cambria"/>
                <w:color w:val="3A3A3A"/>
                <w:sz w:val="18"/>
                <w:szCs w:val="18"/>
              </w:rPr>
              <w:t xml:space="preserve">Existen </w:t>
            </w:r>
            <w:r>
              <w:rPr>
                <w:rFonts w:ascii="Cambria" w:cs="Cambria" w:eastAsia="Cambria" w:hAnsi="Cambria"/>
                <w:b/>
                <w:bCs/>
                <w:color w:val="3A3A3A"/>
                <w:sz w:val="18"/>
                <w:szCs w:val="18"/>
              </w:rPr>
              <w:t xml:space="preserve">dos</w:t>
            </w:r>
            <w:r>
              <w:rPr>
                <w:rFonts w:ascii="Cambria" w:cs="Cambria" w:eastAsia="Cambria" w:hAnsi="Cambria"/>
                <w:color w:val="3A3A3A"/>
                <w:sz w:val="18"/>
                <w:szCs w:val="18"/>
              </w:rPr>
              <w:t xml:space="preserve"> versiones de Ames que producen números distintos y hay que declarar cuál se usa. La réplica de los targets #1–#4 se ancla </w:t>
            </w:r>
            <w:r>
              <w:rPr>
                <w:rFonts w:ascii="Cambria" w:cs="Cambria" w:eastAsia="Cambria" w:hAnsi="Cambria"/>
                <w:b/>
                <w:bCs/>
                <w:color w:val="3A3A3A"/>
                <w:sz w:val="18"/>
                <w:szCs w:val="18"/>
              </w:rPr>
              <w:t xml:space="preserve">siempre</w:t>
            </w:r>
            <w:r>
              <w:rPr>
                <w:rFonts w:ascii="Cambria" w:cs="Cambria" w:eastAsia="Cambria" w:hAnsi="Cambria"/>
                <w:color w:val="3A3A3A"/>
                <w:sz w:val="18"/>
                <w:szCs w:val="18"/>
              </w:rPr>
              <w:t xml:space="preserve"> en </w:t>
            </w:r>
            <w:r>
              <w:rPr>
                <w:rFonts w:ascii="Consolas" w:cs="Consolas" w:eastAsia="Consolas" w:hAnsi="Consolas"/>
                <w:color w:val="7A1526"/>
                <w:sz w:val="16"/>
                <w:szCs w:val="16"/>
              </w:rPr>
              <w:t xml:space="preserve">AmesHousing.csv</w:t>
            </w:r>
            <w:r>
              <w:rPr>
                <w:rFonts w:ascii="Cambria" w:cs="Cambria" w:eastAsia="Cambria" w:hAnsi="Cambria"/>
                <w:color w:val="3A3A3A"/>
                <w:sz w:val="18"/>
                <w:szCs w:val="18"/>
              </w:rPr>
              <w:t xml:space="preserve"> (2930×82, De Cock completo), porque es el único donde la recomendación de «5 observaciones a remover» se cumple exactamente. El subconjunto Kaggle (</w:t>
            </w:r>
            <w:r>
              <w:rPr>
                <w:rFonts w:ascii="Consolas" w:cs="Consolas" w:eastAsia="Consolas" w:hAnsi="Consolas"/>
                <w:color w:val="7A1526"/>
                <w:sz w:val="16"/>
                <w:szCs w:val="16"/>
              </w:rPr>
              <w:t xml:space="preserve">AmesHousing_kaggle.csv</w:t>
            </w:r>
            <w:r>
              <w:rPr>
                <w:rFonts w:ascii="Cambria" w:cs="Cambria" w:eastAsia="Cambria" w:hAnsi="Cambria"/>
                <w:color w:val="3A3A3A"/>
                <w:sz w:val="18"/>
                <w:szCs w:val="18"/>
              </w:rPr>
              <w:t xml:space="preserve">, 1460×81, vía </w:t>
            </w:r>
            <w:r>
              <w:rPr>
                <w:rFonts w:ascii="Consolas" w:cs="Consolas" w:eastAsia="Consolas" w:hAnsi="Consolas"/>
                <w:color w:val="7A1526"/>
                <w:sz w:val="16"/>
                <w:szCs w:val="16"/>
              </w:rPr>
              <w:t xml:space="preserve">fetch_openml</w:t>
            </w:r>
            <w:r>
              <w:rPr>
                <w:rFonts w:ascii="Cambria" w:cs="Cambria" w:eastAsia="Cambria" w:hAnsi="Cambria"/>
                <w:color w:val="3A3A3A"/>
                <w:sz w:val="18"/>
                <w:szCs w:val="18"/>
              </w:rPr>
              <w:t xml:space="preserve">(42165)) es el </w:t>
            </w:r>
            <w:r>
              <w:rPr>
                <w:rFonts w:ascii="Cambria" w:cs="Cambria" w:eastAsia="Cambria" w:hAnsi="Cambria"/>
                <w:i/>
                <w:iCs/>
                <w:color w:val="3A3A3A"/>
                <w:sz w:val="18"/>
                <w:szCs w:val="18"/>
              </w:rPr>
              <w:t xml:space="preserve">train</w:t>
            </w:r>
            <w:r>
              <w:rPr>
                <w:rFonts w:ascii="Cambria" w:cs="Cambria" w:eastAsia="Cambria" w:hAnsi="Cambria"/>
                <w:color w:val="3A3A3A"/>
                <w:sz w:val="18"/>
                <w:szCs w:val="18"/>
              </w:rPr>
              <w:t xml:space="preserve"> de la competencia: reproduce la correlación pero contiene </w:t>
            </w:r>
            <w:r>
              <w:rPr>
                <w:rFonts w:ascii="Cambria" w:cs="Cambria" w:eastAsia="Cambria" w:hAnsi="Cambria"/>
                <w:b/>
                <w:bCs/>
                <w:color w:val="3A3A3A"/>
                <w:sz w:val="18"/>
                <w:szCs w:val="18"/>
              </w:rPr>
              <w:t xml:space="preserve">4</w:t>
            </w:r>
            <w:r>
              <w:rPr>
                <w:rFonts w:ascii="Cambria" w:cs="Cambria" w:eastAsia="Cambria" w:hAnsi="Cambria"/>
                <w:color w:val="3A3A3A"/>
                <w:sz w:val="18"/>
                <w:szCs w:val="18"/>
              </w:rPr>
              <w:t xml:space="preserve"> de las 5 atípicas, no las 5. Ese subconjunto se reserva para el caso de negocio del paso 6.</w:t>
            </w:r>
          </w:p>
        </w:tc>
      </w:tr>
    </w:tbl>
    <w:p>
      <w:pPr>
        <w:spacing w:after="220"/>
      </w:pPr>
    </w:p>
    <w:p>
      <w:pPr>
        <w:spacing w:line="270"/>
      </w:pPr>
      <w:r>
        <w:rPr>
          <w:rFonts w:ascii="Cambria" w:cs="Cambria" w:eastAsia="Cambria" w:hAnsi="Cambria"/>
          <w:color w:val="2D2D2D"/>
          <w:sz w:val="20"/>
          <w:szCs w:val="20"/>
        </w:rPr>
        <w:t xml:space="preserve">Las variables relevantes de la réplica (nombres canónicos de De Cock; su significado de negocio está en </w:t>
      </w:r>
      <w:r>
        <w:rPr>
          <w:rFonts w:ascii="Consolas" w:cs="Consolas" w:eastAsia="Consolas" w:hAnsi="Consolas"/>
          <w:color w:val="7A1526"/>
          <w:sz w:val="18"/>
          <w:szCs w:val="18"/>
        </w:rPr>
        <w:t xml:space="preserve">data/diccionario_datos.md</w:t>
      </w:r>
      <w:r>
        <w:rPr>
          <w:rFonts w:ascii="Cambria" w:cs="Cambria" w:eastAsia="Cambria" w:hAnsi="Cambria"/>
          <w:color w:val="2D2D2D"/>
          <w:sz w:val="20"/>
          <w:szCs w:val="20"/>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700"/>
        <w:gridCol w:w="9380"/>
      </w:tblGrid>
      <w:tr>
        <w:tc>
          <w:tcPr>
            <w:tcW w:type="dxa" w:w="7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r>
              <w:rPr>
                <w:rFonts w:ascii="Calibri" w:cs="Calibri" w:eastAsia="Calibri" w:hAnsi="Calibri"/>
                <w:b/>
                <w:bCs/>
                <w:color w:val="7A1526"/>
                <w:sz w:val="20"/>
                <w:szCs w:val="20"/>
              </w:rPr>
              <w:t xml:space="preserve">1.</w:t>
            </w:r>
          </w:p>
        </w:tc>
        <w:tc>
          <w:tcPr>
            <w:tcW w:type="dxa" w:w="93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pPr>
              <w:spacing w:line="265"/>
            </w:pPr>
            <w:r>
              <w:rPr>
                <w:rFonts w:ascii="Consolas" w:cs="Consolas" w:eastAsia="Consolas" w:hAnsi="Consolas"/>
                <w:color w:val="7A1526"/>
                <w:sz w:val="17"/>
                <w:szCs w:val="17"/>
              </w:rPr>
              <w:t xml:space="preserve">SalePrice</w:t>
            </w:r>
            <w:r>
              <w:rPr>
                <w:rFonts w:ascii="Cambria" w:cs="Cambria" w:eastAsia="Cambria" w:hAnsi="Cambria"/>
                <w:color w:val="2D2D2D"/>
                <w:sz w:val="19"/>
                <w:szCs w:val="19"/>
              </w:rPr>
              <w:t xml:space="preserve"> — precio de venta en USD; es la </w:t>
            </w:r>
            <w:r>
              <w:rPr>
                <w:rFonts w:ascii="Cambria" w:cs="Cambria" w:eastAsia="Cambria" w:hAnsi="Cambria"/>
                <w:b/>
                <w:bCs/>
                <w:color w:val="2D2D2D"/>
                <w:sz w:val="19"/>
                <w:szCs w:val="19"/>
              </w:rPr>
              <w:t xml:space="preserve">respuesta</w:t>
            </w:r>
            <w:r>
              <w:rPr>
                <w:rFonts w:ascii="Cambria" w:cs="Cambria" w:eastAsia="Cambria" w:hAnsi="Cambria"/>
                <w:color w:val="2D2D2D"/>
                <w:sz w:val="19"/>
                <w:szCs w:val="19"/>
              </w:rPr>
              <w:t xml:space="preserve"> (Y).</w:t>
            </w:r>
          </w:p>
        </w:tc>
      </w:tr>
      <w:tr>
        <w:tc>
          <w:tcPr>
            <w:tcW w:type="dxa" w:w="70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r>
              <w:rPr>
                <w:rFonts w:ascii="Calibri" w:cs="Calibri" w:eastAsia="Calibri" w:hAnsi="Calibri"/>
                <w:b/>
                <w:bCs/>
                <w:color w:val="7A1526"/>
                <w:sz w:val="20"/>
                <w:szCs w:val="20"/>
              </w:rPr>
              <w:t xml:space="preserve">2.</w:t>
            </w:r>
          </w:p>
        </w:tc>
        <w:tc>
          <w:tcPr>
            <w:tcW w:type="dxa" w:w="938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pPr>
              <w:spacing w:line="265"/>
            </w:pPr>
            <w:r>
              <w:rPr>
                <w:rFonts w:ascii="Consolas" w:cs="Consolas" w:eastAsia="Consolas" w:hAnsi="Consolas"/>
                <w:color w:val="7A1526"/>
                <w:sz w:val="17"/>
                <w:szCs w:val="17"/>
              </w:rPr>
              <w:t xml:space="preserve">Gr Liv Area</w:t>
            </w:r>
            <w:r>
              <w:rPr>
                <w:rFonts w:ascii="Cambria" w:cs="Cambria" w:eastAsia="Cambria" w:hAnsi="Cambria"/>
                <w:color w:val="2D2D2D"/>
                <w:sz w:val="19"/>
                <w:szCs w:val="19"/>
              </w:rPr>
              <w:t xml:space="preserve"> — área habitable sobre rasante en pies²; es el </w:t>
            </w:r>
            <w:r>
              <w:rPr>
                <w:rFonts w:ascii="Cambria" w:cs="Cambria" w:eastAsia="Cambria" w:hAnsi="Cambria"/>
                <w:b/>
                <w:bCs/>
                <w:color w:val="2D2D2D"/>
                <w:sz w:val="19"/>
                <w:szCs w:val="19"/>
              </w:rPr>
              <w:t xml:space="preserve">predictor</w:t>
            </w:r>
            <w:r>
              <w:rPr>
                <w:rFonts w:ascii="Cambria" w:cs="Cambria" w:eastAsia="Cambria" w:hAnsi="Cambria"/>
                <w:color w:val="2D2D2D"/>
                <w:sz w:val="19"/>
                <w:szCs w:val="19"/>
              </w:rPr>
              <w:t xml:space="preserve"> individual más fuerte.</w:t>
            </w:r>
          </w:p>
        </w:tc>
      </w:tr>
      <w:tr>
        <w:tc>
          <w:tcPr>
            <w:tcW w:type="dxa" w:w="7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r>
              <w:rPr>
                <w:rFonts w:ascii="Calibri" w:cs="Calibri" w:eastAsia="Calibri" w:hAnsi="Calibri"/>
                <w:b/>
                <w:bCs/>
                <w:color w:val="7A1526"/>
                <w:sz w:val="20"/>
                <w:szCs w:val="20"/>
              </w:rPr>
              <w:t xml:space="preserve">3.</w:t>
            </w:r>
          </w:p>
        </w:tc>
        <w:tc>
          <w:tcPr>
            <w:tcW w:type="dxa" w:w="93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pPr>
              <w:spacing w:line="265"/>
            </w:pPr>
            <w:r>
              <w:rPr>
                <w:rFonts w:ascii="Consolas" w:cs="Consolas" w:eastAsia="Consolas" w:hAnsi="Consolas"/>
                <w:color w:val="7A1526"/>
                <w:sz w:val="17"/>
                <w:szCs w:val="17"/>
              </w:rPr>
              <w:t xml:space="preserve">Overall Qual</w:t>
            </w:r>
            <w:r>
              <w:rPr>
                <w:rFonts w:ascii="Cambria" w:cs="Cambria" w:eastAsia="Cambria" w:hAnsi="Cambria"/>
                <w:color w:val="2D2D2D"/>
                <w:sz w:val="19"/>
                <w:szCs w:val="19"/>
              </w:rPr>
              <w:t xml:space="preserve"> — calidad general de materiales/acabados (escala 1–10, ordinal).</w:t>
            </w:r>
          </w:p>
        </w:tc>
      </w:tr>
      <w:tr>
        <w:tc>
          <w:tcPr>
            <w:tcW w:type="dxa" w:w="70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r>
              <w:rPr>
                <w:rFonts w:ascii="Calibri" w:cs="Calibri" w:eastAsia="Calibri" w:hAnsi="Calibri"/>
                <w:b/>
                <w:bCs/>
                <w:color w:val="7A1526"/>
                <w:sz w:val="20"/>
                <w:szCs w:val="20"/>
              </w:rPr>
              <w:t xml:space="preserve">4.</w:t>
            </w:r>
          </w:p>
        </w:tc>
        <w:tc>
          <w:tcPr>
            <w:tcW w:type="dxa" w:w="938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pPr>
              <w:spacing w:line="265"/>
            </w:pPr>
            <w:r>
              <w:rPr>
                <w:rFonts w:ascii="Consolas" w:cs="Consolas" w:eastAsia="Consolas" w:hAnsi="Consolas"/>
                <w:color w:val="7A1526"/>
                <w:sz w:val="17"/>
                <w:szCs w:val="17"/>
              </w:rPr>
              <w:t xml:space="preserve">Garage Cars</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Total Bsmt SF</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Year Built</w:t>
            </w:r>
            <w:r>
              <w:rPr>
                <w:rFonts w:ascii="Cambria" w:cs="Cambria" w:eastAsia="Cambria" w:hAnsi="Cambria"/>
                <w:color w:val="2D2D2D"/>
                <w:sz w:val="19"/>
                <w:szCs w:val="19"/>
              </w:rPr>
              <w:t xml:space="preserve"> — completan los 5 predictores del modelo múltiple.</w:t>
            </w:r>
          </w:p>
        </w:tc>
      </w:tr>
      <w:tr>
        <w:tc>
          <w:tcPr>
            <w:tcW w:type="dxa" w:w="7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r>
              <w:rPr>
                <w:rFonts w:ascii="Calibri" w:cs="Calibri" w:eastAsia="Calibri" w:hAnsi="Calibri"/>
                <w:b/>
                <w:bCs/>
                <w:color w:val="7A1526"/>
                <w:sz w:val="20"/>
                <w:szCs w:val="20"/>
              </w:rPr>
              <w:t xml:space="preserve">5.</w:t>
            </w:r>
          </w:p>
        </w:tc>
        <w:tc>
          <w:tcPr>
            <w:tcW w:type="dxa" w:w="93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pPr>
              <w:spacing w:line="265"/>
            </w:pPr>
            <w:r>
              <w:rPr>
                <w:rFonts w:ascii="Consolas" w:cs="Consolas" w:eastAsia="Consolas" w:hAnsi="Consolas"/>
                <w:color w:val="7A1526"/>
                <w:sz w:val="17"/>
                <w:szCs w:val="17"/>
              </w:rPr>
              <w:t xml:space="preserve">Sale Condition</w:t>
            </w:r>
            <w:r>
              <w:rPr>
                <w:rFonts w:ascii="Cambria" w:cs="Cambria" w:eastAsia="Cambria" w:hAnsi="Cambria"/>
                <w:color w:val="2D2D2D"/>
                <w:sz w:val="19"/>
                <w:szCs w:val="19"/>
              </w:rPr>
              <w:t xml:space="preserve"> — condición de la venta (Normal, Abnorml, Partial…); </w:t>
            </w:r>
            <w:r>
              <w:rPr>
                <w:rFonts w:ascii="Cambria" w:cs="Cambria" w:eastAsia="Cambria" w:hAnsi="Cambria"/>
                <w:b/>
                <w:bCs/>
                <w:color w:val="2D2D2D"/>
                <w:sz w:val="19"/>
                <w:szCs w:val="19"/>
              </w:rPr>
              <w:t xml:space="preserve">clave para entender la limpieza</w:t>
            </w:r>
            <w:r>
              <w:rPr>
                <w:rFonts w:ascii="Cambria" w:cs="Cambria" w:eastAsia="Cambria" w:hAnsi="Cambria"/>
                <w:color w:val="2D2D2D"/>
                <w:sz w:val="19"/>
                <w:szCs w:val="19"/>
              </w:rPr>
              <w:t xml:space="preserve"> del paso 2.</w:t>
            </w:r>
          </w:p>
        </w:tc>
      </w:tr>
      <w:tr>
        <w:tc>
          <w:tcPr>
            <w:tcW w:type="dxa" w:w="70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r>
              <w:rPr>
                <w:rFonts w:ascii="Calibri" w:cs="Calibri" w:eastAsia="Calibri" w:hAnsi="Calibri"/>
                <w:b/>
                <w:bCs/>
                <w:color w:val="7A1526"/>
                <w:sz w:val="20"/>
                <w:szCs w:val="20"/>
              </w:rPr>
              <w:t xml:space="preserve">6.</w:t>
            </w:r>
          </w:p>
        </w:tc>
        <w:tc>
          <w:tcPr>
            <w:tcW w:type="dxa" w:w="938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pPr>
              <w:spacing w:line="265"/>
            </w:pPr>
            <w:r>
              <w:rPr>
                <w:rFonts w:ascii="Consolas" w:cs="Consolas" w:eastAsia="Consolas" w:hAnsi="Consolas"/>
                <w:color w:val="7A1526"/>
                <w:sz w:val="17"/>
                <w:szCs w:val="17"/>
              </w:rPr>
              <w:t xml:space="preserve">Neighborhood</w:t>
            </w:r>
            <w:r>
              <w:rPr>
                <w:rFonts w:ascii="Cambria" w:cs="Cambria" w:eastAsia="Cambria" w:hAnsi="Cambria"/>
                <w:color w:val="2D2D2D"/>
                <w:sz w:val="19"/>
                <w:szCs w:val="19"/>
              </w:rPr>
              <w:t xml:space="preserve"> — barrio (28 categorías); </w:t>
            </w:r>
            <w:r>
              <w:rPr>
                <w:rFonts w:ascii="Cambria" w:cs="Cambria" w:eastAsia="Cambria" w:hAnsi="Cambria"/>
                <w:b/>
                <w:bCs/>
                <w:color w:val="2D2D2D"/>
                <w:sz w:val="19"/>
                <w:szCs w:val="19"/>
              </w:rPr>
              <w:t xml:space="preserve">eje de la interacción zona × tamaño</w:t>
            </w:r>
            <w:r>
              <w:rPr>
                <w:rFonts w:ascii="Cambria" w:cs="Cambria" w:eastAsia="Cambria" w:hAnsi="Cambria"/>
                <w:color w:val="2D2D2D"/>
                <w:sz w:val="19"/>
                <w:szCs w:val="19"/>
              </w:rPr>
              <w:t xml:space="preserve"> del paso 5.</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12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A2   </w:t>
            </w:r>
            <w:r>
              <w:rPr>
                <w:rFonts w:ascii="Calibri" w:cs="Calibri" w:eastAsia="Calibri" w:hAnsi="Calibri"/>
                <w:b/>
                <w:bCs/>
                <w:color w:val="7A1526"/>
                <w:sz w:val="19"/>
                <w:szCs w:val="19"/>
              </w:rPr>
              <w:t xml:space="preserve">Preparar: nombres con espacios y las 5 ventas atípicas</w:t>
            </w:r>
          </w:p>
          <w:p>
            <w:pPr>
              <w:spacing w:line="265"/>
            </w:pPr>
            <w:r>
              <w:rPr>
                <w:rFonts w:ascii="Cambria" w:cs="Cambria" w:eastAsia="Cambria" w:hAnsi="Cambria"/>
                <w:color w:val="2D2D2D"/>
                <w:sz w:val="19"/>
                <w:szCs w:val="19"/>
              </w:rPr>
              <w:t xml:space="preserve">Reconocer la convención de nombres: en </w:t>
            </w:r>
            <w:r>
              <w:rPr>
                <w:rFonts w:ascii="Consolas" w:cs="Consolas" w:eastAsia="Consolas" w:hAnsi="Consolas"/>
                <w:color w:val="7A1526"/>
                <w:sz w:val="17"/>
                <w:szCs w:val="17"/>
              </w:rPr>
              <w:t xml:space="preserve">AmesHousing.csv</w:t>
            </w:r>
            <w:r>
              <w:rPr>
                <w:rFonts w:ascii="Cambria" w:cs="Cambria" w:eastAsia="Cambria" w:hAnsi="Cambria"/>
                <w:color w:val="2D2D2D"/>
                <w:sz w:val="19"/>
                <w:szCs w:val="19"/>
              </w:rPr>
              <w:t xml:space="preserve"> (De Cock, canónico) las columnas llevan </w:t>
            </w:r>
            <w:r>
              <w:rPr>
                <w:rFonts w:ascii="Cambria" w:cs="Cambria" w:eastAsia="Cambria" w:hAnsi="Cambria"/>
                <w:b/>
                <w:bCs/>
                <w:color w:val="2D2D2D"/>
                <w:sz w:val="19"/>
                <w:szCs w:val="19"/>
              </w:rPr>
              <w:t xml:space="preserve">espacios</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Gr Liv Area</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Overall Qual</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Total Bsmt SF</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Garage Cars</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Year Built</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Sale Condition</w:t>
            </w:r>
            <w:r>
              <w:rPr>
                <w:rFonts w:ascii="Cambria" w:cs="Cambria" w:eastAsia="Cambria" w:hAnsi="Cambria"/>
                <w:color w:val="2D2D2D"/>
                <w:sz w:val="19"/>
                <w:szCs w:val="19"/>
              </w:rPr>
              <w:t xml:space="preserve">); en el subconjunto Kaggle van </w:t>
            </w:r>
            <w:r>
              <w:rPr>
                <w:rFonts w:ascii="Cambria" w:cs="Cambria" w:eastAsia="Cambria" w:hAnsi="Cambria"/>
                <w:b/>
                <w:bCs/>
                <w:color w:val="2D2D2D"/>
                <w:sz w:val="19"/>
                <w:szCs w:val="19"/>
              </w:rPr>
              <w:t xml:space="preserve">sin espacios</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GrLivArea</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OverallQual</w:t>
            </w:r>
            <w:r>
              <w:rPr>
                <w:rFonts w:ascii="Cambria" w:cs="Cambria" w:eastAsia="Cambria" w:hAnsi="Cambria"/>
                <w:color w:val="2D2D2D"/>
                <w:sz w:val="19"/>
                <w:szCs w:val="19"/>
              </w:rPr>
              <w:t xml:space="preserve">, etc.). Usar en el código de la réplica los nombres </w:t>
            </w:r>
            <w:r>
              <w:rPr>
                <w:rFonts w:ascii="Cambria" w:cs="Cambria" w:eastAsia="Cambria" w:hAnsi="Cambria"/>
                <w:b/>
                <w:bCs/>
                <w:color w:val="2D2D2D"/>
                <w:sz w:val="19"/>
                <w:szCs w:val="19"/>
              </w:rPr>
              <w:t xml:space="preserve">con espacios</w:t>
            </w:r>
            <w:r>
              <w:rPr>
                <w:rFonts w:ascii="Cambria" w:cs="Cambria" w:eastAsia="Cambria" w:hAnsi="Cambria"/>
                <w:color w:val="2D2D2D"/>
                <w:sz w:val="19"/>
                <w:szCs w:val="19"/>
              </w:rPr>
              <w:t xml:space="preserve"> (p. ej. df['</w:t>
            </w:r>
            <w:r>
              <w:rPr>
                <w:rFonts w:ascii="Consolas" w:cs="Consolas" w:eastAsia="Consolas" w:hAnsi="Consolas"/>
                <w:color w:val="7A1526"/>
                <w:sz w:val="17"/>
                <w:szCs w:val="17"/>
              </w:rPr>
              <w:t xml:space="preserve">Gr Liv Area</w:t>
            </w:r>
            <w:r>
              <w:rPr>
                <w:rFonts w:ascii="Cambria" w:cs="Cambria" w:eastAsia="Cambria" w:hAnsi="Cambria"/>
                <w:color w:val="2D2D2D"/>
                <w:sz w:val="19"/>
                <w:szCs w:val="19"/>
              </w:rPr>
              <w:t xml:space="preserve">']); documentar la diferencia evita el error más común de la sesión. Filtrar df[df['</w:t>
            </w:r>
            <w:r>
              <w:rPr>
                <w:rFonts w:ascii="Consolas" w:cs="Consolas" w:eastAsia="Consolas" w:hAnsi="Consolas"/>
                <w:color w:val="7A1526"/>
                <w:sz w:val="17"/>
                <w:szCs w:val="17"/>
              </w:rPr>
              <w:t xml:space="preserve">Gr Liv Area</w:t>
            </w:r>
            <w:r>
              <w:rPr>
                <w:rFonts w:ascii="Cambria" w:cs="Cambria" w:eastAsia="Cambria" w:hAnsi="Cambria"/>
                <w:color w:val="2D2D2D"/>
                <w:sz w:val="19"/>
                <w:szCs w:val="19"/>
              </w:rPr>
              <w:t xml:space="preserve">'] &gt; 4000] para detectar las atípicas (target #2) e inspeccionar su </w:t>
            </w:r>
            <w:r>
              <w:rPr>
                <w:rFonts w:ascii="Consolas" w:cs="Consolas" w:eastAsia="Consolas" w:hAnsi="Consolas"/>
                <w:color w:val="7A1526"/>
                <w:sz w:val="17"/>
                <w:szCs w:val="17"/>
              </w:rPr>
              <w:t xml:space="preserve">Sale Condition</w:t>
            </w:r>
            <w:r>
              <w:rPr>
                <w:rFonts w:ascii="Cambria" w:cs="Cambria" w:eastAsia="Cambria" w:hAnsi="Cambria"/>
                <w:color w:val="2D2D2D"/>
                <w:sz w:val="19"/>
                <w:szCs w:val="19"/>
              </w:rPr>
              <w:t xml:space="preserve"> antes de removerlas — no es borrado ciego. Limpiar con clean = df[df['</w:t>
            </w:r>
            <w:r>
              <w:rPr>
                <w:rFonts w:ascii="Consolas" w:cs="Consolas" w:eastAsia="Consolas" w:hAnsi="Consolas"/>
                <w:color w:val="7A1526"/>
                <w:sz w:val="17"/>
                <w:szCs w:val="17"/>
              </w:rPr>
              <w:t xml:space="preserve">Gr Liv Area</w:t>
            </w:r>
            <w:r>
              <w:rPr>
                <w:rFonts w:ascii="Cambria" w:cs="Cambria" w:eastAsia="Cambria" w:hAnsi="Cambria"/>
                <w:color w:val="2D2D2D"/>
                <w:sz w:val="19"/>
                <w:szCs w:val="19"/>
              </w:rPr>
              <w:t xml:space="preserve">'] &lt;= 4000]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2925 filas</w:t>
            </w:r>
            <w:r>
              <w:rPr>
                <w:rFonts w:ascii="Cambria" w:cs="Cambria" w:eastAsia="Cambria" w:hAnsi="Cambria"/>
                <w:color w:val="2D2D2D"/>
                <w:sz w:val="19"/>
                <w:szCs w:val="19"/>
              </w:rPr>
              <w:t xml:space="preserve">.</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El dataframe limpio (</w:t>
            </w:r>
            <w:r>
              <w:rPr>
                <w:rFonts w:ascii="Consolas" w:cs="Consolas" w:eastAsia="Consolas" w:hAnsi="Consolas"/>
                <w:color w:val="7A1526"/>
                <w:sz w:val="17"/>
                <w:szCs w:val="17"/>
              </w:rPr>
              <w:t xml:space="preserve">Gr Liv Area</w:t>
            </w:r>
            <w:r>
              <w:rPr>
                <w:rFonts w:ascii="Cambria" w:cs="Cambria" w:eastAsia="Cambria" w:hAnsi="Cambria"/>
                <w:color w:val="2D2D2D"/>
                <w:sz w:val="19"/>
                <w:szCs w:val="19"/>
              </w:rPr>
              <w:t xml:space="preserve"> &lt;= 4000, 2925 filas) y una justificación escrita de por qué se remueven exactamente esas 5 ventas, citando la columna </w:t>
            </w:r>
            <w:r>
              <w:rPr>
                <w:rFonts w:ascii="Consolas" w:cs="Consolas" w:eastAsia="Consolas" w:hAnsi="Consolas"/>
                <w:color w:val="7A1526"/>
                <w:sz w:val="17"/>
                <w:szCs w:val="17"/>
              </w:rPr>
              <w:t xml:space="preserve">Sale Condition</w:t>
            </w:r>
            <w:r>
              <w:rPr>
                <w:rFonts w:ascii="Cambria" w:cs="Cambria" w:eastAsia="Cambria" w:hAnsi="Cambria"/>
                <w:color w:val="2D2D2D"/>
                <w:sz w:val="19"/>
                <w:szCs w:val="19"/>
              </w:rPr>
              <w:t xml:space="preserve">.</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rPr>
          <w:tblHeader/>
        </w:trPr>
        <w:tc>
          <w:tcPr>
            <w:tcW w:type="dxa" w:w="252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Gr Liv Area</w:t>
            </w:r>
          </w:p>
        </w:tc>
        <w:tc>
          <w:tcPr>
            <w:tcW w:type="dxa" w:w="252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SalePrice</w:t>
            </w:r>
          </w:p>
        </w:tc>
        <w:tc>
          <w:tcPr>
            <w:tcW w:type="dxa" w:w="252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Sale Condition</w:t>
            </w:r>
          </w:p>
        </w:tc>
        <w:tc>
          <w:tcPr>
            <w:tcW w:type="dxa" w:w="252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Interpretación</w:t>
            </w:r>
          </w:p>
        </w:tc>
      </w:tr>
      <w:tr>
        <w:tc>
          <w:tcPr>
            <w:tcW w:type="dxa" w:w="252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8"/>
                <w:szCs w:val="18"/>
              </w:rPr>
              <w:t xml:space="preserve">5642</w:t>
            </w:r>
          </w:p>
        </w:tc>
        <w:tc>
          <w:tcPr>
            <w:tcW w:type="dxa" w:w="252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160 000</w:t>
            </w:r>
          </w:p>
        </w:tc>
        <w:tc>
          <w:tcPr>
            <w:tcW w:type="dxa" w:w="252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Partial</w:t>
            </w:r>
          </w:p>
        </w:tc>
        <w:tc>
          <w:tcPr>
            <w:tcW w:type="dxa" w:w="252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Venta no de mercado (obra sin terminar) — atípico «malo»</w:t>
            </w:r>
          </w:p>
        </w:tc>
      </w:tr>
      <w:tr>
        <w:tc>
          <w:tcPr>
            <w:tcW w:type="dxa" w:w="252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8"/>
                <w:szCs w:val="18"/>
              </w:rPr>
              <w:t xml:space="preserve">5095</w:t>
            </w:r>
          </w:p>
        </w:tc>
        <w:tc>
          <w:tcPr>
            <w:tcW w:type="dxa" w:w="252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183 850</w:t>
            </w:r>
          </w:p>
        </w:tc>
        <w:tc>
          <w:tcPr>
            <w:tcW w:type="dxa" w:w="252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Partial</w:t>
            </w:r>
          </w:p>
        </w:tc>
        <w:tc>
          <w:tcPr>
            <w:tcW w:type="dxa" w:w="252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Venta no de mercado — atípico «malo»</w:t>
            </w:r>
          </w:p>
        </w:tc>
      </w:tr>
      <w:tr>
        <w:tc>
          <w:tcPr>
            <w:tcW w:type="dxa" w:w="252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8"/>
                <w:szCs w:val="18"/>
              </w:rPr>
              <w:t xml:space="preserve">4676</w:t>
            </w:r>
          </w:p>
        </w:tc>
        <w:tc>
          <w:tcPr>
            <w:tcW w:type="dxa" w:w="252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184 750</w:t>
            </w:r>
          </w:p>
        </w:tc>
        <w:tc>
          <w:tcPr>
            <w:tcW w:type="dxa" w:w="252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Partial</w:t>
            </w:r>
          </w:p>
        </w:tc>
        <w:tc>
          <w:tcPr>
            <w:tcW w:type="dxa" w:w="252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Venta no de mercado — atípico «malo»</w:t>
            </w:r>
          </w:p>
        </w:tc>
      </w:tr>
      <w:tr>
        <w:tc>
          <w:tcPr>
            <w:tcW w:type="dxa" w:w="252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8"/>
                <w:szCs w:val="18"/>
              </w:rPr>
              <w:t xml:space="preserve">4476</w:t>
            </w:r>
          </w:p>
        </w:tc>
        <w:tc>
          <w:tcPr>
            <w:tcW w:type="dxa" w:w="252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745 000</w:t>
            </w:r>
          </w:p>
        </w:tc>
        <w:tc>
          <w:tcPr>
            <w:tcW w:type="dxa" w:w="252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Abnorml</w:t>
            </w:r>
          </w:p>
        </w:tc>
        <w:tc>
          <w:tcPr>
            <w:tcW w:type="dxa" w:w="252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Mansión legítima cara — atípico «bueno»</w:t>
            </w:r>
          </w:p>
        </w:tc>
      </w:tr>
      <w:tr>
        <w:tc>
          <w:tcPr>
            <w:tcW w:type="dxa" w:w="252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8"/>
                <w:szCs w:val="18"/>
              </w:rPr>
              <w:t xml:space="preserve">4316</w:t>
            </w:r>
          </w:p>
        </w:tc>
        <w:tc>
          <w:tcPr>
            <w:tcW w:type="dxa" w:w="252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755 000</w:t>
            </w:r>
          </w:p>
        </w:tc>
        <w:tc>
          <w:tcPr>
            <w:tcW w:type="dxa" w:w="252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Normal</w:t>
            </w:r>
          </w:p>
        </w:tc>
        <w:tc>
          <w:tcPr>
            <w:tcW w:type="dxa" w:w="252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Mansión legítima cara — atípico «bueno»</w:t>
            </w:r>
          </w:p>
        </w:tc>
      </w:tr>
    </w:tbl>
    <w:p>
      <w:pPr>
        <w:spacing w:after="220"/>
      </w:pPr>
    </w:p>
    <w:p>
      <w:pPr>
        <w:spacing w:after="260" w:line="265"/>
      </w:pPr>
      <w:r>
        <w:rPr>
          <w:rFonts w:ascii="Cambria" w:cs="Cambria" w:eastAsia="Cambria" w:hAnsi="Cambria"/>
          <w:i/>
          <w:iCs/>
          <w:color w:val="6E6E6E"/>
          <w:sz w:val="18"/>
          <w:szCs w:val="18"/>
        </w:rPr>
        <w:t xml:space="preserve">Tres son </w:t>
      </w:r>
      <w:r>
        <w:rPr>
          <w:rFonts w:ascii="Cambria" w:cs="Cambria" w:eastAsia="Cambria" w:hAnsi="Cambria"/>
          <w:b/>
          <w:bCs/>
          <w:i/>
          <w:iCs/>
          <w:color w:val="6E6E6E"/>
          <w:sz w:val="18"/>
          <w:szCs w:val="18"/>
        </w:rPr>
        <w:t xml:space="preserve">ventas parciales</w:t>
      </w:r>
      <w:r>
        <w:rPr>
          <w:rFonts w:ascii="Cambria" w:cs="Cambria" w:eastAsia="Cambria" w:hAnsi="Cambria"/>
          <w:i/>
          <w:iCs/>
          <w:color w:val="6E6E6E"/>
          <w:sz w:val="18"/>
          <w:szCs w:val="18"/>
        </w:rPr>
        <w:t xml:space="preserve"> (Partial: el precio no representa el mercado, los «true outliers» de De Cock) y dos son </w:t>
      </w:r>
      <w:r>
        <w:rPr>
          <w:rFonts w:ascii="Cambria" w:cs="Cambria" w:eastAsia="Cambria" w:hAnsi="Cambria"/>
          <w:b/>
          <w:bCs/>
          <w:i/>
          <w:iCs/>
          <w:color w:val="6E6E6E"/>
          <w:sz w:val="18"/>
          <w:szCs w:val="18"/>
        </w:rPr>
        <w:t xml:space="preserve">casas de gran superficie vendidas a precio coherente</w:t>
      </w:r>
      <w:r>
        <w:rPr>
          <w:rFonts w:ascii="Cambria" w:cs="Cambria" w:eastAsia="Cambria" w:hAnsi="Cambria"/>
          <w:i/>
          <w:iCs/>
          <w:color w:val="6E6E6E"/>
          <w:sz w:val="18"/>
          <w:szCs w:val="18"/>
        </w:rPr>
        <w:t xml:space="preserve"> (las «unusual sales»). El texto del autor —«I would recommend removing any houses with more than 4000 square feet…»— coincide exactamente con lo observado.</w:t>
      </w:r>
    </w:p>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12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A3   </w:t>
            </w:r>
            <w:r>
              <w:rPr>
                <w:rFonts w:ascii="Calibri" w:cs="Calibri" w:eastAsia="Calibri" w:hAnsi="Calibri"/>
                <w:b/>
                <w:bCs/>
                <w:color w:val="7A1526"/>
                <w:sz w:val="19"/>
                <w:szCs w:val="19"/>
              </w:rPr>
              <w:t xml:space="preserve">Correlación y OLS simple</w:t>
            </w:r>
          </w:p>
          <w:p>
            <w:pPr>
              <w:spacing w:line="265"/>
            </w:pPr>
            <w:r>
              <w:rPr>
                <w:rFonts w:ascii="Cambria" w:cs="Cambria" w:eastAsia="Cambria" w:hAnsi="Cambria"/>
                <w:color w:val="2D2D2D"/>
                <w:sz w:val="19"/>
                <w:szCs w:val="19"/>
              </w:rPr>
              <w:t xml:space="preserve">Calcular la correlación de Pearson </w:t>
            </w:r>
            <w:r>
              <w:rPr>
                <w:rFonts w:ascii="Consolas" w:cs="Consolas" w:eastAsia="Consolas" w:hAnsi="Consolas"/>
                <w:color w:val="7A1526"/>
                <w:sz w:val="17"/>
                <w:szCs w:val="17"/>
              </w:rPr>
              <w:t xml:space="preserve">SalePrice ~ Gr Liv Area</w:t>
            </w:r>
            <w:r>
              <w:rPr>
                <w:rFonts w:ascii="Cambria" w:cs="Cambria" w:eastAsia="Cambria" w:hAnsi="Cambria"/>
                <w:color w:val="2D2D2D"/>
                <w:sz w:val="19"/>
                <w:szCs w:val="19"/>
              </w:rPr>
              <w:t xml:space="preserve"> sobre las 2930 filas (target #1: </w:t>
            </w:r>
            <w:r>
              <w:rPr>
                <w:rFonts w:ascii="Cambria" w:cs="Cambria" w:eastAsia="Cambria" w:hAnsi="Cambria"/>
                <w:b/>
                <w:bCs/>
                <w:color w:val="2D2D2D"/>
                <w:sz w:val="19"/>
                <w:szCs w:val="19"/>
              </w:rPr>
              <w:t xml:space="preserve">0.7068</w:t>
            </w:r>
            <w:r>
              <w:rPr>
                <w:rFonts w:ascii="Cambria" w:cs="Cambria" w:eastAsia="Cambria" w:hAnsi="Cambria"/>
                <w:color w:val="2D2D2D"/>
                <w:sz w:val="19"/>
                <w:szCs w:val="19"/>
              </w:rPr>
              <w:t xml:space="preserve"> ≈ 0.71) y, tras remover las 5 atípicas (2925 filas), verificar que </w:t>
            </w:r>
            <w:r>
              <w:rPr>
                <w:rFonts w:ascii="Cambria" w:cs="Cambria" w:eastAsia="Cambria" w:hAnsi="Cambria"/>
                <w:b/>
                <w:bCs/>
                <w:color w:val="2D2D2D"/>
                <w:sz w:val="19"/>
                <w:szCs w:val="19"/>
              </w:rPr>
              <w:t xml:space="preserve">sube a 0.7195</w:t>
            </w:r>
            <w:r>
              <w:rPr>
                <w:rFonts w:ascii="Cambria" w:cs="Cambria" w:eastAsia="Cambria" w:hAnsi="Cambria"/>
                <w:color w:val="2D2D2D"/>
                <w:sz w:val="19"/>
                <w:szCs w:val="19"/>
              </w:rPr>
              <w:t xml:space="preserve"> — quitar las ventas no de mercado limpia la relación en lugar de debilitarla. Ajustar el OLS simple sobre los datos limpios: sm.OLS(</w:t>
            </w:r>
            <w:r>
              <w:rPr>
                <w:rFonts w:ascii="Consolas" w:cs="Consolas" w:eastAsia="Consolas" w:hAnsi="Consolas"/>
                <w:color w:val="7A1526"/>
                <w:sz w:val="17"/>
                <w:szCs w:val="17"/>
              </w:rPr>
              <w:t xml:space="preserve">SalePrice</w:t>
            </w:r>
            <w:r>
              <w:rPr>
                <w:rFonts w:ascii="Cambria" w:cs="Cambria" w:eastAsia="Cambria" w:hAnsi="Cambria"/>
                <w:color w:val="2D2D2D"/>
                <w:sz w:val="19"/>
                <w:szCs w:val="19"/>
              </w:rPr>
              <w:t xml:space="preserve">, sm.</w:t>
            </w:r>
            <w:r>
              <w:rPr>
                <w:rFonts w:ascii="Consolas" w:cs="Consolas" w:eastAsia="Consolas" w:hAnsi="Consolas"/>
                <w:color w:val="7A1526"/>
                <w:sz w:val="17"/>
                <w:szCs w:val="17"/>
              </w:rPr>
              <w:t xml:space="preserve">add_constant</w:t>
            </w:r>
            <w:r>
              <w:rPr>
                <w:rFonts w:ascii="Cambria" w:cs="Cambria" w:eastAsia="Cambria" w:hAnsi="Cambria"/>
                <w:color w:val="2D2D2D"/>
                <w:sz w:val="19"/>
                <w:szCs w:val="19"/>
              </w:rPr>
              <w:t xml:space="preserve">(</w:t>
            </w:r>
            <w:r>
              <w:rPr>
                <w:rFonts w:ascii="Consolas" w:cs="Consolas" w:eastAsia="Consolas" w:hAnsi="Consolas"/>
                <w:color w:val="7A1526"/>
                <w:sz w:val="17"/>
                <w:szCs w:val="17"/>
              </w:rPr>
              <w:t xml:space="preserve">Gr Liv Area</w:t>
            </w:r>
            <w:r>
              <w:rPr>
                <w:rFonts w:ascii="Cambria" w:cs="Cambria" w:eastAsia="Cambria" w:hAnsi="Cambria"/>
                <w:color w:val="2D2D2D"/>
                <w:sz w:val="19"/>
                <w:szCs w:val="19"/>
              </w:rPr>
              <w:t xml:space="preserve">)).fit. Leer el summary: R², β₁ (pendiente de </w:t>
            </w:r>
            <w:r>
              <w:rPr>
                <w:rFonts w:ascii="Consolas" w:cs="Consolas" w:eastAsia="Consolas" w:hAnsi="Consolas"/>
                <w:color w:val="7A1526"/>
                <w:sz w:val="17"/>
                <w:szCs w:val="17"/>
              </w:rPr>
              <w:t xml:space="preserve">Gr Liv Area</w:t>
            </w:r>
            <w:r>
              <w:rPr>
                <w:rFonts w:ascii="Cambria" w:cs="Cambria" w:eastAsia="Cambria" w:hAnsi="Cambria"/>
                <w:color w:val="2D2D2D"/>
                <w:sz w:val="19"/>
                <w:szCs w:val="19"/>
              </w:rPr>
              <w:t xml:space="preserve">) y su p-valor.</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La correlación con y sin atípicas, y el summary del modelo simple limpio con R², β₀, β₁, SE y p-valor registrados.</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rPr>
          <w:tblHeader/>
        </w:trPr>
        <w:tc>
          <w:tcPr>
            <w:tcW w:type="dxa" w:w="33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Cantidad</w:t>
            </w:r>
          </w:p>
        </w:tc>
        <w:tc>
          <w:tcPr>
            <w:tcW w:type="dxa" w:w="33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Valor</w:t>
            </w:r>
          </w:p>
        </w:tc>
        <w:tc>
          <w:tcPr>
            <w:tcW w:type="dxa" w:w="33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Lectura</w:t>
            </w:r>
          </w:p>
        </w:tc>
      </w:tr>
      <w:tr>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8"/>
                <w:szCs w:val="18"/>
              </w:rPr>
              <w:t xml:space="preserve">R²</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2D2D2D"/>
                <w:sz w:val="18"/>
                <w:szCs w:val="18"/>
              </w:rPr>
              <w:t xml:space="preserve">0.518</w:t>
            </w:r>
            <w:r>
              <w:rPr>
                <w:rFonts w:ascii="Calibri" w:cs="Calibri" w:eastAsia="Calibri" w:hAnsi="Calibri"/>
                <w:b w:val="false"/>
                <w:bCs w:val="false"/>
                <w:color w:val="2D2D2D"/>
                <w:sz w:val="18"/>
                <w:szCs w:val="18"/>
              </w:rPr>
              <w:t xml:space="preserve"> (target #3)</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La superficie habitable, por sí sola, explica ~52 % de la varianza del precio.</w:t>
            </w:r>
          </w:p>
        </w:tc>
      </w:tr>
      <w:tr>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7A1526"/>
                <w:sz w:val="18"/>
                <w:szCs w:val="18"/>
              </w:rPr>
              <w:t xml:space="preserve">β₁</w:t>
            </w:r>
            <w:r>
              <w:rPr>
                <w:rFonts w:ascii="Calibri" w:cs="Calibri" w:eastAsia="Calibri" w:hAnsi="Calibri"/>
                <w:b/>
                <w:bCs/>
                <w:color w:val="7A1526"/>
                <w:sz w:val="18"/>
                <w:szCs w:val="18"/>
              </w:rPr>
              <w:t xml:space="preserve"> (pendiente </w:t>
            </w:r>
            <w:r>
              <w:rPr>
                <w:rFonts w:ascii="Consolas" w:cs="Consolas" w:eastAsia="Consolas" w:hAnsi="Consolas"/>
                <w:b/>
                <w:bCs/>
                <w:color w:val="7A1526"/>
                <w:sz w:val="16"/>
                <w:szCs w:val="16"/>
              </w:rPr>
              <w:t xml:space="preserve">Gr Liv Area</w:t>
            </w:r>
            <w:r>
              <w:rPr>
                <w:rFonts w:ascii="Calibri" w:cs="Calibri" w:eastAsia="Calibri" w:hAnsi="Calibri"/>
                <w:b/>
                <w:bCs/>
                <w:color w:val="7A1526"/>
                <w:sz w:val="18"/>
                <w:szCs w:val="18"/>
              </w:rPr>
              <w:t xml:space="preserve">)</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 </w:t>
            </w:r>
            <w:r>
              <w:rPr>
                <w:rFonts w:ascii="Calibri" w:cs="Calibri" w:eastAsia="Calibri" w:hAnsi="Calibri"/>
                <w:b/>
                <w:bCs/>
                <w:color w:val="2D2D2D"/>
                <w:sz w:val="18"/>
                <w:szCs w:val="18"/>
              </w:rPr>
              <w:t xml:space="preserve">116 USD/pie²</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Cada pie² adicional se asocia con ~116 USD más de precio (relación </w:t>
            </w:r>
            <w:r>
              <w:rPr>
                <w:rFonts w:ascii="Calibri" w:cs="Calibri" w:eastAsia="Calibri" w:hAnsi="Calibri"/>
                <w:b/>
                <w:bCs/>
                <w:color w:val="2D2D2D"/>
                <w:sz w:val="18"/>
                <w:szCs w:val="18"/>
              </w:rPr>
              <w:t xml:space="preserve">bruta</w:t>
            </w:r>
            <w:r>
              <w:rPr>
                <w:rFonts w:ascii="Calibri" w:cs="Calibri" w:eastAsia="Calibri" w:hAnsi="Calibri"/>
                <w:b w:val="false"/>
                <w:bCs w:val="false"/>
                <w:color w:val="2D2D2D"/>
                <w:sz w:val="18"/>
                <w:szCs w:val="18"/>
              </w:rPr>
              <w:t xml:space="preserve">, aún sin controlar por calidad ni zona).</w:t>
            </w:r>
          </w:p>
        </w:tc>
      </w:tr>
      <w:tr>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8"/>
                <w:szCs w:val="18"/>
              </w:rPr>
              <w:t xml:space="preserve">p(β₁)</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 0.000</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Se rechaza H₀: β₁ = 0; la relación es significativa.</w:t>
            </w:r>
          </w:p>
        </w:tc>
      </w:tr>
    </w:tbl>
    <w:p>
      <w:pPr>
        <w:spacing w:after="220"/>
      </w:pPr>
    </w:p>
    <w:p>
      <w:pPr>
        <w:spacing w:after="260" w:line="265"/>
      </w:pPr>
      <w:r>
        <w:rPr>
          <w:rFonts w:ascii="Cambria" w:cs="Cambria" w:eastAsia="Cambria" w:hAnsi="Cambria"/>
          <w:i/>
          <w:iCs/>
          <w:color w:val="6E6E6E"/>
          <w:sz w:val="18"/>
          <w:szCs w:val="18"/>
        </w:rPr>
        <w:t xml:space="preserve">Un R² de 0.518 confirma un hecho de negocio: el tamaño importa, pero </w:t>
      </w:r>
      <w:r>
        <w:rPr>
          <w:rFonts w:ascii="Cambria" w:cs="Cambria" w:eastAsia="Cambria" w:hAnsi="Cambria"/>
          <w:b/>
          <w:bCs/>
          <w:i/>
          <w:iCs/>
          <w:color w:val="6E6E6E"/>
          <w:sz w:val="18"/>
          <w:szCs w:val="18"/>
        </w:rPr>
        <w:t xml:space="preserve">la mitad de la variación del precio queda sin explicar</w:t>
      </w:r>
      <w:r>
        <w:rPr>
          <w:rFonts w:ascii="Cambria" w:cs="Cambria" w:eastAsia="Cambria" w:hAnsi="Cambria"/>
          <w:i/>
          <w:iCs/>
          <w:color w:val="6E6E6E"/>
          <w:sz w:val="18"/>
          <w:szCs w:val="18"/>
        </w:rPr>
        <w:t xml:space="preserve"> por un solo predictor. Esa brecha motiva pasar al modelo múltiple del paso 4. La pendiente de 116 USD/pie² es todavía la relación cruda; en el modelo múltiple se descompondrá en el efecto </w:t>
      </w:r>
      <w:r>
        <w:rPr>
          <w:rFonts w:ascii="Cambria" w:cs="Cambria" w:eastAsia="Cambria" w:hAnsi="Cambria"/>
          <w:b/>
          <w:bCs/>
          <w:i/>
          <w:iCs/>
          <w:color w:val="6E6E6E"/>
          <w:sz w:val="18"/>
          <w:szCs w:val="18"/>
        </w:rPr>
        <w:t xml:space="preserve">parcial</w:t>
      </w:r>
      <w:r>
        <w:rPr>
          <w:rFonts w:ascii="Cambria" w:cs="Cambria" w:eastAsia="Cambria" w:hAnsi="Cambria"/>
          <w:i/>
          <w:iCs/>
          <w:color w:val="6E6E6E"/>
          <w:sz w:val="18"/>
          <w:szCs w:val="18"/>
        </w:rPr>
        <w:t xml:space="preserve"> del tamaño una vez descontadas calidad, garaje, sótano y antigüedad.</w:t>
      </w:r>
    </w:p>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25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A4   </w:t>
            </w:r>
            <w:r>
              <w:rPr>
                <w:rFonts w:ascii="Calibri" w:cs="Calibri" w:eastAsia="Calibri" w:hAnsi="Calibri"/>
                <w:b/>
                <w:bCs/>
                <w:color w:val="7A1526"/>
                <w:sz w:val="19"/>
                <w:szCs w:val="19"/>
              </w:rPr>
              <w:t xml:space="preserve">Comparar con De Cock y construir el modelo múltiple con diagnóstico</w:t>
            </w:r>
          </w:p>
          <w:p>
            <w:pPr>
              <w:spacing w:line="265"/>
            </w:pPr>
            <w:r>
              <w:rPr>
                <w:rFonts w:ascii="Cambria" w:cs="Cambria" w:eastAsia="Cambria" w:hAnsi="Cambria"/>
                <w:color w:val="2D2D2D"/>
                <w:sz w:val="19"/>
                <w:szCs w:val="19"/>
              </w:rPr>
              <w:t xml:space="preserve">Confirmar los cuatro targets contra la tabla del Paso 0 dentro de tolerancia (correlación ≈ 0.71, 5 atípicas, R² simple ≈ 0.518, R² múltiple ≈ 0.847): el criterio de éxito es reproducir el </w:t>
            </w:r>
            <w:r>
              <w:rPr>
                <w:rFonts w:ascii="Cambria" w:cs="Cambria" w:eastAsia="Cambria" w:hAnsi="Cambria"/>
                <w:b/>
                <w:bCs/>
                <w:color w:val="2D2D2D"/>
                <w:sz w:val="19"/>
                <w:szCs w:val="19"/>
              </w:rPr>
              <w:t xml:space="preserve">orden de magnitud y la conclusión</w:t>
            </w:r>
            <w:r>
              <w:rPr>
                <w:rFonts w:ascii="Cambria" w:cs="Cambria" w:eastAsia="Cambria" w:hAnsi="Cambria"/>
                <w:color w:val="2D2D2D"/>
                <w:sz w:val="19"/>
                <w:szCs w:val="19"/>
              </w:rPr>
              <w:t xml:space="preserve">, no un decimal idéntico. Diagnosticar el modelo simple en nivel (residuales en </w:t>
            </w:r>
            <w:r>
              <w:rPr>
                <w:rFonts w:ascii="Cambria" w:cs="Cambria" w:eastAsia="Cambria" w:hAnsi="Cambria"/>
                <w:b/>
                <w:bCs/>
                <w:color w:val="2D2D2D"/>
                <w:sz w:val="19"/>
                <w:szCs w:val="19"/>
              </w:rPr>
              <w:t xml:space="preserve">embudo</w:t>
            </w:r>
            <w:r>
              <w:rPr>
                <w:rFonts w:ascii="Cambria" w:cs="Cambria" w:eastAsia="Cambria" w:hAnsi="Cambria"/>
                <w:color w:val="2D2D2D"/>
                <w:sz w:val="19"/>
                <w:szCs w:val="19"/>
              </w:rPr>
              <w:t xml:space="preserve">, </w:t>
            </w:r>
            <w:r>
              <w:rPr>
                <w:rFonts w:ascii="Cambria" w:cs="Cambria" w:eastAsia="Cambria" w:hAnsi="Cambria"/>
                <w:b/>
                <w:bCs/>
                <w:color w:val="2D2D2D"/>
                <w:sz w:val="19"/>
                <w:szCs w:val="19"/>
              </w:rPr>
              <w:t xml:space="preserve">Breusch-Pagan</w:t>
            </w:r>
            <w:r>
              <w:rPr>
                <w:rFonts w:ascii="Cambria" w:cs="Cambria" w:eastAsia="Cambria" w:hAnsi="Cambria"/>
                <w:color w:val="2D2D2D"/>
                <w:sz w:val="19"/>
                <w:szCs w:val="19"/>
              </w:rPr>
              <w:t xml:space="preserve">), transformar la respuesta a log(</w:t>
            </w:r>
            <w:r>
              <w:rPr>
                <w:rFonts w:ascii="Consolas" w:cs="Consolas" w:eastAsia="Consolas" w:hAnsi="Consolas"/>
                <w:color w:val="7A1526"/>
                <w:sz w:val="17"/>
                <w:szCs w:val="17"/>
              </w:rPr>
              <w:t xml:space="preserve">SalePrice</w:t>
            </w:r>
            <w:r>
              <w:rPr>
                <w:rFonts w:ascii="Cambria" w:cs="Cambria" w:eastAsia="Cambria" w:hAnsi="Cambria"/>
                <w:color w:val="2D2D2D"/>
                <w:sz w:val="19"/>
                <w:szCs w:val="19"/>
              </w:rPr>
              <w:t xml:space="preserve">) y ampliar a los 5 predictores (</w:t>
            </w:r>
            <w:r>
              <w:rPr>
                <w:rFonts w:ascii="Cambria" w:cs="Cambria" w:eastAsia="Cambria" w:hAnsi="Cambria"/>
                <w:b/>
                <w:bCs/>
                <w:color w:val="2D2D2D"/>
                <w:sz w:val="19"/>
                <w:szCs w:val="19"/>
              </w:rPr>
              <w:t xml:space="preserve">R² ≈ 0.847</w:t>
            </w:r>
            <w:r>
              <w:rPr>
                <w:rFonts w:ascii="Cambria" w:cs="Cambria" w:eastAsia="Cambria" w:hAnsi="Cambria"/>
                <w:color w:val="2D2D2D"/>
                <w:sz w:val="19"/>
                <w:szCs w:val="19"/>
              </w:rPr>
              <w:t xml:space="preserve">, target #4). Calcular VIF, Durbin-Watson, la distancia de Cook y el Q-Q / Jarque-Bera, y completar </w:t>
            </w:r>
            <w:r>
              <w:rPr>
                <w:rFonts w:ascii="Consolas" w:cs="Consolas" w:eastAsia="Consolas" w:hAnsi="Consolas"/>
                <w:color w:val="7A1526"/>
                <w:sz w:val="17"/>
                <w:szCs w:val="17"/>
              </w:rPr>
              <w:t xml:space="preserve">plantillas/checklist_diagnostico_regresion.docx</w:t>
            </w:r>
            <w:r>
              <w:rPr>
                <w:rFonts w:ascii="Cambria" w:cs="Cambria" w:eastAsia="Cambria" w:hAnsi="Cambria"/>
                <w:color w:val="2D2D2D"/>
                <w:sz w:val="19"/>
                <w:szCs w:val="19"/>
              </w:rPr>
              <w:t xml:space="preserve"> con el resultado de cada prueba y la decisión que desencadena.</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Los targets #1–#4 confirmados dentro de tolerancia; el modelo </w:t>
            </w:r>
            <w:r>
              <w:rPr>
                <w:rFonts w:ascii="Consolas" w:cs="Consolas" w:eastAsia="Consolas" w:hAnsi="Consolas"/>
                <w:color w:val="7A1526"/>
                <w:sz w:val="17"/>
                <w:szCs w:val="17"/>
              </w:rPr>
              <w:t xml:space="preserve">log(SalePrice) ~ 5 predictores</w:t>
            </w:r>
            <w:r>
              <w:rPr>
                <w:rFonts w:ascii="Cambria" w:cs="Cambria" w:eastAsia="Cambria" w:hAnsi="Cambria"/>
                <w:color w:val="2D2D2D"/>
                <w:sz w:val="19"/>
                <w:szCs w:val="19"/>
              </w:rPr>
              <w:t xml:space="preserve"> ajustado (R² ≈ 0.847) y su diagnóstico completo (VIF, Breusch-Pagan, robustos HC3, Cook) registrado con </w:t>
            </w:r>
            <w:r>
              <w:rPr>
                <w:rFonts w:ascii="Consolas" w:cs="Consolas" w:eastAsia="Consolas" w:hAnsi="Consolas"/>
                <w:color w:val="7A1526"/>
                <w:sz w:val="17"/>
                <w:szCs w:val="17"/>
              </w:rPr>
              <w:t xml:space="preserve">plantillas/checklist_diagnostico_regresion.docx</w:t>
            </w:r>
            <w:r>
              <w:rPr>
                <w:rFonts w:ascii="Cambria" w:cs="Cambria" w:eastAsia="Cambria" w:hAnsi="Cambria"/>
                <w:color w:val="2D2D2D"/>
                <w:sz w:val="19"/>
                <w:szCs w:val="19"/>
              </w:rPr>
              <w:t xml:space="preserve">.</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1.4   </w:t>
            </w:r>
            <w:r>
              <w:rPr>
                <w:rFonts w:ascii="Calibri" w:cs="Calibri" w:eastAsia="Calibri" w:hAnsi="Calibri"/>
                <w:b/>
                <w:bCs/>
                <w:color w:val="7A1526"/>
                <w:sz w:val="19"/>
                <w:szCs w:val="19"/>
              </w:rPr>
              <w:t xml:space="preserve">Heterocedasticidad y errores estándar robustos (HC3)</w:t>
            </w:r>
          </w:p>
          <w:p>
            <w:pPr>
              <w:spacing w:after="70" w:line="265"/>
            </w:pPr>
            <w:r>
              <w:rPr>
                <w:rFonts w:ascii="Cambria" w:cs="Cambria" w:eastAsia="Cambria" w:hAnsi="Cambria"/>
                <w:color w:val="3A3A3A"/>
                <w:sz w:val="18"/>
                <w:szCs w:val="18"/>
              </w:rPr>
              <w:t xml:space="preserve">Antes de ampliar, los residuales del modelo </w:t>
            </w:r>
            <w:r>
              <w:rPr>
                <w:rFonts w:ascii="Consolas" w:cs="Consolas" w:eastAsia="Consolas" w:hAnsi="Consolas"/>
                <w:color w:val="7A1526"/>
                <w:sz w:val="16"/>
                <w:szCs w:val="16"/>
              </w:rPr>
              <w:t xml:space="preserve">SalePrice ~ Gr Liv Area</w:t>
            </w:r>
            <w:r>
              <w:rPr>
                <w:rFonts w:ascii="Cambria" w:cs="Cambria" w:eastAsia="Cambria" w:hAnsi="Cambria"/>
                <w:color w:val="3A3A3A"/>
                <w:sz w:val="18"/>
                <w:szCs w:val="18"/>
              </w:rPr>
              <w:t xml:space="preserve"> forman un </w:t>
            </w:r>
            <w:r>
              <w:rPr>
                <w:rFonts w:ascii="Cambria" w:cs="Cambria" w:eastAsia="Cambria" w:hAnsi="Cambria"/>
                <w:b/>
                <w:bCs/>
                <w:color w:val="3A3A3A"/>
                <w:sz w:val="18"/>
                <w:szCs w:val="18"/>
              </w:rPr>
              <w:t xml:space="preserve">embudo</w:t>
            </w:r>
            <w:r>
              <w:rPr>
                <w:rFonts w:ascii="Cambria" w:cs="Cambria" w:eastAsia="Cambria" w:hAnsi="Cambria"/>
                <w:color w:val="3A3A3A"/>
                <w:sz w:val="18"/>
                <w:szCs w:val="18"/>
              </w:rPr>
              <w:t xml:space="preserve"> (varianza creciente) que delata </w:t>
            </w:r>
            <w:r>
              <w:rPr>
                <w:rFonts w:ascii="Cambria" w:cs="Cambria" w:eastAsia="Cambria" w:hAnsi="Cambria"/>
                <w:b/>
                <w:bCs/>
                <w:color w:val="3A3A3A"/>
                <w:sz w:val="18"/>
                <w:szCs w:val="18"/>
              </w:rPr>
              <w:t xml:space="preserve">heterocedasticidad</w:t>
            </w:r>
            <w:r>
              <w:rPr>
                <w:rFonts w:ascii="Cambria" w:cs="Cambria" w:eastAsia="Cambria" w:hAnsi="Cambria"/>
                <w:color w:val="3A3A3A"/>
                <w:sz w:val="18"/>
                <w:szCs w:val="18"/>
              </w:rPr>
              <w:t xml:space="preserve">. La prueba de </w:t>
            </w:r>
            <w:r>
              <w:rPr>
                <w:rFonts w:ascii="Cambria" w:cs="Cambria" w:eastAsia="Cambria" w:hAnsi="Cambria"/>
                <w:b/>
                <w:bCs/>
                <w:color w:val="3A3A3A"/>
                <w:sz w:val="18"/>
                <w:szCs w:val="18"/>
              </w:rPr>
              <w:t xml:space="preserve">Breusch-Pagan</w:t>
            </w:r>
            <w:r>
              <w:rPr>
                <w:rFonts w:ascii="Cambria" w:cs="Cambria" w:eastAsia="Cambria" w:hAnsi="Cambria"/>
                <w:color w:val="3A3A3A"/>
                <w:sz w:val="18"/>
                <w:szCs w:val="18"/>
              </w:rPr>
              <w:t xml:space="preserve"> lo confirma con dureza: </w:t>
            </w:r>
            <w:r>
              <w:rPr>
                <w:rFonts w:ascii="Cambria" w:cs="Cambria" w:eastAsia="Cambria" w:hAnsi="Cambria"/>
                <w:b/>
                <w:bCs/>
                <w:color w:val="3A3A3A"/>
                <w:sz w:val="18"/>
                <w:szCs w:val="18"/>
              </w:rPr>
              <w:t xml:space="preserve">LM = 440.6, p ≈ 8·10⁻⁹⁸</w:t>
            </w:r>
            <w:r>
              <w:rPr>
                <w:rFonts w:ascii="Cambria" w:cs="Cambria" w:eastAsia="Cambria" w:hAnsi="Cambria"/>
                <w:color w:val="3A3A3A"/>
                <w:sz w:val="18"/>
                <w:szCs w:val="18"/>
              </w:rPr>
              <w:t xml:space="preserve"> (se rechaza la homocedasticidad). Con heterocedasticidad, los errores estándar clásicos están mal: el SE de </w:t>
            </w:r>
            <w:r>
              <w:rPr>
                <w:rFonts w:ascii="Consolas" w:cs="Consolas" w:eastAsia="Consolas" w:hAnsi="Consolas"/>
                <w:color w:val="7A1526"/>
                <w:sz w:val="16"/>
                <w:szCs w:val="16"/>
              </w:rPr>
              <w:t xml:space="preserve">Gr Liv Area</w:t>
            </w:r>
            <w:r>
              <w:rPr>
                <w:rFonts w:ascii="Cambria" w:cs="Cambria" w:eastAsia="Cambria" w:hAnsi="Cambria"/>
                <w:color w:val="3A3A3A"/>
                <w:sz w:val="18"/>
                <w:szCs w:val="18"/>
              </w:rPr>
              <w:t xml:space="preserve"> pasa de </w:t>
            </w:r>
            <w:r>
              <w:rPr>
                <w:rFonts w:ascii="Cambria" w:cs="Cambria" w:eastAsia="Cambria" w:hAnsi="Cambria"/>
                <w:b/>
                <w:bCs/>
                <w:color w:val="3A3A3A"/>
                <w:sz w:val="18"/>
                <w:szCs w:val="18"/>
              </w:rPr>
              <w:t xml:space="preserve">OLS = 2.08</w:t>
            </w:r>
            <w:r>
              <w:rPr>
                <w:rFonts w:ascii="Cambria" w:cs="Cambria" w:eastAsia="Cambria" w:hAnsi="Cambria"/>
                <w:color w:val="3A3A3A"/>
                <w:sz w:val="18"/>
                <w:szCs w:val="18"/>
              </w:rPr>
              <w:t xml:space="preserve"> a </w:t>
            </w:r>
            <w:r>
              <w:rPr>
                <w:rFonts w:ascii="Cambria" w:cs="Cambria" w:eastAsia="Cambria" w:hAnsi="Cambria"/>
                <w:b/>
                <w:bCs/>
                <w:color w:val="3A3A3A"/>
                <w:sz w:val="18"/>
                <w:szCs w:val="18"/>
              </w:rPr>
              <w:t xml:space="preserve">HC3 = 3.01</w:t>
            </w:r>
            <w:r>
              <w:rPr>
                <w:rFonts w:ascii="Cambria" w:cs="Cambria" w:eastAsia="Cambria" w:hAnsi="Cambria"/>
                <w:color w:val="3A3A3A"/>
                <w:sz w:val="18"/>
                <w:szCs w:val="18"/>
              </w:rPr>
              <w:t xml:space="preserve"> (≈ +45 %), es decir, el clásico </w:t>
            </w:r>
            <w:r>
              <w:rPr>
                <w:rFonts w:ascii="Cambria" w:cs="Cambria" w:eastAsia="Cambria" w:hAnsi="Cambria"/>
                <w:b/>
                <w:bCs/>
                <w:color w:val="3A3A3A"/>
                <w:sz w:val="18"/>
                <w:szCs w:val="18"/>
              </w:rPr>
              <w:t xml:space="preserve">subestima</w:t>
            </w:r>
            <w:r>
              <w:rPr>
                <w:rFonts w:ascii="Cambria" w:cs="Cambria" w:eastAsia="Cambria" w:hAnsi="Cambria"/>
                <w:color w:val="3A3A3A"/>
                <w:sz w:val="18"/>
                <w:szCs w:val="18"/>
              </w:rPr>
              <w:t xml:space="preserve"> la incertidumbre. Los coeficientes no cambian; cambian sus SE, t y p-valores.</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1.5   </w:t>
            </w:r>
            <w:r>
              <w:rPr>
                <w:rFonts w:ascii="Calibri" w:cs="Calibri" w:eastAsia="Calibri" w:hAnsi="Calibri"/>
                <w:b/>
                <w:bCs/>
                <w:color w:val="7A1526"/>
                <w:sz w:val="19"/>
                <w:szCs w:val="19"/>
              </w:rPr>
              <w:t xml:space="preserve">El R² en nivel y el R² en log no son comparables: la comparación válida es en dólares</w:t>
            </w:r>
          </w:p>
          <w:p>
            <w:pPr>
              <w:spacing w:after="70" w:line="265"/>
            </w:pPr>
            <w:r>
              <w:rPr>
                <w:rFonts w:ascii="Cambria" w:cs="Cambria" w:eastAsia="Cambria" w:hAnsi="Cambria"/>
                <w:color w:val="3A3A3A"/>
                <w:sz w:val="18"/>
                <w:szCs w:val="18"/>
              </w:rPr>
              <w:t xml:space="preserve">Pasar la respuesta a log(</w:t>
            </w:r>
            <w:r>
              <w:rPr>
                <w:rFonts w:ascii="Consolas" w:cs="Consolas" w:eastAsia="Consolas" w:hAnsi="Consolas"/>
                <w:color w:val="7A1526"/>
                <w:sz w:val="16"/>
                <w:szCs w:val="16"/>
              </w:rPr>
              <w:t xml:space="preserve">SalePrice</w:t>
            </w:r>
            <w:r>
              <w:rPr>
                <w:rFonts w:ascii="Cambria" w:cs="Cambria" w:eastAsia="Cambria" w:hAnsi="Cambria"/>
                <w:color w:val="3A3A3A"/>
                <w:sz w:val="18"/>
                <w:szCs w:val="18"/>
              </w:rPr>
              <w:t xml:space="preserve">) (estabiliza la varianza y convierte los coeficientes en cambios porcentuales) y ajustar el modelo múltiple con los 5 predictores da </w:t>
            </w:r>
            <w:r>
              <w:rPr>
                <w:rFonts w:ascii="Cambria" w:cs="Cambria" w:eastAsia="Cambria" w:hAnsi="Cambria"/>
                <w:b/>
                <w:bCs/>
                <w:color w:val="3A3A3A"/>
                <w:sz w:val="18"/>
                <w:szCs w:val="18"/>
              </w:rPr>
              <w:t xml:space="preserve">R² ≈ 0.847</w:t>
            </w:r>
            <w:r>
              <w:rPr>
                <w:rFonts w:ascii="Cambria" w:cs="Cambria" w:eastAsia="Cambria" w:hAnsi="Cambria"/>
                <w:color w:val="3A3A3A"/>
                <w:sz w:val="18"/>
                <w:szCs w:val="18"/>
              </w:rPr>
              <w:t xml:space="preserve"> (target #4), </w:t>
            </w:r>
            <w:r>
              <w:rPr>
                <w:rFonts w:ascii="Cambria" w:cs="Cambria" w:eastAsia="Cambria" w:hAnsi="Cambria"/>
                <w:b/>
                <w:bCs/>
                <w:color w:val="3A3A3A"/>
                <w:sz w:val="18"/>
                <w:szCs w:val="18"/>
              </w:rPr>
              <w:t xml:space="preserve">F ≈ 3228, p &lt; 0.001</w:t>
            </w:r>
            <w:r>
              <w:rPr>
                <w:rFonts w:ascii="Cambria" w:cs="Cambria" w:eastAsia="Cambria" w:hAnsi="Cambria"/>
                <w:color w:val="3A3A3A"/>
                <w:sz w:val="18"/>
                <w:szCs w:val="18"/>
              </w:rPr>
              <w:t xml:space="preserve">.</w:t>
            </w:r>
          </w:p>
          <w:p>
            <w:pPr>
              <w:spacing w:after="70" w:line="265"/>
            </w:pPr>
            <w:r>
              <w:rPr>
                <w:rFonts w:ascii="Cambria" w:cs="Cambria" w:eastAsia="Cambria" w:hAnsi="Cambria"/>
                <w:color w:val="3A3A3A"/>
                <w:sz w:val="18"/>
                <w:szCs w:val="18"/>
              </w:rPr>
              <w:t xml:space="preserve">Aviso: </w:t>
            </w:r>
            <w:r>
              <w:rPr>
                <w:rFonts w:ascii="Cambria" w:cs="Cambria" w:eastAsia="Cambria" w:hAnsi="Cambria"/>
                <w:b/>
                <w:bCs/>
                <w:color w:val="3A3A3A"/>
                <w:sz w:val="18"/>
                <w:szCs w:val="18"/>
              </w:rPr>
              <w:t xml:space="preserve">el R² en NIVEL y el R² en LOG no son comparables</w:t>
            </w:r>
            <w:r>
              <w:rPr>
                <w:rFonts w:ascii="Cambria" w:cs="Cambria" w:eastAsia="Cambria" w:hAnsi="Cambria"/>
                <w:color w:val="3A3A3A"/>
                <w:sz w:val="18"/>
                <w:szCs w:val="18"/>
              </w:rPr>
              <w:t xml:space="preserve">. El 0.518 del modelo simple mide la varianza explicada de </w:t>
            </w:r>
            <w:r>
              <w:rPr>
                <w:rFonts w:ascii="Consolas" w:cs="Consolas" w:eastAsia="Consolas" w:hAnsi="Consolas"/>
                <w:color w:val="7A1526"/>
                <w:sz w:val="16"/>
                <w:szCs w:val="16"/>
              </w:rPr>
              <w:t xml:space="preserve">SalePrice</w:t>
            </w:r>
            <w:r>
              <w:rPr>
                <w:rFonts w:ascii="Cambria" w:cs="Cambria" w:eastAsia="Cambria" w:hAnsi="Cambria"/>
                <w:color w:val="3A3A3A"/>
                <w:sz w:val="18"/>
                <w:szCs w:val="18"/>
              </w:rPr>
              <w:t xml:space="preserve"> (USD) y el 0.847 del múltiple, la de log(</w:t>
            </w:r>
            <w:r>
              <w:rPr>
                <w:rFonts w:ascii="Consolas" w:cs="Consolas" w:eastAsia="Consolas" w:hAnsi="Consolas"/>
                <w:color w:val="7A1526"/>
                <w:sz w:val="16"/>
                <w:szCs w:val="16"/>
              </w:rPr>
              <w:t xml:space="preserve">SalePrice</w:t>
            </w:r>
            <w:r>
              <w:rPr>
                <w:rFonts w:ascii="Cambria" w:cs="Cambria" w:eastAsia="Cambria" w:hAnsi="Cambria"/>
                <w:color w:val="3A3A3A"/>
                <w:sz w:val="18"/>
                <w:szCs w:val="18"/>
              </w:rPr>
              <w:t xml:space="preserve">): </w:t>
            </w:r>
            <w:r>
              <w:rPr>
                <w:rFonts w:ascii="Cambria" w:cs="Cambria" w:eastAsia="Cambria" w:hAnsi="Cambria"/>
                <w:b/>
                <w:bCs/>
                <w:color w:val="3A3A3A"/>
                <w:sz w:val="18"/>
                <w:szCs w:val="18"/>
              </w:rPr>
              <w:t xml:space="preserve">denominadores distintos</w:t>
            </w:r>
            <w:r>
              <w:rPr>
                <w:rFonts w:ascii="Cambria" w:cs="Cambria" w:eastAsia="Cambria" w:hAnsi="Cambria"/>
                <w:color w:val="3A3A3A"/>
                <w:sz w:val="18"/>
                <w:szCs w:val="18"/>
              </w:rPr>
              <w:t xml:space="preserve">, respuestas distintas. Por eso «0.518 </w:t>
            </w:r>
            <w:r>
              <w:rPr>
                <w:rFonts w:ascii="Calibri" w:cs="Calibri" w:eastAsia="Calibri" w:hAnsi="Calibri"/>
                <w:color w:val="3A3A3A"/>
                <w:sz w:val="18"/>
                <w:szCs w:val="18"/>
              </w:rPr>
              <w:t xml:space="preserve">→</w:t>
            </w:r>
            <w:r>
              <w:rPr>
                <w:rFonts w:ascii="Cambria" w:cs="Cambria" w:eastAsia="Cambria" w:hAnsi="Cambria"/>
                <w:color w:val="3A3A3A"/>
                <w:sz w:val="18"/>
                <w:szCs w:val="18"/>
              </w:rPr>
              <w:t xml:space="preserve"> 0.847» </w:t>
            </w:r>
            <w:r>
              <w:rPr>
                <w:rFonts w:ascii="Cambria" w:cs="Cambria" w:eastAsia="Cambria" w:hAnsi="Cambria"/>
                <w:b/>
                <w:bCs/>
                <w:color w:val="3A3A3A"/>
                <w:sz w:val="18"/>
                <w:szCs w:val="18"/>
              </w:rPr>
              <w:t xml:space="preserve">no</w:t>
            </w:r>
            <w:r>
              <w:rPr>
                <w:rFonts w:ascii="Cambria" w:cs="Cambria" w:eastAsia="Cambria" w:hAnsi="Cambria"/>
                <w:color w:val="3A3A3A"/>
                <w:sz w:val="18"/>
                <w:szCs w:val="18"/>
              </w:rPr>
              <w:t xml:space="preserve"> es un incremento de poder explicativo del mismo objeto y no debe leerse como «casi lo duplica». Lo mismo vale para el par 0.820 (múltiple en </w:t>
            </w:r>
            <w:r>
              <w:rPr>
                <w:rFonts w:ascii="Cambria" w:cs="Cambria" w:eastAsia="Cambria" w:hAnsi="Cambria"/>
                <w:b/>
                <w:bCs/>
                <w:color w:val="3A3A3A"/>
                <w:sz w:val="18"/>
                <w:szCs w:val="18"/>
              </w:rPr>
              <w:t xml:space="preserve">nivel</w:t>
            </w:r>
            <w:r>
              <w:rPr>
                <w:rFonts w:ascii="Cambria" w:cs="Cambria" w:eastAsia="Cambria" w:hAnsi="Cambria"/>
                <w:color w:val="3A3A3A"/>
                <w:sz w:val="18"/>
                <w:szCs w:val="18"/>
              </w:rPr>
              <w:t xml:space="preserve">) frente a 0.847 (múltiple en </w:t>
            </w:r>
            <w:r>
              <w:rPr>
                <w:rFonts w:ascii="Cambria" w:cs="Cambria" w:eastAsia="Cambria" w:hAnsi="Cambria"/>
                <w:b/>
                <w:bCs/>
                <w:color w:val="3A3A3A"/>
                <w:sz w:val="18"/>
                <w:szCs w:val="18"/>
              </w:rPr>
              <w:t xml:space="preserve">log</w:t>
            </w:r>
            <w:r>
              <w:rPr>
                <w:rFonts w:ascii="Cambria" w:cs="Cambria" w:eastAsia="Cambria" w:hAnsi="Cambria"/>
                <w:color w:val="3A3A3A"/>
                <w:sz w:val="18"/>
                <w:szCs w:val="18"/>
              </w:rPr>
              <w:t xml:space="preserve">): la diferencia no mide el aporte del log.</w:t>
            </w:r>
          </w:p>
          <w:p>
            <w:pPr>
              <w:spacing w:after="70" w:line="265"/>
            </w:pPr>
            <w:r>
              <w:rPr>
                <w:rFonts w:ascii="Cambria" w:cs="Cambria" w:eastAsia="Cambria" w:hAnsi="Cambria"/>
                <w:color w:val="3A3A3A"/>
                <w:sz w:val="18"/>
                <w:szCs w:val="18"/>
              </w:rPr>
              <w:t xml:space="preserve">Corrección: </w:t>
            </w:r>
            <w:r>
              <w:rPr>
                <w:rFonts w:ascii="Cambria" w:cs="Cambria" w:eastAsia="Cambria" w:hAnsi="Cambria"/>
                <w:b/>
                <w:bCs/>
                <w:color w:val="3A3A3A"/>
                <w:sz w:val="18"/>
                <w:szCs w:val="18"/>
              </w:rPr>
              <w:t xml:space="preserve">la comparación válida ya está hecha, en dólares</w:t>
            </w:r>
            <w:r>
              <w:rPr>
                <w:rFonts w:ascii="Cambria" w:cs="Cambria" w:eastAsia="Cambria" w:hAnsi="Cambria"/>
                <w:color w:val="3A3A3A"/>
                <w:sz w:val="18"/>
                <w:szCs w:val="18"/>
              </w:rPr>
              <w:t xml:space="preserve">. Para enfrentar ambos modelos hay que llevarlos a la </w:t>
            </w:r>
            <w:r>
              <w:rPr>
                <w:rFonts w:ascii="Cambria" w:cs="Cambria" w:eastAsia="Cambria" w:hAnsi="Cambria"/>
                <w:b/>
                <w:bCs/>
                <w:color w:val="3A3A3A"/>
                <w:sz w:val="18"/>
                <w:szCs w:val="18"/>
              </w:rPr>
              <w:t xml:space="preserve">misma escala</w:t>
            </w:r>
            <w:r>
              <w:rPr>
                <w:rFonts w:ascii="Cambria" w:cs="Cambria" w:eastAsia="Cambria" w:hAnsi="Cambria"/>
                <w:color w:val="3A3A3A"/>
                <w:sz w:val="18"/>
                <w:szCs w:val="18"/>
              </w:rPr>
              <w:t xml:space="preserve">, y eso exige </w:t>
            </w:r>
            <w:r>
              <w:rPr>
                <w:rFonts w:ascii="Cambria" w:cs="Cambria" w:eastAsia="Cambria" w:hAnsi="Cambria"/>
                <w:b/>
                <w:bCs/>
                <w:color w:val="3A3A3A"/>
                <w:sz w:val="18"/>
                <w:szCs w:val="18"/>
              </w:rPr>
              <w:t xml:space="preserve">retransformar</w:t>
            </w:r>
            <w:r>
              <w:rPr>
                <w:rFonts w:ascii="Cambria" w:cs="Cambria" w:eastAsia="Cambria" w:hAnsi="Cambria"/>
                <w:color w:val="3A3A3A"/>
                <w:sz w:val="18"/>
                <w:szCs w:val="18"/>
              </w:rPr>
              <w:t xml:space="preserve"> las predicciones del modelo en log a USD. No basta con exp: la media del log no es el log de la media, así que exp sin corrección </w:t>
            </w:r>
            <w:r>
              <w:rPr>
                <w:rFonts w:ascii="Cambria" w:cs="Cambria" w:eastAsia="Cambria" w:hAnsi="Cambria"/>
                <w:b/>
                <w:bCs/>
                <w:color w:val="3A3A3A"/>
                <w:sz w:val="18"/>
                <w:szCs w:val="18"/>
              </w:rPr>
              <w:t xml:space="preserve">subestima</w:t>
            </w:r>
            <w:r>
              <w:rPr>
                <w:rFonts w:ascii="Cambria" w:cs="Cambria" w:eastAsia="Cambria" w:hAnsi="Cambria"/>
                <w:color w:val="3A3A3A"/>
                <w:sz w:val="18"/>
                <w:szCs w:val="18"/>
              </w:rPr>
              <w:t xml:space="preserve"> el precio esperado. La corrección estándar es el </w:t>
            </w:r>
            <w:r>
              <w:rPr>
                <w:rFonts w:ascii="Cambria" w:cs="Cambria" w:eastAsia="Cambria" w:hAnsi="Cambria"/>
                <w:b/>
                <w:bCs/>
                <w:color w:val="3A3A3A"/>
                <w:sz w:val="18"/>
                <w:szCs w:val="18"/>
              </w:rPr>
              <w:t xml:space="preserve">factor de smearing de Duan (1983)</w:t>
            </w:r>
            <w:r>
              <w:rPr>
                <w:rFonts w:ascii="Cambria" w:cs="Cambria" w:eastAsia="Cambria" w:hAnsi="Cambria"/>
                <w:color w:val="3A3A3A"/>
                <w:sz w:val="18"/>
                <w:szCs w:val="18"/>
              </w:rPr>
              <w:t xml:space="preserve"> — S = media(e^ε̂), aquí </w:t>
            </w:r>
            <w:r>
              <w:rPr>
                <w:rFonts w:ascii="Cambria" w:cs="Cambria" w:eastAsia="Cambria" w:hAnsi="Cambria"/>
                <w:b/>
                <w:bCs/>
                <w:color w:val="3A3A3A"/>
                <w:sz w:val="18"/>
                <w:szCs w:val="18"/>
              </w:rPr>
              <w:t xml:space="preserve">S = 1.0119 (+1.19 %)</w:t>
            </w:r>
            <w:r>
              <w:rPr>
                <w:rFonts w:ascii="Cambria" w:cs="Cambria" w:eastAsia="Cambria" w:hAnsi="Cambria"/>
                <w:color w:val="3A3A3A"/>
                <w:sz w:val="18"/>
                <w:szCs w:val="18"/>
              </w:rPr>
              <w:t xml:space="preserve">, estimado </w:t>
            </w:r>
            <w:r>
              <w:rPr>
                <w:rFonts w:ascii="Cambria" w:cs="Cambria" w:eastAsia="Cambria" w:hAnsi="Cambria"/>
                <w:b/>
                <w:bCs/>
                <w:color w:val="3A3A3A"/>
                <w:sz w:val="18"/>
                <w:szCs w:val="18"/>
              </w:rPr>
              <w:t xml:space="preserve">solo con el fold de entrenamiento</w:t>
            </w:r>
            <w:r>
              <w:rPr>
                <w:rFonts w:ascii="Cambria" w:cs="Cambria" w:eastAsia="Cambria" w:hAnsi="Cambria"/>
                <w:color w:val="3A3A3A"/>
                <w:sz w:val="18"/>
                <w:szCs w:val="18"/>
              </w:rPr>
              <w:t xml:space="preserve"> para no filtrar información — y se aplica como Ê[y|X] = e^(Xβ̂)·S. Con esa corrección, el modelo en log rinde </w:t>
            </w:r>
            <w:r>
              <w:rPr>
                <w:rFonts w:ascii="Cambria" w:cs="Cambria" w:eastAsia="Cambria" w:hAnsi="Cambria"/>
                <w:b/>
                <w:bCs/>
                <w:color w:val="3A3A3A"/>
                <w:sz w:val="18"/>
                <w:szCs w:val="18"/>
              </w:rPr>
              <w:t xml:space="preserve">RMSE de CV = 27 281.55 ± 1 275.74 USD</w:t>
            </w:r>
            <w:r>
              <w:rPr>
                <w:rFonts w:ascii="Cambria" w:cs="Cambria" w:eastAsia="Cambria" w:hAnsi="Cambria"/>
                <w:color w:val="3A3A3A"/>
                <w:sz w:val="18"/>
                <w:szCs w:val="18"/>
              </w:rPr>
              <w:t xml:space="preserve"> frente a </w:t>
            </w:r>
            <w:r>
              <w:rPr>
                <w:rFonts w:ascii="Cambria" w:cs="Cambria" w:eastAsia="Cambria" w:hAnsi="Cambria"/>
                <w:b/>
                <w:bCs/>
                <w:color w:val="3A3A3A"/>
                <w:sz w:val="18"/>
                <w:szCs w:val="18"/>
              </w:rPr>
              <w:t xml:space="preserve">33 308.46 USD</w:t>
            </w:r>
            <w:r>
              <w:rPr>
                <w:rFonts w:ascii="Cambria" w:cs="Cambria" w:eastAsia="Cambria" w:hAnsi="Cambria"/>
                <w:color w:val="3A3A3A"/>
                <w:sz w:val="18"/>
                <w:szCs w:val="18"/>
              </w:rPr>
              <w:t xml:space="preserve"> del múltiple en nivel: </w:t>
            </w:r>
            <w:r>
              <w:rPr>
                <w:rFonts w:ascii="Cambria" w:cs="Cambria" w:eastAsia="Cambria" w:hAnsi="Cambria"/>
                <w:b/>
                <w:bCs/>
                <w:color w:val="3A3A3A"/>
                <w:sz w:val="18"/>
                <w:szCs w:val="18"/>
              </w:rPr>
              <w:t xml:space="preserve">6 026.91 USD menos de error por tasación (−18.09 %)</w:t>
            </w:r>
            <w:r>
              <w:rPr>
                <w:rFonts w:ascii="Cambria" w:cs="Cambria" w:eastAsia="Cambria" w:hAnsi="Cambria"/>
                <w:color w:val="3A3A3A"/>
                <w:sz w:val="18"/>
                <w:szCs w:val="18"/>
              </w:rPr>
              <w:t xml:space="preserve">. (Olvidar el smearing y usar exp sin corrección da 27 345.22: cuesta </w:t>
            </w:r>
            <w:r>
              <w:rPr>
                <w:rFonts w:ascii="Cambria" w:cs="Cambria" w:eastAsia="Cambria" w:hAnsi="Cambria"/>
                <w:b/>
                <w:bCs/>
                <w:color w:val="3A3A3A"/>
                <w:sz w:val="18"/>
                <w:szCs w:val="18"/>
              </w:rPr>
              <w:t xml:space="preserve">63.67 USD</w:t>
            </w:r>
            <w:r>
              <w:rPr>
                <w:rFonts w:ascii="Cambria" w:cs="Cambria" w:eastAsia="Cambria" w:hAnsi="Cambria"/>
                <w:color w:val="3A3A3A"/>
                <w:sz w:val="18"/>
                <w:szCs w:val="18"/>
              </w:rPr>
              <w:t xml:space="preserve"> de RMSE y ≈ 1.2 % de sesgo a la baja.) Cifras en </w:t>
            </w:r>
            <w:r>
              <w:rPr>
                <w:rFonts w:ascii="Consolas" w:cs="Consolas" w:eastAsia="Consolas" w:hAnsi="Consolas"/>
                <w:color w:val="7A1526"/>
                <w:sz w:val="16"/>
                <w:szCs w:val="16"/>
              </w:rPr>
              <w:t xml:space="preserve">resultados/S04_resultados.xlsx</w:t>
            </w:r>
            <w:r>
              <w:rPr>
                <w:rFonts w:ascii="Cambria" w:cs="Cambria" w:eastAsia="Cambria" w:hAnsi="Cambria"/>
                <w:color w:val="3A3A3A"/>
                <w:sz w:val="18"/>
                <w:szCs w:val="18"/>
              </w:rPr>
              <w:t xml:space="preserve">, hoja </w:t>
            </w:r>
            <w:r>
              <w:rPr>
                <w:rFonts w:ascii="Consolas" w:cs="Consolas" w:eastAsia="Consolas" w:hAnsi="Consolas"/>
                <w:color w:val="7A1526"/>
                <w:sz w:val="16"/>
                <w:szCs w:val="16"/>
              </w:rPr>
              <w:t xml:space="preserve">retransformacion_duan</w:t>
            </w:r>
            <w:r>
              <w:rPr>
                <w:rFonts w:ascii="Cambria" w:cs="Cambria" w:eastAsia="Cambria" w:hAnsi="Cambria"/>
                <w:color w:val="3A3A3A"/>
                <w:sz w:val="18"/>
                <w:szCs w:val="18"/>
              </w:rPr>
              <w:t xml:space="preserve">. </w:t>
            </w:r>
            <w:r>
              <w:rPr>
                <w:rFonts w:ascii="Cambria" w:cs="Cambria" w:eastAsia="Cambria" w:hAnsi="Cambria"/>
                <w:b/>
                <w:bCs/>
                <w:color w:val="3A3A3A"/>
                <w:sz w:val="18"/>
                <w:szCs w:val="18"/>
              </w:rPr>
              <w:t xml:space="preserve">Conclusión:</w:t>
            </w:r>
            <w:r>
              <w:rPr>
                <w:rFonts w:ascii="Cambria" w:cs="Cambria" w:eastAsia="Cambria" w:hAnsi="Cambria"/>
                <w:color w:val="3A3A3A"/>
                <w:sz w:val="18"/>
                <w:szCs w:val="18"/>
              </w:rPr>
              <w:t xml:space="preserve"> el log no gana «más R²» — gana </w:t>
            </w:r>
            <w:r>
              <w:rPr>
                <w:rFonts w:ascii="Cambria" w:cs="Cambria" w:eastAsia="Cambria" w:hAnsi="Cambria"/>
                <w:b/>
                <w:bCs/>
                <w:color w:val="3A3A3A"/>
                <w:sz w:val="18"/>
                <w:szCs w:val="18"/>
              </w:rPr>
              <w:t xml:space="preserve">dólares</w:t>
            </w:r>
            <w:r>
              <w:rPr>
                <w:rFonts w:ascii="Cambria" w:cs="Cambria" w:eastAsia="Cambria" w:hAnsi="Cambria"/>
                <w:color w:val="3A3A3A"/>
                <w:sz w:val="18"/>
                <w:szCs w:val="18"/>
              </w:rPr>
              <w:t xml:space="preserve"> —, y eso solo puede afirmarse después de retransformar.</w:t>
            </w:r>
          </w:p>
          <w:p>
            <w:pPr>
              <w:spacing w:after="70" w:line="265"/>
            </w:pPr>
            <w:r>
              <w:rPr>
                <w:rFonts w:ascii="Cambria" w:cs="Cambria" w:eastAsia="Cambria" w:hAnsi="Cambria"/>
                <w:color w:val="3A3A3A"/>
                <w:sz w:val="18"/>
                <w:szCs w:val="18"/>
              </w:rPr>
              <w:t xml:space="preserve">Al pasar del simple en nivel al múltiple en log, el estadístico de Breusch-Pagan cae de 440.6 a ~83. Atención a la atribución: la caída es del </w:t>
            </w:r>
            <w:r>
              <w:rPr>
                <w:rFonts w:ascii="Cambria" w:cs="Cambria" w:eastAsia="Cambria" w:hAnsi="Cambria"/>
                <w:b/>
                <w:bCs/>
                <w:color w:val="3A3A3A"/>
                <w:sz w:val="18"/>
                <w:szCs w:val="18"/>
              </w:rPr>
              <w:t xml:space="preserve">log junto con el cambio de especificación</w:t>
            </w:r>
            <w:r>
              <w:rPr>
                <w:rFonts w:ascii="Cambria" w:cs="Cambria" w:eastAsia="Cambria" w:hAnsi="Cambria"/>
                <w:color w:val="3A3A3A"/>
                <w:sz w:val="18"/>
                <w:szCs w:val="18"/>
              </w:rPr>
              <w:t xml:space="preserve"> (el modelo destino añade 4 predictores), no del log por sí solo — la comparación cruza dos modelos distintos, aunque el log sí ataca directamente el embudo. Aun así, el modelo múltiple en log </w:t>
            </w:r>
            <w:r>
              <w:rPr>
                <w:rFonts w:ascii="Cambria" w:cs="Cambria" w:eastAsia="Cambria" w:hAnsi="Cambria"/>
                <w:b/>
                <w:bCs/>
                <w:color w:val="3A3A3A"/>
                <w:sz w:val="18"/>
                <w:szCs w:val="18"/>
              </w:rPr>
              <w:t xml:space="preserve">todavía rechaza</w:t>
            </w:r>
            <w:r>
              <w:rPr>
                <w:rFonts w:ascii="Cambria" w:cs="Cambria" w:eastAsia="Cambria" w:hAnsi="Cambria"/>
                <w:color w:val="3A3A3A"/>
                <w:sz w:val="18"/>
                <w:szCs w:val="18"/>
              </w:rPr>
              <w:t xml:space="preserve"> homocedasticidad (LM ≈ 83, p &lt; 0.05) — el log atenúa el embudo, no lo elimina —, por lo que la significancia de sus </w:t>
            </w:r>
            <w:r>
              <w:rPr>
                <w:rFonts w:ascii="Cambria" w:cs="Cambria" w:eastAsia="Cambria" w:hAnsi="Cambria"/>
                <w:b/>
                <w:bCs/>
                <w:color w:val="3A3A3A"/>
                <w:sz w:val="18"/>
                <w:szCs w:val="18"/>
              </w:rPr>
              <w:t xml:space="preserve">coeficientes de tasación</w:t>
            </w:r>
            <w:r>
              <w:rPr>
                <w:rFonts w:ascii="Cambria" w:cs="Cambria" w:eastAsia="Cambria" w:hAnsi="Cambria"/>
                <w:color w:val="3A3A3A"/>
                <w:sz w:val="18"/>
                <w:szCs w:val="18"/>
              </w:rPr>
              <w:t xml:space="preserve"> se juzga con </w:t>
            </w:r>
            <w:r>
              <w:rPr>
                <w:rFonts w:ascii="Cambria" w:cs="Cambria" w:eastAsia="Cambria" w:hAnsi="Cambria"/>
                <w:b/>
                <w:bCs/>
                <w:color w:val="3A3A3A"/>
                <w:sz w:val="18"/>
                <w:szCs w:val="18"/>
              </w:rPr>
              <w:t xml:space="preserve">errores robustos HC3</w:t>
            </w:r>
            <w:r>
              <w:rPr>
                <w:rFonts w:ascii="Cambria" w:cs="Cambria" w:eastAsia="Cambria" w:hAnsi="Cambria"/>
                <w:color w:val="3A3A3A"/>
                <w:sz w:val="18"/>
                <w:szCs w:val="18"/>
              </w:rPr>
              <w:t xml:space="preserve">, no con los clásicos.</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rPr>
          <w:tblHeader/>
        </w:trPr>
        <w:tc>
          <w:tcPr>
            <w:tcW w:type="dxa" w:w="33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Predictor</w:t>
            </w:r>
          </w:p>
        </w:tc>
        <w:tc>
          <w:tcPr>
            <w:tcW w:type="dxa" w:w="33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VIF</w:t>
            </w:r>
          </w:p>
        </w:tc>
        <w:tc>
          <w:tcPr>
            <w:tcW w:type="dxa" w:w="33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Lectura</w:t>
            </w:r>
          </w:p>
        </w:tc>
      </w:tr>
      <w:tr>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onsolas" w:cs="Consolas" w:eastAsia="Consolas" w:hAnsi="Consolas"/>
                <w:b/>
                <w:bCs/>
                <w:color w:val="7A1526"/>
                <w:sz w:val="16"/>
                <w:szCs w:val="16"/>
              </w:rPr>
              <w:t xml:space="preserve">Overall Qual</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2.47</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Sin problema</w:t>
            </w:r>
          </w:p>
        </w:tc>
      </w:tr>
      <w:tr>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onsolas" w:cs="Consolas" w:eastAsia="Consolas" w:hAnsi="Consolas"/>
                <w:b/>
                <w:bCs/>
                <w:color w:val="7A1526"/>
                <w:sz w:val="16"/>
                <w:szCs w:val="16"/>
              </w:rPr>
              <w:t xml:space="preserve">Gr Liv Area</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1.67</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Sin problema</w:t>
            </w:r>
          </w:p>
        </w:tc>
      </w:tr>
      <w:tr>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onsolas" w:cs="Consolas" w:eastAsia="Consolas" w:hAnsi="Consolas"/>
                <w:b/>
                <w:bCs/>
                <w:color w:val="7A1526"/>
                <w:sz w:val="16"/>
                <w:szCs w:val="16"/>
              </w:rPr>
              <w:t xml:space="preserve">Garage Cars</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1.87</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Sin problema</w:t>
            </w:r>
          </w:p>
        </w:tc>
      </w:tr>
      <w:tr>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onsolas" w:cs="Consolas" w:eastAsia="Consolas" w:hAnsi="Consolas"/>
                <w:b/>
                <w:bCs/>
                <w:color w:val="7A1526"/>
                <w:sz w:val="16"/>
                <w:szCs w:val="16"/>
              </w:rPr>
              <w:t xml:space="preserve">Total Bsmt SF</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1.50</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Sin problema</w:t>
            </w:r>
          </w:p>
        </w:tc>
      </w:tr>
      <w:tr>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onsolas" w:cs="Consolas" w:eastAsia="Consolas" w:hAnsi="Consolas"/>
                <w:b/>
                <w:bCs/>
                <w:color w:val="7A1526"/>
                <w:sz w:val="16"/>
                <w:szCs w:val="16"/>
              </w:rPr>
              <w:t xml:space="preserve">Year Built</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1.80</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Sin problema</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1.6   </w:t>
            </w:r>
            <w:r>
              <w:rPr>
                <w:rFonts w:ascii="Calibri" w:cs="Calibri" w:eastAsia="Calibri" w:hAnsi="Calibri"/>
                <w:b/>
                <w:bCs/>
                <w:color w:val="7A1526"/>
                <w:sz w:val="19"/>
                <w:szCs w:val="19"/>
              </w:rPr>
              <w:t xml:space="preserve">Multicolinealidad (VIF): todos por debajo de 5</w:t>
            </w:r>
          </w:p>
          <w:p>
            <w:pPr>
              <w:spacing w:after="70" w:line="265"/>
            </w:pPr>
            <w:r>
              <w:rPr>
                <w:rFonts w:ascii="Cambria" w:cs="Cambria" w:eastAsia="Cambria" w:hAnsi="Cambria"/>
                <w:color w:val="3A3A3A"/>
                <w:sz w:val="18"/>
                <w:szCs w:val="18"/>
              </w:rPr>
              <w:t xml:space="preserve">El factor de inflación de la varianza de cada predictor es VIF_j = 1/(1−R²_j) (con R²_j = R² de regresar el predictor j contra los demás; regla: VIF &gt; 5 = colinealidad alta; &gt; 10 = severa). Todos los predictores del modelo múltiple quedan por debajo de 5 (tabla anterior), de modo que </w:t>
            </w:r>
            <w:r>
              <w:rPr>
                <w:rFonts w:ascii="Cambria" w:cs="Cambria" w:eastAsia="Cambria" w:hAnsi="Cambria"/>
                <w:b/>
                <w:bCs/>
                <w:color w:val="3A3A3A"/>
                <w:sz w:val="18"/>
                <w:szCs w:val="18"/>
              </w:rPr>
              <w:t xml:space="preserve">no hay multicolinealidad preocupante</w:t>
            </w:r>
            <w:r>
              <w:rPr>
                <w:rFonts w:ascii="Cambria" w:cs="Cambria" w:eastAsia="Cambria" w:hAnsi="Cambria"/>
                <w:color w:val="3A3A3A"/>
                <w:sz w:val="18"/>
                <w:szCs w:val="18"/>
              </w:rPr>
              <w:t xml:space="preserve"> y los coeficientes son interpretables con confianza. Como demostración del fenómeno, incluir las dos medidas del garaje juntas infla el par: en el </w:t>
            </w:r>
            <w:r>
              <w:rPr>
                <w:rFonts w:ascii="Cambria" w:cs="Cambria" w:eastAsia="Cambria" w:hAnsi="Cambria"/>
                <w:b/>
                <w:bCs/>
                <w:color w:val="3A3A3A"/>
                <w:sz w:val="18"/>
                <w:szCs w:val="18"/>
              </w:rPr>
              <w:t xml:space="preserve">trío del drill 1</w:t>
            </w:r>
            <w:r>
              <w:rPr>
                <w:rFonts w:ascii="Cambria" w:cs="Cambria" w:eastAsia="Cambria" w:hAnsi="Cambria"/>
                <w:color w:val="3A3A3A"/>
                <w:sz w:val="18"/>
                <w:szCs w:val="18"/>
              </w:rPr>
              <w:t xml:space="preserve"> (</w:t>
            </w:r>
            <w:r>
              <w:rPr>
                <w:rFonts w:ascii="Consolas" w:cs="Consolas" w:eastAsia="Consolas" w:hAnsi="Consolas"/>
                <w:color w:val="7A1526"/>
                <w:sz w:val="16"/>
                <w:szCs w:val="16"/>
              </w:rPr>
              <w:t xml:space="preserve">Gr Liv Area</w:t>
            </w:r>
            <w:r>
              <w:rPr>
                <w:rFonts w:ascii="Cambria" w:cs="Cambria" w:eastAsia="Cambria" w:hAnsi="Cambria"/>
                <w:color w:val="3A3A3A"/>
                <w:sz w:val="18"/>
                <w:szCs w:val="18"/>
              </w:rPr>
              <w:t xml:space="preserve"> + </w:t>
            </w:r>
            <w:r>
              <w:rPr>
                <w:rFonts w:ascii="Consolas" w:cs="Consolas" w:eastAsia="Consolas" w:hAnsi="Consolas"/>
                <w:color w:val="7A1526"/>
                <w:sz w:val="16"/>
                <w:szCs w:val="16"/>
              </w:rPr>
              <w:t xml:space="preserve">Garage Cars</w:t>
            </w:r>
            <w:r>
              <w:rPr>
                <w:rFonts w:ascii="Cambria" w:cs="Cambria" w:eastAsia="Cambria" w:hAnsi="Cambria"/>
                <w:color w:val="3A3A3A"/>
                <w:sz w:val="18"/>
                <w:szCs w:val="18"/>
              </w:rPr>
              <w:t xml:space="preserve"> + </w:t>
            </w:r>
            <w:r>
              <w:rPr>
                <w:rFonts w:ascii="Consolas" w:cs="Consolas" w:eastAsia="Consolas" w:hAnsi="Consolas"/>
                <w:color w:val="7A1526"/>
                <w:sz w:val="16"/>
                <w:szCs w:val="16"/>
              </w:rPr>
              <w:t xml:space="preserve">Garage Area</w:t>
            </w:r>
            <w:r>
              <w:rPr>
                <w:rFonts w:ascii="Cambria" w:cs="Cambria" w:eastAsia="Cambria" w:hAnsi="Cambria"/>
                <w:color w:val="3A3A3A"/>
                <w:sz w:val="18"/>
                <w:szCs w:val="18"/>
              </w:rPr>
              <w:t xml:space="preserve">, n = 2924; hoja </w:t>
            </w:r>
            <w:r>
              <w:rPr>
                <w:rFonts w:ascii="Consolas" w:cs="Consolas" w:eastAsia="Consolas" w:hAnsi="Consolas"/>
                <w:color w:val="7A1526"/>
                <w:sz w:val="16"/>
                <w:szCs w:val="16"/>
              </w:rPr>
              <w:t xml:space="preserve">modelos_drills</w:t>
            </w:r>
            <w:r>
              <w:rPr>
                <w:rFonts w:ascii="Cambria" w:cs="Cambria" w:eastAsia="Cambria" w:hAnsi="Cambria"/>
                <w:color w:val="3A3A3A"/>
                <w:sz w:val="18"/>
                <w:szCs w:val="18"/>
              </w:rPr>
              <w:t xml:space="preserve"> del Excel) los VIF son </w:t>
            </w:r>
            <w:r>
              <w:rPr>
                <w:rFonts w:ascii="Cambria" w:cs="Cambria" w:eastAsia="Cambria" w:hAnsi="Cambria"/>
                <w:b/>
                <w:bCs/>
                <w:color w:val="3A3A3A"/>
                <w:sz w:val="18"/>
                <w:szCs w:val="18"/>
              </w:rPr>
              <w:t xml:space="preserve">1.33 / 5.05 / 4.94</w:t>
            </w:r>
            <w:r>
              <w:rPr>
                <w:rFonts w:ascii="Cambria" w:cs="Cambria" w:eastAsia="Cambria" w:hAnsi="Cambria"/>
                <w:color w:val="3A3A3A"/>
                <w:sz w:val="18"/>
                <w:szCs w:val="18"/>
              </w:rPr>
              <w:t xml:space="preserve"> — </w:t>
            </w:r>
            <w:r>
              <w:rPr>
                <w:rFonts w:ascii="Consolas" w:cs="Consolas" w:eastAsia="Consolas" w:hAnsi="Consolas"/>
                <w:color w:val="7A1526"/>
                <w:sz w:val="16"/>
                <w:szCs w:val="16"/>
              </w:rPr>
              <w:t xml:space="preserve">Garage Cars</w:t>
            </w:r>
            <w:r>
              <w:rPr>
                <w:rFonts w:ascii="Cambria" w:cs="Cambria" w:eastAsia="Cambria" w:hAnsi="Cambria"/>
                <w:color w:val="3A3A3A"/>
                <w:sz w:val="18"/>
                <w:szCs w:val="18"/>
              </w:rPr>
              <w:t xml:space="preserve"> supera el umbral de 5 y </w:t>
            </w:r>
            <w:r>
              <w:rPr>
                <w:rFonts w:ascii="Consolas" w:cs="Consolas" w:eastAsia="Consolas" w:hAnsi="Consolas"/>
                <w:color w:val="7A1526"/>
                <w:sz w:val="16"/>
                <w:szCs w:val="16"/>
              </w:rPr>
              <w:t xml:space="preserve">Garage Area</w:t>
            </w:r>
            <w:r>
              <w:rPr>
                <w:rFonts w:ascii="Cambria" w:cs="Cambria" w:eastAsia="Cambria" w:hAnsi="Cambria"/>
                <w:color w:val="3A3A3A"/>
                <w:sz w:val="18"/>
                <w:szCs w:val="18"/>
              </w:rPr>
              <w:t xml:space="preserve"> queda justo debajo—; la </w:t>
            </w:r>
            <w:r>
              <w:rPr>
                <w:rFonts w:ascii="Cambria" w:cs="Cambria" w:eastAsia="Cambria" w:hAnsi="Cambria"/>
                <w:b/>
                <w:bCs/>
                <w:color w:val="3A3A3A"/>
                <w:sz w:val="18"/>
                <w:szCs w:val="18"/>
              </w:rPr>
              <w:t xml:space="preserve">demo del cuaderno</w:t>
            </w:r>
            <w:r>
              <w:rPr>
                <w:rFonts w:ascii="Cambria" w:cs="Cambria" w:eastAsia="Cambria" w:hAnsi="Cambria"/>
                <w:color w:val="3A3A3A"/>
                <w:sz w:val="18"/>
                <w:szCs w:val="18"/>
              </w:rPr>
              <w:t xml:space="preserve"> (celda 23, otro conjunto de regresores sobre la base de 2930) da </w:t>
            </w:r>
            <w:r>
              <w:rPr>
                <w:rFonts w:ascii="Cambria" w:cs="Cambria" w:eastAsia="Cambria" w:hAnsi="Cambria"/>
                <w:b/>
                <w:bCs/>
                <w:color w:val="3A3A3A"/>
                <w:sz w:val="18"/>
                <w:szCs w:val="18"/>
              </w:rPr>
              <w:t xml:space="preserve">5.15 / 4.88</w:t>
            </w:r>
            <w:r>
              <w:rPr>
                <w:rFonts w:ascii="Cambria" w:cs="Cambria" w:eastAsia="Cambria" w:hAnsi="Cambria"/>
                <w:color w:val="3A3A3A"/>
                <w:sz w:val="18"/>
                <w:szCs w:val="18"/>
              </w:rPr>
              <w:t xml:space="preserve">. Son dos modelos distintos con la misma lección: dos formas de medir lo mismo inflan la varianza. </w:t>
            </w:r>
            <w:r>
              <w:rPr>
                <w:rFonts w:ascii="Cambria" w:cs="Cambria" w:eastAsia="Cambria" w:hAnsi="Cambria"/>
                <w:b/>
                <w:bCs/>
                <w:color w:val="3A3A3A"/>
                <w:sz w:val="18"/>
                <w:szCs w:val="18"/>
              </w:rPr>
              <w:t xml:space="preserve">No</w:t>
            </w:r>
            <w:r>
              <w:rPr>
                <w:rFonts w:ascii="Cambria" w:cs="Cambria" w:eastAsia="Cambria" w:hAnsi="Cambria"/>
                <w:color w:val="3A3A3A"/>
                <w:sz w:val="18"/>
                <w:szCs w:val="18"/>
              </w:rPr>
              <w:t xml:space="preserve"> interpretar el VIF del intercepto (const), que resulta muy elevado por construcción.</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1.7   </w:t>
            </w:r>
            <w:r>
              <w:rPr>
                <w:rFonts w:ascii="Calibri" w:cs="Calibri" w:eastAsia="Calibri" w:hAnsi="Calibri"/>
                <w:b/>
                <w:bCs/>
                <w:color w:val="7A1526"/>
                <w:sz w:val="19"/>
                <w:szCs w:val="19"/>
              </w:rPr>
              <w:t xml:space="preserve">Durbin-Watson: aquí sí es señal, porque el orden del CSV es geográfico</w:t>
            </w:r>
          </w:p>
          <w:p>
            <w:pPr>
              <w:spacing w:after="70" w:line="265"/>
            </w:pPr>
            <w:r>
              <w:rPr>
                <w:rFonts w:ascii="Cambria" w:cs="Cambria" w:eastAsia="Cambria" w:hAnsi="Cambria"/>
                <w:color w:val="3A3A3A"/>
                <w:sz w:val="18"/>
                <w:szCs w:val="18"/>
              </w:rPr>
              <w:t xml:space="preserve">El estadístico de </w:t>
            </w:r>
            <w:r>
              <w:rPr>
                <w:rFonts w:ascii="Cambria" w:cs="Cambria" w:eastAsia="Cambria" w:hAnsi="Cambria"/>
                <w:b/>
                <w:bCs/>
                <w:color w:val="3A3A3A"/>
                <w:sz w:val="18"/>
                <w:szCs w:val="18"/>
              </w:rPr>
              <w:t xml:space="preserve">Durbin-Watson ≈ 1.68</w:t>
            </w:r>
            <w:r>
              <w:rPr>
                <w:rFonts w:ascii="Cambria" w:cs="Cambria" w:eastAsia="Cambria" w:hAnsi="Cambria"/>
                <w:color w:val="3A3A3A"/>
                <w:sz w:val="18"/>
                <w:szCs w:val="18"/>
              </w:rPr>
              <w:t xml:space="preserve"> contrasta la correlación entre residuales </w:t>
            </w:r>
            <w:r>
              <w:rPr>
                <w:rFonts w:ascii="Cambria" w:cs="Cambria" w:eastAsia="Cambria" w:hAnsi="Cambria"/>
                <w:b/>
                <w:bCs/>
                <w:color w:val="3A3A3A"/>
                <w:sz w:val="18"/>
                <w:szCs w:val="18"/>
              </w:rPr>
              <w:t xml:space="preserve">consecutivos</w:t>
            </w:r>
            <w:r>
              <w:rPr>
                <w:rFonts w:ascii="Cambria" w:cs="Cambria" w:eastAsia="Cambria" w:hAnsi="Cambria"/>
                <w:color w:val="3A3A3A"/>
                <w:sz w:val="18"/>
                <w:szCs w:val="18"/>
              </w:rPr>
              <w:t xml:space="preserve">, de modo que solo informa cuando el orden de las filas significa algo. En </w:t>
            </w:r>
            <w:r>
              <w:rPr>
                <w:rFonts w:ascii="Consolas" w:cs="Consolas" w:eastAsia="Consolas" w:hAnsi="Consolas"/>
                <w:color w:val="7A1526"/>
                <w:sz w:val="16"/>
                <w:szCs w:val="16"/>
              </w:rPr>
              <w:t xml:space="preserve">AmesHousing.csv</w:t>
            </w:r>
            <w:r>
              <w:rPr>
                <w:rFonts w:ascii="Cambria" w:cs="Cambria" w:eastAsia="Cambria" w:hAnsi="Cambria"/>
                <w:color w:val="3A3A3A"/>
                <w:sz w:val="18"/>
                <w:szCs w:val="18"/>
              </w:rPr>
              <w:t xml:space="preserve"> </w:t>
            </w:r>
            <w:r>
              <w:rPr>
                <w:rFonts w:ascii="Cambria" w:cs="Cambria" w:eastAsia="Cambria" w:hAnsi="Cambria"/>
                <w:b/>
                <w:bCs/>
                <w:color w:val="3A3A3A"/>
                <w:sz w:val="18"/>
                <w:szCs w:val="18"/>
              </w:rPr>
              <w:t xml:space="preserve">significa</w:t>
            </w:r>
            <w:r>
              <w:rPr>
                <w:rFonts w:ascii="Cambria" w:cs="Cambria" w:eastAsia="Cambria" w:hAnsi="Cambria"/>
                <w:color w:val="3A3A3A"/>
                <w:sz w:val="18"/>
                <w:szCs w:val="18"/>
              </w:rPr>
              <w:t xml:space="preserve">: el archivo viene ordenado por </w:t>
            </w:r>
            <w:r>
              <w:rPr>
                <w:rFonts w:ascii="Consolas" w:cs="Consolas" w:eastAsia="Consolas" w:hAnsi="Consolas"/>
                <w:color w:val="7A1526"/>
                <w:sz w:val="16"/>
                <w:szCs w:val="16"/>
              </w:rPr>
              <w:t xml:space="preserve">PID</w:t>
            </w:r>
            <w:r>
              <w:rPr>
                <w:rFonts w:ascii="Cambria" w:cs="Cambria" w:eastAsia="Cambria" w:hAnsi="Cambria"/>
                <w:color w:val="3A3A3A"/>
                <w:sz w:val="18"/>
                <w:szCs w:val="18"/>
              </w:rPr>
              <w:t xml:space="preserve"> y por eso </w:t>
            </w:r>
            <w:r>
              <w:rPr>
                <w:rFonts w:ascii="Cambria" w:cs="Cambria" w:eastAsia="Cambria" w:hAnsi="Cambria"/>
                <w:b/>
                <w:bCs/>
                <w:color w:val="3A3A3A"/>
                <w:sz w:val="18"/>
                <w:szCs w:val="18"/>
              </w:rPr>
              <w:t xml:space="preserve">agrupado por barrio</w:t>
            </w:r>
            <w:r>
              <w:rPr>
                <w:rFonts w:ascii="Cambria" w:cs="Cambria" w:eastAsia="Cambria" w:hAnsi="Cambria"/>
                <w:color w:val="3A3A3A"/>
                <w:sz w:val="18"/>
                <w:szCs w:val="18"/>
              </w:rPr>
              <w:t xml:space="preserve"> — el </w:t>
            </w:r>
            <w:r>
              <w:rPr>
                <w:rFonts w:ascii="Cambria" w:cs="Cambria" w:eastAsia="Cambria" w:hAnsi="Cambria"/>
                <w:b/>
                <w:bCs/>
                <w:color w:val="3A3A3A"/>
                <w:sz w:val="18"/>
                <w:szCs w:val="18"/>
              </w:rPr>
              <w:t xml:space="preserve">86.4 %</w:t>
            </w:r>
            <w:r>
              <w:rPr>
                <w:rFonts w:ascii="Cambria" w:cs="Cambria" w:eastAsia="Cambria" w:hAnsi="Cambria"/>
                <w:color w:val="3A3A3A"/>
                <w:sz w:val="18"/>
                <w:szCs w:val="18"/>
              </w:rPr>
              <w:t xml:space="preserve"> de las filas contiguas comparten </w:t>
            </w:r>
            <w:r>
              <w:rPr>
                <w:rFonts w:ascii="Consolas" w:cs="Consolas" w:eastAsia="Consolas" w:hAnsi="Consolas"/>
                <w:color w:val="7A1526"/>
                <w:sz w:val="16"/>
                <w:szCs w:val="16"/>
              </w:rPr>
              <w:t xml:space="preserve">Neighborhood</w:t>
            </w:r>
            <w:r>
              <w:rPr>
                <w:rFonts w:ascii="Cambria" w:cs="Cambria" w:eastAsia="Cambria" w:hAnsi="Cambria"/>
                <w:color w:val="3A3A3A"/>
                <w:sz w:val="18"/>
                <w:szCs w:val="18"/>
              </w:rPr>
              <w:t xml:space="preserve">, frente a ~7 % si el orden fuera azaroso. El experimento de la sesión (hoja </w:t>
            </w:r>
            <w:r>
              <w:rPr>
                <w:rFonts w:ascii="Consolas" w:cs="Consolas" w:eastAsia="Consolas" w:hAnsi="Consolas"/>
                <w:color w:val="7A1526"/>
                <w:sz w:val="16"/>
                <w:szCs w:val="16"/>
              </w:rPr>
              <w:t xml:space="preserve">se_cluster_barrio</w:t>
            </w:r>
            <w:r>
              <w:rPr>
                <w:rFonts w:ascii="Cambria" w:cs="Cambria" w:eastAsia="Cambria" w:hAnsi="Cambria"/>
                <w:color w:val="3A3A3A"/>
                <w:sz w:val="18"/>
                <w:szCs w:val="18"/>
              </w:rPr>
              <w:t xml:space="preserve"> del Excel) lo demuestra: con los residuos </w:t>
            </w:r>
            <w:r>
              <w:rPr>
                <w:rFonts w:ascii="Cambria" w:cs="Cambria" w:eastAsia="Cambria" w:hAnsi="Cambria"/>
                <w:b/>
                <w:bCs/>
                <w:color w:val="3A3A3A"/>
                <w:sz w:val="18"/>
                <w:szCs w:val="18"/>
              </w:rPr>
              <w:t xml:space="preserve">barajados</w:t>
            </w:r>
            <w:r>
              <w:rPr>
                <w:rFonts w:ascii="Cambria" w:cs="Cambria" w:eastAsia="Cambria" w:hAnsi="Cambria"/>
                <w:color w:val="3A3A3A"/>
                <w:sz w:val="18"/>
                <w:szCs w:val="18"/>
              </w:rPr>
              <w:t xml:space="preserve"> el DW vuelve a </w:t>
            </w:r>
            <w:r>
              <w:rPr>
                <w:rFonts w:ascii="Cambria" w:cs="Cambria" w:eastAsia="Cambria" w:hAnsi="Cambria"/>
                <w:b/>
                <w:bCs/>
                <w:color w:val="3A3A3A"/>
                <w:sz w:val="18"/>
                <w:szCs w:val="18"/>
              </w:rPr>
              <w:t xml:space="preserve">≈ 1.97 ≈ 2</w:t>
            </w:r>
            <w:r>
              <w:rPr>
                <w:rFonts w:ascii="Cambria" w:cs="Cambria" w:eastAsia="Cambria" w:hAnsi="Cambria"/>
                <w:color w:val="3A3A3A"/>
                <w:sz w:val="18"/>
                <w:szCs w:val="18"/>
              </w:rPr>
              <w:t xml:space="preserve"> (sin orden informativo no hay señal), y con las filas </w:t>
            </w:r>
            <w:r>
              <w:rPr>
                <w:rFonts w:ascii="Cambria" w:cs="Cambria" w:eastAsia="Cambria" w:hAnsi="Cambria"/>
                <w:b/>
                <w:bCs/>
                <w:color w:val="3A3A3A"/>
                <w:sz w:val="18"/>
                <w:szCs w:val="18"/>
              </w:rPr>
              <w:t xml:space="preserve">ordenadas por barrio</w:t>
            </w:r>
            <w:r>
              <w:rPr>
                <w:rFonts w:ascii="Cambria" w:cs="Cambria" w:eastAsia="Cambria" w:hAnsi="Cambria"/>
                <w:color w:val="3A3A3A"/>
                <w:sz w:val="18"/>
                <w:szCs w:val="18"/>
              </w:rPr>
              <w:t xml:space="preserve"> el DW reproduce casi exactamente el valor original (</w:t>
            </w:r>
            <w:r>
              <w:rPr>
                <w:rFonts w:ascii="Cambria" w:cs="Cambria" w:eastAsia="Cambria" w:hAnsi="Cambria"/>
                <w:b/>
                <w:bCs/>
                <w:color w:val="3A3A3A"/>
                <w:sz w:val="18"/>
                <w:szCs w:val="18"/>
              </w:rPr>
              <w:t xml:space="preserve">1.70 ≈ 1.68</w:t>
            </w:r>
            <w:r>
              <w:rPr>
                <w:rFonts w:ascii="Cambria" w:cs="Cambria" w:eastAsia="Cambria" w:hAnsi="Cambria"/>
                <w:color w:val="3A3A3A"/>
                <w:sz w:val="18"/>
                <w:szCs w:val="18"/>
              </w:rPr>
              <w:t xml:space="preserve">). Conclusión: DW ≈ 1.68 (como DW ≈ 2(1 − ρ̂), equivale a </w:t>
            </w:r>
            <w:r>
              <w:rPr>
                <w:rFonts w:ascii="Cambria" w:cs="Cambria" w:eastAsia="Cambria" w:hAnsi="Cambria"/>
                <w:b/>
                <w:bCs/>
                <w:color w:val="3A3A3A"/>
                <w:sz w:val="18"/>
                <w:szCs w:val="18"/>
              </w:rPr>
              <w:t xml:space="preserve">ρ̂ ≈ 0.16</w:t>
            </w:r>
            <w:r>
              <w:rPr>
                <w:rFonts w:ascii="Cambria" w:cs="Cambria" w:eastAsia="Cambria" w:hAnsi="Cambria"/>
                <w:color w:val="3A3A3A"/>
                <w:sz w:val="18"/>
                <w:szCs w:val="18"/>
              </w:rPr>
              <w:t xml:space="preserve">) </w:t>
            </w:r>
            <w:r>
              <w:rPr>
                <w:rFonts w:ascii="Cambria" w:cs="Cambria" w:eastAsia="Cambria" w:hAnsi="Cambria"/>
                <w:b/>
                <w:bCs/>
                <w:color w:val="3A3A3A"/>
                <w:sz w:val="18"/>
                <w:szCs w:val="18"/>
              </w:rPr>
              <w:t xml:space="preserve">sí es señal de dependencia espacial residual</w:t>
            </w:r>
            <w:r>
              <w:rPr>
                <w:rFonts w:ascii="Cambria" w:cs="Cambria" w:eastAsia="Cambria" w:hAnsi="Cambria"/>
                <w:color w:val="3A3A3A"/>
                <w:sz w:val="18"/>
                <w:szCs w:val="18"/>
              </w:rPr>
              <w:t xml:space="preserve"> — los residuales de casas del mismo barrio se parecen —, no ruido de archivo. </w:t>
            </w:r>
            <w:r>
              <w:rPr>
                <w:rFonts w:ascii="Cambria" w:cs="Cambria" w:eastAsia="Cambria" w:hAnsi="Cambria"/>
                <w:b/>
                <w:bCs/>
                <w:color w:val="3A3A3A"/>
                <w:sz w:val="18"/>
                <w:szCs w:val="18"/>
              </w:rPr>
              <w:t xml:space="preserve">Consecuencia:</w:t>
            </w:r>
            <w:r>
              <w:rPr>
                <w:rFonts w:ascii="Cambria" w:cs="Cambria" w:eastAsia="Cambria" w:hAnsi="Cambria"/>
                <w:color w:val="3A3A3A"/>
                <w:sz w:val="18"/>
                <w:szCs w:val="18"/>
              </w:rPr>
              <w:t xml:space="preserve"> con dependencia intra-barrio los SE clásicos </w:t>
            </w:r>
            <w:r>
              <w:rPr>
                <w:rFonts w:ascii="Cambria" w:cs="Cambria" w:eastAsia="Cambria" w:hAnsi="Cambria"/>
                <w:b/>
                <w:bCs/>
                <w:color w:val="3A3A3A"/>
                <w:sz w:val="18"/>
                <w:szCs w:val="18"/>
              </w:rPr>
              <w:t xml:space="preserve">y también los HC3</w:t>
            </w:r>
            <w:r>
              <w:rPr>
                <w:rFonts w:ascii="Cambria" w:cs="Cambria" w:eastAsia="Cambria" w:hAnsi="Cambria"/>
                <w:color w:val="3A3A3A"/>
                <w:sz w:val="18"/>
                <w:szCs w:val="18"/>
              </w:rPr>
              <w:t xml:space="preserve"> quedan </w:t>
            </w:r>
            <w:r>
              <w:rPr>
                <w:rFonts w:ascii="Cambria" w:cs="Cambria" w:eastAsia="Cambria" w:hAnsi="Cambria"/>
                <w:b/>
                <w:bCs/>
                <w:color w:val="3A3A3A"/>
                <w:sz w:val="18"/>
                <w:szCs w:val="18"/>
              </w:rPr>
              <w:t xml:space="preserve">optimistas</w:t>
            </w:r>
            <w:r>
              <w:rPr>
                <w:rFonts w:ascii="Cambria" w:cs="Cambria" w:eastAsia="Cambria" w:hAnsi="Cambria"/>
                <w:color w:val="3A3A3A"/>
                <w:sz w:val="18"/>
                <w:szCs w:val="18"/>
              </w:rPr>
              <w:t xml:space="preserve"> (ambos asumen casas independientes). </w:t>
            </w:r>
            <w:r>
              <w:rPr>
                <w:rFonts w:ascii="Cambria" w:cs="Cambria" w:eastAsia="Cambria" w:hAnsi="Cambria"/>
                <w:b/>
                <w:bCs/>
                <w:color w:val="3A3A3A"/>
                <w:sz w:val="18"/>
                <w:szCs w:val="18"/>
              </w:rPr>
              <w:t xml:space="preserve">Remedio en S04:</w:t>
            </w:r>
            <w:r>
              <w:rPr>
                <w:rFonts w:ascii="Cambria" w:cs="Cambria" w:eastAsia="Cambria" w:hAnsi="Cambria"/>
                <w:color w:val="3A3A3A"/>
                <w:sz w:val="18"/>
                <w:szCs w:val="18"/>
              </w:rPr>
              <w:t xml:space="preserve"> errores estándar </w:t>
            </w:r>
            <w:r>
              <w:rPr>
                <w:rFonts w:ascii="Cambria" w:cs="Cambria" w:eastAsia="Cambria" w:hAnsi="Cambria"/>
                <w:b/>
                <w:bCs/>
                <w:color w:val="3A3A3A"/>
                <w:sz w:val="18"/>
                <w:szCs w:val="18"/>
              </w:rPr>
              <w:t xml:space="preserve">agrupados por barrio</w:t>
            </w:r>
            <w:r>
              <w:rPr>
                <w:rFonts w:ascii="Cambria" w:cs="Cambria" w:eastAsia="Cambria" w:hAnsi="Cambria"/>
                <w:color w:val="3A3A3A"/>
                <w:sz w:val="18"/>
                <w:szCs w:val="18"/>
              </w:rPr>
              <w:t xml:space="preserve"> (clúster por </w:t>
            </w:r>
            <w:r>
              <w:rPr>
                <w:rFonts w:ascii="Consolas" w:cs="Consolas" w:eastAsia="Consolas" w:hAnsi="Consolas"/>
                <w:color w:val="7A1526"/>
                <w:sz w:val="16"/>
                <w:szCs w:val="16"/>
              </w:rPr>
              <w:t xml:space="preserve">Neighborhood</w:t>
            </w:r>
            <w:r>
              <w:rPr>
                <w:rFonts w:ascii="Cambria" w:cs="Cambria" w:eastAsia="Cambria" w:hAnsi="Cambria"/>
                <w:color w:val="3A3A3A"/>
                <w:sz w:val="18"/>
                <w:szCs w:val="18"/>
              </w:rPr>
              <w:t xml:space="preserve">, hoja </w:t>
            </w:r>
            <w:r>
              <w:rPr>
                <w:rFonts w:ascii="Consolas" w:cs="Consolas" w:eastAsia="Consolas" w:hAnsi="Consolas"/>
                <w:color w:val="7A1526"/>
                <w:sz w:val="16"/>
                <w:szCs w:val="16"/>
              </w:rPr>
              <w:t xml:space="preserve">se_cluster_barrio</w:t>
            </w:r>
            <w:r>
              <w:rPr>
                <w:rFonts w:ascii="Cambria" w:cs="Cambria" w:eastAsia="Cambria" w:hAnsi="Cambria"/>
                <w:color w:val="3A3A3A"/>
                <w:sz w:val="18"/>
                <w:szCs w:val="18"/>
              </w:rPr>
              <w:t xml:space="preserve">): los SE de los coeficientes clave se multiplican por </w:t>
            </w:r>
            <w:r>
              <w:rPr>
                <w:rFonts w:ascii="Cambria" w:cs="Cambria" w:eastAsia="Cambria" w:hAnsi="Cambria"/>
                <w:b/>
                <w:bCs/>
                <w:color w:val="3A3A3A"/>
                <w:sz w:val="18"/>
                <w:szCs w:val="18"/>
              </w:rPr>
              <w:t xml:space="preserve">≈ 2.3–2.9</w:t>
            </w:r>
            <w:r>
              <w:rPr>
                <w:rFonts w:ascii="Cambria" w:cs="Cambria" w:eastAsia="Cambria" w:hAnsi="Cambria"/>
                <w:color w:val="3A3A3A"/>
                <w:sz w:val="18"/>
                <w:szCs w:val="18"/>
              </w:rPr>
              <w:t xml:space="preserve">. Regla para el informe: reportar el DW, </w:t>
            </w:r>
            <w:r>
              <w:rPr>
                <w:rFonts w:ascii="Cambria" w:cs="Cambria" w:eastAsia="Cambria" w:hAnsi="Cambria"/>
                <w:b/>
                <w:bCs/>
                <w:color w:val="3A3A3A"/>
                <w:sz w:val="18"/>
                <w:szCs w:val="18"/>
              </w:rPr>
              <w:t xml:space="preserve">declarar que el orden del CSV es geográfico</w:t>
            </w:r>
            <w:r>
              <w:rPr>
                <w:rFonts w:ascii="Cambria" w:cs="Cambria" w:eastAsia="Cambria" w:hAnsi="Cambria"/>
                <w:color w:val="3A3A3A"/>
                <w:sz w:val="18"/>
                <w:szCs w:val="18"/>
              </w:rPr>
              <w:t xml:space="preserve"> y juzgar la incertidumbre con SE por barrio; </w:t>
            </w:r>
            <w:r>
              <w:rPr>
                <w:rFonts w:ascii="Cambria" w:cs="Cambria" w:eastAsia="Cambria" w:hAnsi="Cambria"/>
                <w:b/>
                <w:bCs/>
                <w:color w:val="3A3A3A"/>
                <w:sz w:val="18"/>
                <w:szCs w:val="18"/>
              </w:rPr>
              <w:t xml:space="preserve">no</w:t>
            </w:r>
            <w:r>
              <w:rPr>
                <w:rFonts w:ascii="Cambria" w:cs="Cambria" w:eastAsia="Cambria" w:hAnsi="Cambria"/>
                <w:color w:val="3A3A3A"/>
                <w:sz w:val="18"/>
                <w:szCs w:val="18"/>
              </w:rPr>
              <w:t xml:space="preserve"> escribir «no aplica (corte transversal)» ni «cercano a 2 ⇒ sin problema». El tratamiento espacial/temporal completo (Newey-West/HAC, modelos de series o espaciales) es materia de </w:t>
            </w:r>
            <w:r>
              <w:rPr>
                <w:rFonts w:ascii="Cambria" w:cs="Cambria" w:eastAsia="Cambria" w:hAnsi="Cambria"/>
                <w:b/>
                <w:bCs/>
                <w:color w:val="3A3A3A"/>
                <w:sz w:val="18"/>
                <w:szCs w:val="18"/>
              </w:rPr>
              <w:t xml:space="preserve">S11+</w:t>
            </w:r>
            <w:r>
              <w:rPr>
                <w:rFonts w:ascii="Cambria" w:cs="Cambria" w:eastAsia="Cambria" w:hAnsi="Cambria"/>
                <w:color w:val="3A3A3A"/>
                <w:sz w:val="18"/>
                <w:szCs w:val="18"/>
              </w:rPr>
              <w:t xml:space="preserve">. Aprender </w:t>
            </w:r>
            <w:r>
              <w:rPr>
                <w:rFonts w:ascii="Cambria" w:cs="Cambria" w:eastAsia="Cambria" w:hAnsi="Cambria"/>
                <w:b/>
                <w:bCs/>
                <w:color w:val="3A3A3A"/>
                <w:sz w:val="18"/>
                <w:szCs w:val="18"/>
              </w:rPr>
              <w:t xml:space="preserve">cuándo un diagnóstico sí informa</w:t>
            </w:r>
            <w:r>
              <w:rPr>
                <w:rFonts w:ascii="Cambria" w:cs="Cambria" w:eastAsia="Cambria" w:hAnsi="Cambria"/>
                <w:color w:val="3A3A3A"/>
                <w:sz w:val="18"/>
                <w:szCs w:val="18"/>
              </w:rPr>
              <w:t xml:space="preserve"> —y verificar la premisa del orden antes de despacharlo— es parte de leerlo con criterio.</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1.8   </w:t>
            </w:r>
            <w:r>
              <w:rPr>
                <w:rFonts w:ascii="Calibri" w:cs="Calibri" w:eastAsia="Calibri" w:hAnsi="Calibri"/>
                <w:b/>
                <w:bCs/>
                <w:color w:val="7A1526"/>
                <w:sz w:val="19"/>
                <w:szCs w:val="19"/>
              </w:rPr>
              <w:t xml:space="preserve">Distancia de Cook: observaciones influyentes</w:t>
            </w:r>
          </w:p>
          <w:p>
            <w:pPr>
              <w:spacing w:after="70" w:line="265"/>
            </w:pPr>
            <w:r>
              <w:rPr>
                <w:rFonts w:ascii="Cambria" w:cs="Cambria" w:eastAsia="Cambria" w:hAnsi="Cambria"/>
                <w:color w:val="3A3A3A"/>
                <w:sz w:val="18"/>
                <w:szCs w:val="18"/>
              </w:rPr>
              <w:t xml:space="preserve">La </w:t>
            </w:r>
            <w:r>
              <w:rPr>
                <w:rFonts w:ascii="Cambria" w:cs="Cambria" w:eastAsia="Cambria" w:hAnsi="Cambria"/>
                <w:b/>
                <w:bCs/>
                <w:color w:val="3A3A3A"/>
                <w:sz w:val="18"/>
                <w:szCs w:val="18"/>
              </w:rPr>
              <w:t xml:space="preserve">distancia de Cook</w:t>
            </w:r>
            <w:r>
              <w:rPr>
                <w:rFonts w:ascii="Cambria" w:cs="Cambria" w:eastAsia="Cambria" w:hAnsi="Cambria"/>
                <w:color w:val="3A3A3A"/>
                <w:sz w:val="18"/>
                <w:szCs w:val="18"/>
              </w:rPr>
              <w:t xml:space="preserve"> con umbral 4/n (n = 2923 </w:t>
            </w:r>
            <w:r>
              <w:rPr>
                <w:rFonts w:ascii="Calibri" w:cs="Calibri" w:eastAsia="Calibri" w:hAnsi="Calibri"/>
                <w:color w:val="3A3A3A"/>
                <w:sz w:val="18"/>
                <w:szCs w:val="18"/>
              </w:rPr>
              <w:t xml:space="preserve">→</w:t>
            </w:r>
            <w:r>
              <w:rPr>
                <w:rFonts w:ascii="Cambria" w:cs="Cambria" w:eastAsia="Cambria" w:hAnsi="Cambria"/>
                <w:color w:val="3A3A3A"/>
                <w:sz w:val="18"/>
                <w:szCs w:val="18"/>
              </w:rPr>
              <w:t xml:space="preserve"> 0.00137) marca </w:t>
            </w:r>
            <w:r>
              <w:rPr>
                <w:rFonts w:ascii="Cambria" w:cs="Cambria" w:eastAsia="Cambria" w:hAnsi="Cambria"/>
                <w:b/>
                <w:bCs/>
                <w:color w:val="3A3A3A"/>
                <w:sz w:val="18"/>
                <w:szCs w:val="18"/>
              </w:rPr>
              <w:t xml:space="preserve">192 observaciones</w:t>
            </w:r>
            <w:r>
              <w:rPr>
                <w:rFonts w:ascii="Cambria" w:cs="Cambria" w:eastAsia="Cambria" w:hAnsi="Cambria"/>
                <w:color w:val="3A3A3A"/>
                <w:sz w:val="18"/>
                <w:szCs w:val="18"/>
              </w:rPr>
              <w:t xml:space="preserve"> como candidatas a inspección: es un umbral </w:t>
            </w:r>
            <w:r>
              <w:rPr>
                <w:rFonts w:ascii="Cambria" w:cs="Cambria" w:eastAsia="Cambria" w:hAnsi="Cambria"/>
                <w:i/>
                <w:iCs/>
                <w:color w:val="3A3A3A"/>
                <w:sz w:val="18"/>
                <w:szCs w:val="18"/>
              </w:rPr>
              <w:t xml:space="preserve">sensible</w:t>
            </w:r>
            <w:r>
              <w:rPr>
                <w:rFonts w:ascii="Cambria" w:cs="Cambria" w:eastAsia="Cambria" w:hAnsi="Cambria"/>
                <w:color w:val="3A3A3A"/>
                <w:sz w:val="18"/>
                <w:szCs w:val="18"/>
              </w:rPr>
              <w:t xml:space="preserve"> (señala ≈ 6–7 % de los datos), por lo que se </w:t>
            </w:r>
            <w:r>
              <w:rPr>
                <w:rFonts w:ascii="Cambria" w:cs="Cambria" w:eastAsia="Cambria" w:hAnsi="Cambria"/>
                <w:b/>
                <w:bCs/>
                <w:color w:val="3A3A3A"/>
                <w:sz w:val="18"/>
                <w:szCs w:val="18"/>
              </w:rPr>
              <w:t xml:space="preserve">listan para revisar</w:t>
            </w:r>
            <w:r>
              <w:rPr>
                <w:rFonts w:ascii="Cambria" w:cs="Cambria" w:eastAsia="Cambria" w:hAnsi="Cambria"/>
                <w:color w:val="3A3A3A"/>
                <w:sz w:val="18"/>
                <w:szCs w:val="18"/>
              </w:rPr>
              <w:t xml:space="preserve">, no se borran automáticamente. El borrado solo se justifica con razón sustantiva, como las 5 ventas no normales ya removidas.</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1.9   </w:t>
            </w:r>
            <w:r>
              <w:rPr>
                <w:rFonts w:ascii="Calibri" w:cs="Calibri" w:eastAsia="Calibri" w:hAnsi="Calibri"/>
                <w:b/>
                <w:bCs/>
                <w:color w:val="7A1526"/>
                <w:sz w:val="19"/>
                <w:szCs w:val="19"/>
              </w:rPr>
              <w:t xml:space="preserve">Normalidad (Q-Q): colas pesadas, no leves</w:t>
            </w:r>
          </w:p>
          <w:p>
            <w:pPr>
              <w:spacing w:after="70" w:line="265"/>
            </w:pPr>
            <w:r>
              <w:rPr>
                <w:rFonts w:ascii="Cambria" w:cs="Cambria" w:eastAsia="Cambria" w:hAnsi="Cambria"/>
                <w:color w:val="3A3A3A"/>
                <w:sz w:val="18"/>
                <w:szCs w:val="18"/>
              </w:rPr>
              <w:t xml:space="preserve">El Q-Q de los residuales del modelo en log se despega en los extremos y la prueba de </w:t>
            </w:r>
            <w:r>
              <w:rPr>
                <w:rFonts w:ascii="Cambria" w:cs="Cambria" w:eastAsia="Cambria" w:hAnsi="Cambria"/>
                <w:b/>
                <w:bCs/>
                <w:color w:val="3A3A3A"/>
                <w:sz w:val="18"/>
                <w:szCs w:val="18"/>
              </w:rPr>
              <w:t xml:space="preserve">Jarque-Bera rechaza la normalidad con contundencia (JB ≈ 16 160, p ≈ 0)</w:t>
            </w:r>
            <w:r>
              <w:rPr>
                <w:rFonts w:ascii="Cambria" w:cs="Cambria" w:eastAsia="Cambria" w:hAnsi="Cambria"/>
                <w:color w:val="3A3A3A"/>
                <w:sz w:val="18"/>
                <w:szCs w:val="18"/>
              </w:rPr>
              <w:t xml:space="preserve">: hay </w:t>
            </w:r>
            <w:r>
              <w:rPr>
                <w:rFonts w:ascii="Cambria" w:cs="Cambria" w:eastAsia="Cambria" w:hAnsi="Cambria"/>
                <w:b/>
                <w:bCs/>
                <w:color w:val="3A3A3A"/>
                <w:sz w:val="18"/>
                <w:szCs w:val="18"/>
              </w:rPr>
              <w:t xml:space="preserve">no-normalidad clara por colas pesadas</w:t>
            </w:r>
            <w:r>
              <w:rPr>
                <w:rFonts w:ascii="Cambria" w:cs="Cambria" w:eastAsia="Cambria" w:hAnsi="Cambria"/>
                <w:color w:val="3A3A3A"/>
                <w:sz w:val="18"/>
                <w:szCs w:val="18"/>
              </w:rPr>
              <w:t xml:space="preserve">, no una desviación leve. Esto </w:t>
            </w:r>
            <w:r>
              <w:rPr>
                <w:rFonts w:ascii="Cambria" w:cs="Cambria" w:eastAsia="Cambria" w:hAnsi="Cambria"/>
                <w:b/>
                <w:bCs/>
                <w:color w:val="3A3A3A"/>
                <w:sz w:val="18"/>
                <w:szCs w:val="18"/>
              </w:rPr>
              <w:t xml:space="preserve">no invalida</w:t>
            </w:r>
            <w:r>
              <w:rPr>
                <w:rFonts w:ascii="Cambria" w:cs="Cambria" w:eastAsia="Cambria" w:hAnsi="Cambria"/>
                <w:color w:val="3A3A3A"/>
                <w:sz w:val="18"/>
                <w:szCs w:val="18"/>
              </w:rPr>
              <w:t xml:space="preserve"> el modelo —la normalidad no es supuesto de Gauss-Markov y, con n ≈ 2923, el </w:t>
            </w:r>
            <w:r>
              <w:rPr>
                <w:rFonts w:ascii="Cambria" w:cs="Cambria" w:eastAsia="Cambria" w:hAnsi="Cambria"/>
                <w:b/>
                <w:bCs/>
                <w:color w:val="3A3A3A"/>
                <w:sz w:val="18"/>
                <w:szCs w:val="18"/>
              </w:rPr>
              <w:t xml:space="preserve">teorema central del límite</w:t>
            </w:r>
            <w:r>
              <w:rPr>
                <w:rFonts w:ascii="Cambria" w:cs="Cambria" w:eastAsia="Cambria" w:hAnsi="Cambria"/>
                <w:color w:val="3A3A3A"/>
                <w:sz w:val="18"/>
                <w:szCs w:val="18"/>
              </w:rPr>
              <w:t xml:space="preserve"> vuelve aproximadamente válida la inferencia de los </w:t>
            </w:r>
            <w:r>
              <w:rPr>
                <w:rFonts w:ascii="Cambria" w:cs="Cambria" w:eastAsia="Cambria" w:hAnsi="Cambria"/>
                <w:b/>
                <w:bCs/>
                <w:color w:val="3A3A3A"/>
                <w:sz w:val="18"/>
                <w:szCs w:val="18"/>
              </w:rPr>
              <w:t xml:space="preserve">coeficientes</w:t>
            </w:r>
            <w:r>
              <w:rPr>
                <w:rFonts w:ascii="Cambria" w:cs="Cambria" w:eastAsia="Cambria" w:hAnsi="Cambria"/>
                <w:color w:val="3A3A3A"/>
                <w:sz w:val="18"/>
                <w:szCs w:val="18"/>
              </w:rPr>
              <w:t xml:space="preserve">—, pero fija un límite honesto: los </w:t>
            </w:r>
            <w:r>
              <w:rPr>
                <w:rFonts w:ascii="Cambria" w:cs="Cambria" w:eastAsia="Cambria" w:hAnsi="Cambria"/>
                <w:b/>
                <w:bCs/>
                <w:color w:val="3A3A3A"/>
                <w:sz w:val="18"/>
                <w:szCs w:val="18"/>
              </w:rPr>
              <w:t xml:space="preserve">intervalos de predicción por vivienda</w:t>
            </w:r>
            <w:r>
              <w:rPr>
                <w:rFonts w:ascii="Cambria" w:cs="Cambria" w:eastAsia="Cambria" w:hAnsi="Cambria"/>
                <w:color w:val="3A3A3A"/>
                <w:sz w:val="18"/>
                <w:szCs w:val="18"/>
              </w:rPr>
              <w:t xml:space="preserve"> sí dependen de la forma de la distribución del error y con colas pesadas quedan mal calibrados. Por eso la incertidumbre de los coeficientes se reporta con </w:t>
            </w:r>
            <w:r>
              <w:rPr>
                <w:rFonts w:ascii="Cambria" w:cs="Cambria" w:eastAsia="Cambria" w:hAnsi="Cambria"/>
                <w:b/>
                <w:bCs/>
                <w:color w:val="3A3A3A"/>
                <w:sz w:val="18"/>
                <w:szCs w:val="18"/>
              </w:rPr>
              <w:t xml:space="preserve">HC3</w:t>
            </w:r>
            <w:r>
              <w:rPr>
                <w:rFonts w:ascii="Cambria" w:cs="Cambria" w:eastAsia="Cambria" w:hAnsi="Cambria"/>
                <w:color w:val="3A3A3A"/>
                <w:sz w:val="18"/>
                <w:szCs w:val="18"/>
              </w:rPr>
              <w:t xml:space="preserve"> (o bootstrap) y la banda por tasación se comunica como el </w:t>
            </w:r>
            <w:r>
              <w:rPr>
                <w:rFonts w:ascii="Cambria" w:cs="Cambria" w:eastAsia="Cambria" w:hAnsi="Cambria"/>
                <w:b/>
                <w:bCs/>
                <w:color w:val="3A3A3A"/>
                <w:sz w:val="18"/>
                <w:szCs w:val="18"/>
              </w:rPr>
              <w:t xml:space="preserve">RMSE de la validación cruzada</w:t>
            </w:r>
            <w:r>
              <w:rPr>
                <w:rFonts w:ascii="Cambria" w:cs="Cambria" w:eastAsia="Cambria" w:hAnsi="Cambria"/>
                <w:color w:val="3A3A3A"/>
                <w:sz w:val="18"/>
                <w:szCs w:val="18"/>
              </w:rPr>
              <w:t xml:space="preserve">, no como un intervalo normal exacto.</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1.10   </w:t>
            </w:r>
            <w:r>
              <w:rPr>
                <w:rFonts w:ascii="Calibri" w:cs="Calibri" w:eastAsia="Calibri" w:hAnsi="Calibri"/>
                <w:b/>
                <w:bCs/>
                <w:color w:val="7A1526"/>
                <w:sz w:val="19"/>
                <w:szCs w:val="19"/>
              </w:rPr>
              <w:t xml:space="preserve">Nota de supuestos: dónde se desarrolla cada diagnóstico, y hasta dónde llega S04</w:t>
            </w:r>
          </w:p>
          <w:p>
            <w:pPr>
              <w:spacing w:after="70" w:line="265"/>
            </w:pPr>
            <w:r>
              <w:rPr>
                <w:rFonts w:ascii="Cambria" w:cs="Cambria" w:eastAsia="Cambria" w:hAnsi="Cambria"/>
                <w:color w:val="3A3A3A"/>
                <w:sz w:val="18"/>
                <w:szCs w:val="18"/>
              </w:rPr>
              <w:t xml:space="preserve">Los diagnósticos de este paso (linealidad, multicolinealidad/VIF, homocedasticidad/Breusch-Pagan </w:t>
            </w:r>
            <w:r>
              <w:rPr>
                <w:rFonts w:ascii="Calibri" w:cs="Calibri" w:eastAsia="Calibri" w:hAnsi="Calibri"/>
                <w:color w:val="3A3A3A"/>
                <w:sz w:val="18"/>
                <w:szCs w:val="18"/>
              </w:rPr>
              <w:t xml:space="preserve">→</w:t>
            </w:r>
            <w:r>
              <w:rPr>
                <w:rFonts w:ascii="Cambria" w:cs="Cambria" w:eastAsia="Cambria" w:hAnsi="Cambria"/>
                <w:color w:val="3A3A3A"/>
                <w:sz w:val="18"/>
                <w:szCs w:val="18"/>
              </w:rPr>
              <w:t xml:space="preserve"> HC3, no autocorrelación/Durbin-Watson, normalidad/Q-Q, observaciones influyentes/Cook) y las dos decisiones de modelado del paso 5 (la </w:t>
            </w:r>
            <w:r>
              <w:rPr>
                <w:rFonts w:ascii="Cambria" w:cs="Cambria" w:eastAsia="Cambria" w:hAnsi="Cambria"/>
                <w:b/>
                <w:bCs/>
                <w:color w:val="3A3A3A"/>
                <w:sz w:val="18"/>
                <w:szCs w:val="18"/>
              </w:rPr>
              <w:t xml:space="preserve">dummy redundante</w:t>
            </w:r>
            <w:r>
              <w:rPr>
                <w:rFonts w:ascii="Cambria" w:cs="Cambria" w:eastAsia="Cambria" w:hAnsi="Cambria"/>
                <w:color w:val="3A3A3A"/>
                <w:sz w:val="18"/>
                <w:szCs w:val="18"/>
              </w:rPr>
              <w:t xml:space="preserve"> y las </w:t>
            </w:r>
            <w:r>
              <w:rPr>
                <w:rFonts w:ascii="Cambria" w:cs="Cambria" w:eastAsia="Cambria" w:hAnsi="Cambria"/>
                <w:b/>
                <w:bCs/>
                <w:color w:val="3A3A3A"/>
                <w:sz w:val="18"/>
                <w:szCs w:val="18"/>
              </w:rPr>
              <w:t xml:space="preserve">interacciones</w:t>
            </w:r>
            <w:r>
              <w:rPr>
                <w:rFonts w:ascii="Cambria" w:cs="Cambria" w:eastAsia="Cambria" w:hAnsi="Cambria"/>
                <w:color w:val="3A3A3A"/>
                <w:sz w:val="18"/>
                <w:szCs w:val="18"/>
              </w:rPr>
              <w:t xml:space="preserve">) se desarrollan por completo —qué es cada supuesto, con qué prueba o gráfico se identifica, su umbral y su corrección por método, y hasta dónde llega S04— en la guía de supuestos de la sesión. Su recordatorio marcable de un vistazo es </w:t>
            </w:r>
            <w:r>
              <w:rPr>
                <w:rFonts w:ascii="Consolas" w:cs="Consolas" w:eastAsia="Consolas" w:hAnsi="Consolas"/>
                <w:color w:val="7A1526"/>
                <w:sz w:val="16"/>
                <w:szCs w:val="16"/>
              </w:rPr>
              <w:t xml:space="preserve">plantillas/checklist_diagnostico_regresion.docx</w:t>
            </w:r>
            <w:r>
              <w:rPr>
                <w:rFonts w:ascii="Cambria" w:cs="Cambria" w:eastAsia="Cambria" w:hAnsi="Cambria"/>
                <w:color w:val="3A3A3A"/>
                <w:sz w:val="18"/>
                <w:szCs w:val="18"/>
              </w:rPr>
              <w:t xml:space="preserve">.</w:t>
            </w:r>
          </w:p>
        </w:tc>
      </w:tr>
    </w:tbl>
    <w:p>
      <w:pPr>
        <w:spacing w:after="220"/>
      </w:pPr>
    </w:p>
    <w:p>
      <w:pPr>
        <w:spacing w:after="260" w:line="265"/>
      </w:pPr>
      <w:r>
        <w:rPr>
          <w:rFonts w:ascii="Cambria" w:cs="Cambria" w:eastAsia="Cambria" w:hAnsi="Cambria"/>
          <w:i/>
          <w:iCs/>
          <w:color w:val="6E6E6E"/>
          <w:sz w:val="18"/>
          <w:szCs w:val="18"/>
        </w:rPr>
        <w:t xml:space="preserve">Completar </w:t>
      </w:r>
      <w:r>
        <w:rPr>
          <w:rFonts w:ascii="Consolas" w:cs="Consolas" w:eastAsia="Consolas" w:hAnsi="Consolas"/>
          <w:i/>
          <w:iCs/>
          <w:color w:val="7A1526"/>
          <w:sz w:val="16"/>
          <w:szCs w:val="16"/>
        </w:rPr>
        <w:t xml:space="preserve">plantillas/checklist_diagnostico_regresion.docx</w:t>
      </w:r>
      <w:r>
        <w:rPr>
          <w:rFonts w:ascii="Cambria" w:cs="Cambria" w:eastAsia="Cambria" w:hAnsi="Cambria"/>
          <w:i/>
          <w:iCs/>
          <w:color w:val="6E6E6E"/>
          <w:sz w:val="18"/>
          <w:szCs w:val="18"/>
        </w:rPr>
        <w:t xml:space="preserve"> y marcar el resultado de cada prueba (residuales, Q-Q, VIF, Durbin-Watson, Breusch-Pagan, robustos) y anotar la decisión que desencadena cada una: p &lt; 0.05 en Breusch-Pagan ⇒ usar SE robustos / transformar; Durbin-Watson ⇒ se reporta como </w:t>
      </w:r>
      <w:r>
        <w:rPr>
          <w:rFonts w:ascii="Cambria" w:cs="Cambria" w:eastAsia="Cambria" w:hAnsi="Cambria"/>
          <w:b/>
          <w:bCs/>
          <w:i/>
          <w:iCs/>
          <w:color w:val="6E6E6E"/>
          <w:sz w:val="18"/>
          <w:szCs w:val="18"/>
        </w:rPr>
        <w:t xml:space="preserve">señal de dependencia espacial</w:t>
      </w:r>
      <w:r>
        <w:rPr>
          <w:rFonts w:ascii="Cambria" w:cs="Cambria" w:eastAsia="Cambria" w:hAnsi="Cambria"/>
          <w:i/>
          <w:iCs/>
          <w:color w:val="6E6E6E"/>
          <w:sz w:val="18"/>
          <w:szCs w:val="18"/>
        </w:rPr>
        <w:t xml:space="preserve"> —el CSV está agrupado por barrio— y la incertidumbre se juzga además con SE por barrio (hoja </w:t>
      </w:r>
      <w:r>
        <w:rPr>
          <w:rFonts w:ascii="Consolas" w:cs="Consolas" w:eastAsia="Consolas" w:hAnsi="Consolas"/>
          <w:i/>
          <w:iCs/>
          <w:color w:val="7A1526"/>
          <w:sz w:val="16"/>
          <w:szCs w:val="16"/>
        </w:rPr>
        <w:t xml:space="preserve">se_cluster_barrio</w:t>
      </w:r>
      <w:r>
        <w:rPr>
          <w:rFonts w:ascii="Cambria" w:cs="Cambria" w:eastAsia="Cambria" w:hAnsi="Cambria"/>
          <w:i/>
          <w:iCs/>
          <w:color w:val="6E6E6E"/>
          <w:sz w:val="18"/>
          <w:szCs w:val="18"/>
        </w:rPr>
        <w:t xml:space="preserve">); Jarque-Bera ⇒ no-normalidad por colas pesadas, el TCL protege los coeficientes pero no los intervalos de predicción.</w:t>
      </w:r>
    </w:p>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20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A5   </w:t>
            </w:r>
            <w:r>
              <w:rPr>
                <w:rFonts w:ascii="Calibri" w:cs="Calibri" w:eastAsia="Calibri" w:hAnsi="Calibri"/>
                <w:b/>
                <w:bCs/>
                <w:color w:val="7A1526"/>
                <w:sz w:val="19"/>
                <w:szCs w:val="19"/>
              </w:rPr>
              <w:t xml:space="preserve">Coeficientes parciales e interacción zona × tamaño</w:t>
            </w:r>
          </w:p>
          <w:p>
            <w:pPr>
              <w:spacing w:line="265"/>
            </w:pPr>
            <w:r>
              <w:rPr>
                <w:rFonts w:ascii="Cambria" w:cs="Cambria" w:eastAsia="Cambria" w:hAnsi="Cambria"/>
                <w:color w:val="2D2D2D"/>
                <w:sz w:val="19"/>
                <w:szCs w:val="19"/>
              </w:rPr>
              <w:t xml:space="preserve">Leer cada β del modelo </w:t>
            </w:r>
            <w:r>
              <w:rPr>
                <w:rFonts w:ascii="Consolas" w:cs="Consolas" w:eastAsia="Consolas" w:hAnsi="Consolas"/>
                <w:color w:val="7A1526"/>
                <w:sz w:val="17"/>
                <w:szCs w:val="17"/>
              </w:rPr>
              <w:t xml:space="preserve">log(SalePrice) ~ Overall Qual + Gr Liv Area + Garage Cars + Total Bsmt SF + Year Built</w:t>
            </w:r>
            <w:r>
              <w:rPr>
                <w:rFonts w:ascii="Cambria" w:cs="Cambria" w:eastAsia="Cambria" w:hAnsi="Cambria"/>
                <w:color w:val="2D2D2D"/>
                <w:sz w:val="19"/>
                <w:szCs w:val="19"/>
              </w:rPr>
              <w:t xml:space="preserve"> (n = 2923) como cambio </w:t>
            </w:r>
            <w:r>
              <w:rPr>
                <w:rFonts w:ascii="Cambria" w:cs="Cambria" w:eastAsia="Cambria" w:hAnsi="Cambria"/>
                <w:b/>
                <w:bCs/>
                <w:color w:val="2D2D2D"/>
                <w:sz w:val="19"/>
                <w:szCs w:val="19"/>
              </w:rPr>
              <w:t xml:space="preserve">porcentual</w:t>
            </w:r>
            <w:r>
              <w:rPr>
                <w:rFonts w:ascii="Cambria" w:cs="Cambria" w:eastAsia="Cambria" w:hAnsi="Cambria"/>
                <w:color w:val="2D2D2D"/>
                <w:sz w:val="19"/>
                <w:szCs w:val="19"/>
              </w:rPr>
              <w:t xml:space="preserve"> del precio (≈100β %; exacto 100(e^β−1) %), recordando que cada efecto es </w:t>
            </w:r>
            <w:r>
              <w:rPr>
                <w:rFonts w:ascii="Cambria" w:cs="Cambria" w:eastAsia="Cambria" w:hAnsi="Cambria"/>
                <w:b/>
                <w:bCs/>
                <w:color w:val="2D2D2D"/>
                <w:sz w:val="19"/>
                <w:szCs w:val="19"/>
              </w:rPr>
              <w:t xml:space="preserve">parcial</w:t>
            </w:r>
            <w:r>
              <w:rPr>
                <w:rFonts w:ascii="Cambria" w:cs="Cambria" w:eastAsia="Cambria" w:hAnsi="Cambria"/>
                <w:color w:val="2D2D2D"/>
                <w:sz w:val="19"/>
                <w:szCs w:val="19"/>
              </w:rPr>
              <w:t xml:space="preserve">: ya descuenta a las demás variables. Traducir al menos un efecto a dinero absoluto sobre el precio mediano de Ames (~160 000 USD). Construir la interacción zona × tamaño (drill 2): crear la dummy </w:t>
            </w:r>
            <w:r>
              <w:rPr>
                <w:rFonts w:ascii="Consolas" w:cs="Consolas" w:eastAsia="Consolas" w:hAnsi="Consolas"/>
                <w:color w:val="7A1526"/>
                <w:sz w:val="17"/>
                <w:szCs w:val="17"/>
              </w:rPr>
              <w:t xml:space="preserve">premium</w:t>
            </w:r>
            <w:r>
              <w:rPr>
                <w:rFonts w:ascii="Cambria" w:cs="Cambria" w:eastAsia="Cambria" w:hAnsi="Cambria"/>
                <w:color w:val="2D2D2D"/>
                <w:sz w:val="19"/>
                <w:szCs w:val="19"/>
              </w:rPr>
              <w:t xml:space="preserve"> = 1 si el barrio pertenece a la alta gama (</w:t>
            </w:r>
            <w:r>
              <w:rPr>
                <w:rFonts w:ascii="Consolas" w:cs="Consolas" w:eastAsia="Consolas" w:hAnsi="Consolas"/>
                <w:color w:val="7A1526"/>
                <w:sz w:val="17"/>
                <w:szCs w:val="17"/>
              </w:rPr>
              <w:t xml:space="preserve">NridgHt</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NoRidge</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StoneBr</w:t>
            </w:r>
            <w:r>
              <w:rPr>
                <w:rFonts w:ascii="Cambria" w:cs="Cambria" w:eastAsia="Cambria" w:hAnsi="Cambria"/>
                <w:color w:val="2D2D2D"/>
                <w:sz w:val="19"/>
                <w:szCs w:val="19"/>
              </w:rPr>
              <w:t xml:space="preserve">), 0 en el resto, con </w:t>
            </w:r>
            <w:r>
              <w:rPr>
                <w:rFonts w:ascii="Consolas" w:cs="Consolas" w:eastAsia="Consolas" w:hAnsi="Consolas"/>
                <w:color w:val="7A1526"/>
                <w:sz w:val="17"/>
                <w:szCs w:val="17"/>
              </w:rPr>
              <w:t xml:space="preserve">drop_first</w:t>
            </w:r>
            <w:r>
              <w:rPr>
                <w:rFonts w:ascii="Cambria" w:cs="Cambria" w:eastAsia="Cambria" w:hAnsi="Cambria"/>
                <w:color w:val="2D2D2D"/>
                <w:sz w:val="19"/>
                <w:szCs w:val="19"/>
              </w:rPr>
              <w:t xml:space="preserve"> para evitar la </w:t>
            </w:r>
            <w:r>
              <w:rPr>
                <w:rFonts w:ascii="Cambria" w:cs="Cambria" w:eastAsia="Cambria" w:hAnsi="Cambria"/>
                <w:b/>
                <w:bCs/>
                <w:color w:val="2D2D2D"/>
                <w:sz w:val="19"/>
                <w:szCs w:val="19"/>
              </w:rPr>
              <w:t xml:space="preserve">dummy redundante</w:t>
            </w:r>
            <w:r>
              <w:rPr>
                <w:rFonts w:ascii="Cambria" w:cs="Cambria" w:eastAsia="Cambria" w:hAnsi="Cambria"/>
                <w:color w:val="2D2D2D"/>
                <w:sz w:val="19"/>
                <w:szCs w:val="19"/>
              </w:rPr>
              <w:t xml:space="preserve">. Ajustar </w:t>
            </w:r>
            <w:r>
              <w:rPr>
                <w:rFonts w:ascii="Consolas" w:cs="Consolas" w:eastAsia="Consolas" w:hAnsi="Consolas"/>
                <w:color w:val="7A1526"/>
                <w:sz w:val="17"/>
                <w:szCs w:val="17"/>
              </w:rPr>
              <w:t xml:space="preserve">SalePrice ~ Gr Liv Area * premium</w:t>
            </w:r>
            <w:r>
              <w:rPr>
                <w:rFonts w:ascii="Cambria" w:cs="Cambria" w:eastAsia="Cambria" w:hAnsi="Cambria"/>
                <w:color w:val="2D2D2D"/>
                <w:sz w:val="19"/>
                <w:szCs w:val="19"/>
              </w:rPr>
              <w:t xml:space="preserve"> y leer la pendiente condicional en cada zona.</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La tabla de coeficientes parciales leída en unidades de negocio (% y USD) y la interacción </w:t>
            </w:r>
            <w:r>
              <w:rPr>
                <w:rFonts w:ascii="Consolas" w:cs="Consolas" w:eastAsia="Consolas" w:hAnsi="Consolas"/>
                <w:color w:val="7A1526"/>
                <w:sz w:val="17"/>
                <w:szCs w:val="17"/>
              </w:rPr>
              <w:t xml:space="preserve">Gr Liv Area</w:t>
            </w:r>
            <w:r>
              <w:rPr>
                <w:rFonts w:ascii="Cambria" w:cs="Cambria" w:eastAsia="Cambria" w:hAnsi="Cambria"/>
                <w:color w:val="2D2D2D"/>
                <w:sz w:val="19"/>
                <w:szCs w:val="19"/>
              </w:rPr>
              <w:t xml:space="preserve"> * </w:t>
            </w:r>
            <w:r>
              <w:rPr>
                <w:rFonts w:ascii="Consolas" w:cs="Consolas" w:eastAsia="Consolas" w:hAnsi="Consolas"/>
                <w:color w:val="7A1526"/>
                <w:sz w:val="17"/>
                <w:szCs w:val="17"/>
              </w:rPr>
              <w:t xml:space="preserve">premium</w:t>
            </w:r>
            <w:r>
              <w:rPr>
                <w:rFonts w:ascii="Cambria" w:cs="Cambria" w:eastAsia="Cambria" w:hAnsi="Cambria"/>
                <w:color w:val="2D2D2D"/>
                <w:sz w:val="19"/>
                <w:szCs w:val="19"/>
              </w:rPr>
              <w:t xml:space="preserve"> ajustada e interpretada (pendiente base vs. pendiente en barrio </w:t>
            </w:r>
            <w:r>
              <w:rPr>
                <w:rFonts w:ascii="Consolas" w:cs="Consolas" w:eastAsia="Consolas" w:hAnsi="Consolas"/>
                <w:color w:val="7A1526"/>
                <w:sz w:val="17"/>
                <w:szCs w:val="17"/>
              </w:rPr>
              <w:t xml:space="preserve">premium</w:t>
            </w:r>
            <w:r>
              <w:rPr>
                <w:rFonts w:ascii="Cambria" w:cs="Cambria" w:eastAsia="Cambria" w:hAnsi="Cambria"/>
                <w:color w:val="2D2D2D"/>
                <w:sz w:val="19"/>
                <w:szCs w:val="19"/>
              </w:rPr>
              <w:t xml:space="preserve">).</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rPr>
          <w:tblHeader/>
        </w:trPr>
        <w:tc>
          <w:tcPr>
            <w:tcW w:type="dxa" w:w="33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Término</w:t>
            </w:r>
          </w:p>
        </w:tc>
        <w:tc>
          <w:tcPr>
            <w:tcW w:type="dxa" w:w="33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Coef. β</w:t>
            </w:r>
          </w:p>
        </w:tc>
        <w:tc>
          <w:tcPr>
            <w:tcW w:type="dxa" w:w="33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Interpretación (con lo demás constante)</w:t>
            </w:r>
          </w:p>
        </w:tc>
      </w:tr>
      <w:tr>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7A1526"/>
                <w:sz w:val="18"/>
                <w:szCs w:val="18"/>
              </w:rPr>
              <w:t xml:space="preserve">const</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5.821</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Ancla de la escala log; sin sentido literal.</w:t>
            </w:r>
          </w:p>
        </w:tc>
      </w:tr>
      <w:tr>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onsolas" w:cs="Consolas" w:eastAsia="Consolas" w:hAnsi="Consolas"/>
                <w:b/>
                <w:bCs/>
                <w:color w:val="7A1526"/>
                <w:sz w:val="16"/>
                <w:szCs w:val="16"/>
              </w:rPr>
              <w:t xml:space="preserve">Overall Qual</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0.1034</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+1 punto de calidad ⇒ </w:t>
            </w:r>
            <w:r>
              <w:rPr>
                <w:rFonts w:ascii="Calibri" w:cs="Calibri" w:eastAsia="Calibri" w:hAnsi="Calibri"/>
                <w:b/>
                <w:bCs/>
                <w:color w:val="2D2D2D"/>
                <w:sz w:val="18"/>
                <w:szCs w:val="18"/>
              </w:rPr>
              <w:t xml:space="preserve">+10.9 %</w:t>
            </w:r>
            <w:r>
              <w:rPr>
                <w:rFonts w:ascii="Calibri" w:cs="Calibri" w:eastAsia="Calibri" w:hAnsi="Calibri"/>
                <w:b w:val="false"/>
                <w:bCs w:val="false"/>
                <w:color w:val="2D2D2D"/>
                <w:sz w:val="18"/>
                <w:szCs w:val="18"/>
              </w:rPr>
              <w:t xml:space="preserve"> de precio.</w:t>
            </w:r>
          </w:p>
        </w:tc>
      </w:tr>
      <w:tr>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onsolas" w:cs="Consolas" w:eastAsia="Consolas" w:hAnsi="Consolas"/>
                <w:b/>
                <w:bCs/>
                <w:color w:val="7A1526"/>
                <w:sz w:val="16"/>
                <w:szCs w:val="16"/>
              </w:rPr>
              <w:t xml:space="preserve">Gr Liv Area</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0.00028</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+1 pie² ⇒ </w:t>
            </w:r>
            <w:r>
              <w:rPr>
                <w:rFonts w:ascii="Calibri" w:cs="Calibri" w:eastAsia="Calibri" w:hAnsi="Calibri"/>
                <w:b/>
                <w:bCs/>
                <w:color w:val="2D2D2D"/>
                <w:sz w:val="18"/>
                <w:szCs w:val="18"/>
              </w:rPr>
              <w:t xml:space="preserve">+0.028 %</w:t>
            </w:r>
            <w:r>
              <w:rPr>
                <w:rFonts w:ascii="Calibri" w:cs="Calibri" w:eastAsia="Calibri" w:hAnsi="Calibri"/>
                <w:b w:val="false"/>
                <w:bCs w:val="false"/>
                <w:color w:val="2D2D2D"/>
                <w:sz w:val="18"/>
                <w:szCs w:val="18"/>
              </w:rPr>
              <w:t xml:space="preserve"> (≈ +2.8 % por cada 100 pie²).</w:t>
            </w:r>
          </w:p>
        </w:tc>
      </w:tr>
      <w:tr>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onsolas" w:cs="Consolas" w:eastAsia="Consolas" w:hAnsi="Consolas"/>
                <w:b/>
                <w:bCs/>
                <w:color w:val="7A1526"/>
                <w:sz w:val="16"/>
                <w:szCs w:val="16"/>
              </w:rPr>
              <w:t xml:space="preserve">Garage Cars</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0.0601</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+1 plaza de garaje ⇒ </w:t>
            </w:r>
            <w:r>
              <w:rPr>
                <w:rFonts w:ascii="Calibri" w:cs="Calibri" w:eastAsia="Calibri" w:hAnsi="Calibri"/>
                <w:b/>
                <w:bCs/>
                <w:color w:val="2D2D2D"/>
                <w:sz w:val="18"/>
                <w:szCs w:val="18"/>
              </w:rPr>
              <w:t xml:space="preserve">+6.2 %</w:t>
            </w:r>
            <w:r>
              <w:rPr>
                <w:rFonts w:ascii="Calibri" w:cs="Calibri" w:eastAsia="Calibri" w:hAnsi="Calibri"/>
                <w:b w:val="false"/>
                <w:bCs w:val="false"/>
                <w:color w:val="2D2D2D"/>
                <w:sz w:val="18"/>
                <w:szCs w:val="18"/>
              </w:rPr>
              <w:t xml:space="preserve"> de precio.</w:t>
            </w:r>
          </w:p>
        </w:tc>
      </w:tr>
      <w:tr>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onsolas" w:cs="Consolas" w:eastAsia="Consolas" w:hAnsi="Consolas"/>
                <w:b/>
                <w:bCs/>
                <w:color w:val="7A1526"/>
                <w:sz w:val="16"/>
                <w:szCs w:val="16"/>
              </w:rPr>
              <w:t xml:space="preserve">Total Bsmt SF</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0.00019</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+1 pie² de sótano ⇒ </w:t>
            </w:r>
            <w:r>
              <w:rPr>
                <w:rFonts w:ascii="Calibri" w:cs="Calibri" w:eastAsia="Calibri" w:hAnsi="Calibri"/>
                <w:b/>
                <w:bCs/>
                <w:color w:val="2D2D2D"/>
                <w:sz w:val="18"/>
                <w:szCs w:val="18"/>
              </w:rPr>
              <w:t xml:space="preserve">+0.019 %</w:t>
            </w:r>
            <w:r>
              <w:rPr>
                <w:rFonts w:ascii="Calibri" w:cs="Calibri" w:eastAsia="Calibri" w:hAnsi="Calibri"/>
                <w:b w:val="false"/>
                <w:bCs w:val="false"/>
                <w:color w:val="2D2D2D"/>
                <w:sz w:val="18"/>
                <w:szCs w:val="18"/>
              </w:rPr>
              <w:t xml:space="preserve"> de precio.</w:t>
            </w:r>
          </w:p>
        </w:tc>
      </w:tr>
      <w:tr>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onsolas" w:cs="Consolas" w:eastAsia="Consolas" w:hAnsi="Consolas"/>
                <w:b/>
                <w:bCs/>
                <w:color w:val="7A1526"/>
                <w:sz w:val="16"/>
                <w:szCs w:val="16"/>
              </w:rPr>
              <w:t xml:space="preserve">Year Built</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0.00246</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+1 año más nuevo ⇒ </w:t>
            </w:r>
            <w:r>
              <w:rPr>
                <w:rFonts w:ascii="Calibri" w:cs="Calibri" w:eastAsia="Calibri" w:hAnsi="Calibri"/>
                <w:b/>
                <w:bCs/>
                <w:color w:val="2D2D2D"/>
                <w:sz w:val="18"/>
                <w:szCs w:val="18"/>
              </w:rPr>
              <w:t xml:space="preserve">+0.25 %</w:t>
            </w:r>
            <w:r>
              <w:rPr>
                <w:rFonts w:ascii="Calibri" w:cs="Calibri" w:eastAsia="Calibri" w:hAnsi="Calibri"/>
                <w:b w:val="false"/>
                <w:bCs w:val="false"/>
                <w:color w:val="2D2D2D"/>
                <w:sz w:val="18"/>
                <w:szCs w:val="18"/>
              </w:rPr>
              <w:t xml:space="preserve"> de precio.</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1.11   </w:t>
            </w:r>
            <w:r>
              <w:rPr>
                <w:rFonts w:ascii="Calibri" w:cs="Calibri" w:eastAsia="Calibri" w:hAnsi="Calibri"/>
                <w:b/>
                <w:bCs/>
                <w:color w:val="7A1526"/>
                <w:sz w:val="19"/>
                <w:szCs w:val="19"/>
              </w:rPr>
              <w:t xml:space="preserve">Traducir el porcentaje a dinero, y no confundir el efecto parcial con la relación bruta</w:t>
            </w:r>
          </w:p>
          <w:p>
            <w:pPr>
              <w:spacing w:after="70" w:line="265"/>
            </w:pPr>
            <w:r>
              <w:rPr>
                <w:rFonts w:ascii="Cambria" w:cs="Cambria" w:eastAsia="Cambria" w:hAnsi="Cambria"/>
                <w:color w:val="3A3A3A"/>
                <w:sz w:val="18"/>
                <w:szCs w:val="18"/>
              </w:rPr>
              <w:t xml:space="preserve">Los cinco predictores tienen p ≈ 0.000. </w:t>
            </w:r>
            <w:r>
              <w:rPr>
                <w:rFonts w:ascii="Cambria" w:cs="Cambria" w:eastAsia="Cambria" w:hAnsi="Cambria"/>
                <w:b/>
                <w:bCs/>
                <w:color w:val="3A3A3A"/>
                <w:sz w:val="18"/>
                <w:szCs w:val="18"/>
              </w:rPr>
              <w:t xml:space="preserve">En dinero absoluto</w:t>
            </w:r>
            <w:r>
              <w:rPr>
                <w:rFonts w:ascii="Cambria" w:cs="Cambria" w:eastAsia="Cambria" w:hAnsi="Cambria"/>
                <w:color w:val="3A3A3A"/>
                <w:sz w:val="18"/>
                <w:szCs w:val="18"/>
              </w:rPr>
              <w:t xml:space="preserve"> (para no quedarse solo en el porcentaje): sobre una vivienda al </w:t>
            </w:r>
            <w:r>
              <w:rPr>
                <w:rFonts w:ascii="Cambria" w:cs="Cambria" w:eastAsia="Cambria" w:hAnsi="Cambria"/>
                <w:b/>
                <w:bCs/>
                <w:color w:val="3A3A3A"/>
                <w:sz w:val="18"/>
                <w:szCs w:val="18"/>
              </w:rPr>
              <w:t xml:space="preserve">precio mediano de Ames (~160 000 USD)</w:t>
            </w:r>
            <w:r>
              <w:rPr>
                <w:rFonts w:ascii="Cambria" w:cs="Cambria" w:eastAsia="Cambria" w:hAnsi="Cambria"/>
                <w:color w:val="3A3A3A"/>
                <w:sz w:val="18"/>
                <w:szCs w:val="18"/>
              </w:rPr>
              <w:t xml:space="preserve">, +1 punto de calidad general (+10.9 %) vale ≈ </w:t>
            </w:r>
            <w:r>
              <w:rPr>
                <w:rFonts w:ascii="Cambria" w:cs="Cambria" w:eastAsia="Cambria" w:hAnsi="Cambria"/>
                <w:b/>
                <w:bCs/>
                <w:color w:val="3A3A3A"/>
                <w:sz w:val="18"/>
                <w:szCs w:val="18"/>
              </w:rPr>
              <w:t xml:space="preserve">+17 400 USD</w:t>
            </w:r>
            <w:r>
              <w:rPr>
                <w:rFonts w:ascii="Cambria" w:cs="Cambria" w:eastAsia="Cambria" w:hAnsi="Cambria"/>
                <w:color w:val="3A3A3A"/>
                <w:sz w:val="18"/>
                <w:szCs w:val="18"/>
              </w:rPr>
              <w:t xml:space="preserve"> — traducir el efecto porcentual a USD sobre una casa concreta es lo que hace la lectura accionable para el tasador. La clave conceptual: el efecto </w:t>
            </w:r>
            <w:r>
              <w:rPr>
                <w:rFonts w:ascii="Cambria" w:cs="Cambria" w:eastAsia="Cambria" w:hAnsi="Cambria"/>
                <w:b/>
                <w:bCs/>
                <w:color w:val="3A3A3A"/>
                <w:sz w:val="18"/>
                <w:szCs w:val="18"/>
              </w:rPr>
              <w:t xml:space="preserve">parcial</w:t>
            </w:r>
            <w:r>
              <w:rPr>
                <w:rFonts w:ascii="Cambria" w:cs="Cambria" w:eastAsia="Cambria" w:hAnsi="Cambria"/>
                <w:color w:val="3A3A3A"/>
                <w:sz w:val="18"/>
                <w:szCs w:val="18"/>
              </w:rPr>
              <w:t xml:space="preserve"> del tamaño (una vez descontadas calidad, garaje, sótano y año) no es la relación bruta de 116 USD/pie² del paso 3; confundir ambos —o leer un β parcial como efecto causal— es el error de interpretación más frecuente.</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1.12   </w:t>
            </w:r>
            <w:r>
              <w:rPr>
                <w:rFonts w:ascii="Calibri" w:cs="Calibri" w:eastAsia="Calibri" w:hAnsi="Calibri"/>
                <w:b/>
                <w:bCs/>
                <w:color w:val="7A1526"/>
                <w:sz w:val="19"/>
                <w:szCs w:val="19"/>
              </w:rPr>
              <w:t xml:space="preserve">La interacción zona × tamaño: el efecto del tamaño depende de la zona</w:t>
            </w:r>
          </w:p>
          <w:p>
            <w:pPr>
              <w:spacing w:after="70" w:line="265"/>
            </w:pPr>
            <w:r>
              <w:rPr>
                <w:rFonts w:ascii="Cambria" w:cs="Cambria" w:eastAsia="Cambria" w:hAnsi="Cambria"/>
                <w:color w:val="3A3A3A"/>
                <w:sz w:val="18"/>
                <w:szCs w:val="18"/>
              </w:rPr>
              <w:t xml:space="preserve">Crear la dummy </w:t>
            </w:r>
            <w:r>
              <w:rPr>
                <w:rFonts w:ascii="Consolas" w:cs="Consolas" w:eastAsia="Consolas" w:hAnsi="Consolas"/>
                <w:color w:val="7A1526"/>
                <w:sz w:val="16"/>
                <w:szCs w:val="16"/>
              </w:rPr>
              <w:t xml:space="preserve">premium</w:t>
            </w:r>
            <w:r>
              <w:rPr>
                <w:rFonts w:ascii="Cambria" w:cs="Cambria" w:eastAsia="Cambria" w:hAnsi="Cambria"/>
                <w:color w:val="3A3A3A"/>
                <w:sz w:val="18"/>
                <w:szCs w:val="18"/>
              </w:rPr>
              <w:t xml:space="preserve"> = 1 si el barrio pertenece a la alta gama (</w:t>
            </w:r>
            <w:r>
              <w:rPr>
                <w:rFonts w:ascii="Consolas" w:cs="Consolas" w:eastAsia="Consolas" w:hAnsi="Consolas"/>
                <w:color w:val="7A1526"/>
                <w:sz w:val="16"/>
                <w:szCs w:val="16"/>
              </w:rPr>
              <w:t xml:space="preserve">NridgHt</w:t>
            </w:r>
            <w:r>
              <w:rPr>
                <w:rFonts w:ascii="Cambria" w:cs="Cambria" w:eastAsia="Cambria" w:hAnsi="Cambria"/>
                <w:color w:val="3A3A3A"/>
                <w:sz w:val="18"/>
                <w:szCs w:val="18"/>
              </w:rPr>
              <w:t xml:space="preserve">, </w:t>
            </w:r>
            <w:r>
              <w:rPr>
                <w:rFonts w:ascii="Consolas" w:cs="Consolas" w:eastAsia="Consolas" w:hAnsi="Consolas"/>
                <w:color w:val="7A1526"/>
                <w:sz w:val="16"/>
                <w:szCs w:val="16"/>
              </w:rPr>
              <w:t xml:space="preserve">NoRidge</w:t>
            </w:r>
            <w:r>
              <w:rPr>
                <w:rFonts w:ascii="Cambria" w:cs="Cambria" w:eastAsia="Cambria" w:hAnsi="Cambria"/>
                <w:color w:val="3A3A3A"/>
                <w:sz w:val="18"/>
                <w:szCs w:val="18"/>
              </w:rPr>
              <w:t xml:space="preserve">, </w:t>
            </w:r>
            <w:r>
              <w:rPr>
                <w:rFonts w:ascii="Consolas" w:cs="Consolas" w:eastAsia="Consolas" w:hAnsi="Consolas"/>
                <w:color w:val="7A1526"/>
                <w:sz w:val="16"/>
                <w:szCs w:val="16"/>
              </w:rPr>
              <w:t xml:space="preserve">StoneBr</w:t>
            </w:r>
            <w:r>
              <w:rPr>
                <w:rFonts w:ascii="Cambria" w:cs="Cambria" w:eastAsia="Cambria" w:hAnsi="Cambria"/>
                <w:color w:val="3A3A3A"/>
                <w:sz w:val="18"/>
                <w:szCs w:val="18"/>
              </w:rPr>
              <w:t xml:space="preserve">), 0 en el resto (con </w:t>
            </w:r>
            <w:r>
              <w:rPr>
                <w:rFonts w:ascii="Consolas" w:cs="Consolas" w:eastAsia="Consolas" w:hAnsi="Consolas"/>
                <w:color w:val="7A1526"/>
                <w:sz w:val="16"/>
                <w:szCs w:val="16"/>
              </w:rPr>
              <w:t xml:space="preserve">drop_first</w:t>
            </w:r>
            <w:r>
              <w:rPr>
                <w:rFonts w:ascii="Cambria" w:cs="Cambria" w:eastAsia="Cambria" w:hAnsi="Cambria"/>
                <w:color w:val="3A3A3A"/>
                <w:sz w:val="18"/>
                <w:szCs w:val="18"/>
              </w:rPr>
              <w:t xml:space="preserve"> para evitar la </w:t>
            </w:r>
            <w:r>
              <w:rPr>
                <w:rFonts w:ascii="Cambria" w:cs="Cambria" w:eastAsia="Cambria" w:hAnsi="Cambria"/>
                <w:b/>
                <w:bCs/>
                <w:color w:val="3A3A3A"/>
                <w:sz w:val="18"/>
                <w:szCs w:val="18"/>
              </w:rPr>
              <w:t xml:space="preserve">dummy redundante</w:t>
            </w:r>
            <w:r>
              <w:rPr>
                <w:rFonts w:ascii="Cambria" w:cs="Cambria" w:eastAsia="Cambria" w:hAnsi="Cambria"/>
                <w:color w:val="3A3A3A"/>
                <w:sz w:val="18"/>
                <w:szCs w:val="18"/>
              </w:rPr>
              <w:t xml:space="preserve">: incluir todas las categorías más el intercepto genera colinealidad perfecta y el modelo no estima). Ajustar </w:t>
            </w:r>
            <w:r>
              <w:rPr>
                <w:rFonts w:ascii="Consolas" w:cs="Consolas" w:eastAsia="Consolas" w:hAnsi="Consolas"/>
                <w:color w:val="7A1526"/>
                <w:sz w:val="16"/>
                <w:szCs w:val="16"/>
              </w:rPr>
              <w:t xml:space="preserve">SalePrice ~ Gr Liv Area * premium</w:t>
            </w:r>
            <w:r>
              <w:rPr>
                <w:rFonts w:ascii="Cambria" w:cs="Cambria" w:eastAsia="Cambria" w:hAnsi="Cambria"/>
                <w:color w:val="3A3A3A"/>
                <w:sz w:val="18"/>
                <w:szCs w:val="18"/>
              </w:rPr>
              <w:t xml:space="preserve"> (el operador * incluye los términos principales y su producto, que respeta el principio de jerarquía). Con x = </w:t>
            </w:r>
            <w:r>
              <w:rPr>
                <w:rFonts w:ascii="Consolas" w:cs="Consolas" w:eastAsia="Consolas" w:hAnsi="Consolas"/>
                <w:color w:val="7A1526"/>
                <w:sz w:val="16"/>
                <w:szCs w:val="16"/>
              </w:rPr>
              <w:t xml:space="preserve">Gr Liv Area</w:t>
            </w:r>
            <w:r>
              <w:rPr>
                <w:rFonts w:ascii="Cambria" w:cs="Cambria" w:eastAsia="Cambria" w:hAnsi="Cambria"/>
                <w:color w:val="3A3A3A"/>
                <w:sz w:val="18"/>
                <w:szCs w:val="18"/>
              </w:rPr>
              <w:t xml:space="preserve"> y z = </w:t>
            </w:r>
            <w:r>
              <w:rPr>
                <w:rFonts w:ascii="Consolas" w:cs="Consolas" w:eastAsia="Consolas" w:hAnsi="Consolas"/>
                <w:color w:val="7A1526"/>
                <w:sz w:val="16"/>
                <w:szCs w:val="16"/>
              </w:rPr>
              <w:t xml:space="preserve">premium</w:t>
            </w:r>
            <w:r>
              <w:rPr>
                <w:rFonts w:ascii="Cambria" w:cs="Cambria" w:eastAsia="Cambria" w:hAnsi="Cambria"/>
                <w:color w:val="3A3A3A"/>
                <w:sz w:val="18"/>
                <w:szCs w:val="18"/>
              </w:rPr>
              <w:t xml:space="preserve">, el modelo es y = β0 + β1x + β2z + β3xz, y la pendiente del tamaño deja de ser constante: es el </w:t>
            </w:r>
            <w:r>
              <w:rPr>
                <w:rFonts w:ascii="Cambria" w:cs="Cambria" w:eastAsia="Cambria" w:hAnsi="Cambria"/>
                <w:b/>
                <w:bCs/>
                <w:color w:val="3A3A3A"/>
                <w:sz w:val="18"/>
                <w:szCs w:val="18"/>
              </w:rPr>
              <w:t xml:space="preserve">efecto marginal</w:t>
            </w:r>
            <w:r>
              <w:rPr>
                <w:rFonts w:ascii="Cambria" w:cs="Cambria" w:eastAsia="Cambria" w:hAnsi="Cambria"/>
                <w:color w:val="3A3A3A"/>
                <w:sz w:val="18"/>
                <w:szCs w:val="18"/>
              </w:rPr>
              <w:t xml:space="preserve"> condicionado a la zona, β1 + β3z.</w:t>
            </w:r>
          </w:p>
          <w:p>
            <w:pPr>
              <w:spacing w:after="70" w:line="265"/>
            </w:pPr>
            <w:r>
              <w:rPr>
                <w:rFonts w:ascii="Cambria" w:cs="Cambria" w:eastAsia="Cambria" w:hAnsi="Cambria"/>
                <w:b/>
                <w:bCs/>
                <w:color w:val="3A3A3A"/>
                <w:sz w:val="18"/>
                <w:szCs w:val="18"/>
              </w:rPr>
              <w:t xml:space="preserve">Pendiente base (barrio no </w:t>
            </w:r>
            <w:r>
              <w:rPr>
                <w:rFonts w:ascii="Consolas" w:cs="Consolas" w:eastAsia="Consolas" w:hAnsi="Consolas"/>
                <w:b/>
                <w:bCs/>
                <w:color w:val="7A1526"/>
                <w:sz w:val="16"/>
                <w:szCs w:val="16"/>
              </w:rPr>
              <w:t xml:space="preserve">premium</w:t>
            </w:r>
            <w:r>
              <w:rPr>
                <w:rFonts w:ascii="Cambria" w:cs="Cambria" w:eastAsia="Cambria" w:hAnsi="Cambria"/>
                <w:b/>
                <w:bCs/>
                <w:color w:val="3A3A3A"/>
                <w:sz w:val="18"/>
                <w:szCs w:val="18"/>
              </w:rPr>
              <w:t xml:space="preserve">, z = 0):</w:t>
            </w:r>
            <w:r>
              <w:rPr>
                <w:rFonts w:ascii="Cambria" w:cs="Cambria" w:eastAsia="Cambria" w:hAnsi="Cambria"/>
                <w:color w:val="3A3A3A"/>
                <w:sz w:val="18"/>
                <w:szCs w:val="18"/>
              </w:rPr>
              <w:t xml:space="preserve"> β1 ≈ </w:t>
            </w:r>
            <w:r>
              <w:rPr>
                <w:rFonts w:ascii="Cambria" w:cs="Cambria" w:eastAsia="Cambria" w:hAnsi="Cambria"/>
                <w:b/>
                <w:bCs/>
                <w:color w:val="3A3A3A"/>
                <w:sz w:val="18"/>
                <w:szCs w:val="18"/>
              </w:rPr>
              <w:t xml:space="preserve">88 USD/pie²</w:t>
            </w:r>
            <w:r>
              <w:rPr>
                <w:rFonts w:ascii="Cambria" w:cs="Cambria" w:eastAsia="Cambria" w:hAnsi="Cambria"/>
                <w:color w:val="3A3A3A"/>
                <w:sz w:val="18"/>
                <w:szCs w:val="18"/>
              </w:rPr>
              <w:t xml:space="preserve">. </w:t>
            </w:r>
            <w:r>
              <w:rPr>
                <w:rFonts w:ascii="Cambria" w:cs="Cambria" w:eastAsia="Cambria" w:hAnsi="Cambria"/>
                <w:b/>
                <w:bCs/>
                <w:color w:val="3A3A3A"/>
                <w:sz w:val="18"/>
                <w:szCs w:val="18"/>
              </w:rPr>
              <w:t xml:space="preserve">Coeficiente de la interacción (β3):</w:t>
            </w:r>
            <w:r>
              <w:rPr>
                <w:rFonts w:ascii="Cambria" w:cs="Cambria" w:eastAsia="Cambria" w:hAnsi="Cambria"/>
                <w:color w:val="3A3A3A"/>
                <w:sz w:val="18"/>
                <w:szCs w:val="18"/>
              </w:rPr>
              <w:t xml:space="preserve"> ≈ </w:t>
            </w:r>
            <w:r>
              <w:rPr>
                <w:rFonts w:ascii="Cambria" w:cs="Cambria" w:eastAsia="Cambria" w:hAnsi="Cambria"/>
                <w:b/>
                <w:bCs/>
                <w:color w:val="3A3A3A"/>
                <w:sz w:val="18"/>
                <w:szCs w:val="18"/>
              </w:rPr>
              <w:t xml:space="preserve">+42.7 USD/pie²</w:t>
            </w:r>
            <w:r>
              <w:rPr>
                <w:rFonts w:ascii="Cambria" w:cs="Cambria" w:eastAsia="Cambria" w:hAnsi="Cambria"/>
                <w:color w:val="3A3A3A"/>
                <w:sz w:val="18"/>
                <w:szCs w:val="18"/>
              </w:rPr>
              <w:t xml:space="preserve">, </w:t>
            </w:r>
            <w:r>
              <w:rPr>
                <w:rFonts w:ascii="Cambria" w:cs="Cambria" w:eastAsia="Cambria" w:hAnsi="Cambria"/>
                <w:b/>
                <w:bCs/>
                <w:color w:val="3A3A3A"/>
                <w:sz w:val="18"/>
                <w:szCs w:val="18"/>
              </w:rPr>
              <w:t xml:space="preserve">p &lt; 0.001</w:t>
            </w:r>
            <w:r>
              <w:rPr>
                <w:rFonts w:ascii="Cambria" w:cs="Cambria" w:eastAsia="Cambria" w:hAnsi="Cambria"/>
                <w:color w:val="3A3A3A"/>
                <w:sz w:val="18"/>
                <w:szCs w:val="18"/>
              </w:rPr>
              <w:t xml:space="preserve">; R² = 0.641. </w:t>
            </w:r>
            <w:r>
              <w:rPr>
                <w:rFonts w:ascii="Cambria" w:cs="Cambria" w:eastAsia="Cambria" w:hAnsi="Cambria"/>
                <w:b/>
                <w:bCs/>
                <w:color w:val="3A3A3A"/>
                <w:sz w:val="18"/>
                <w:szCs w:val="18"/>
              </w:rPr>
              <w:t xml:space="preserve">Lectura:</w:t>
            </w:r>
            <w:r>
              <w:rPr>
                <w:rFonts w:ascii="Cambria" w:cs="Cambria" w:eastAsia="Cambria" w:hAnsi="Cambria"/>
                <w:color w:val="3A3A3A"/>
                <w:sz w:val="18"/>
                <w:szCs w:val="18"/>
              </w:rPr>
              <w:t xml:space="preserve"> en un barrio </w:t>
            </w:r>
            <w:r>
              <w:rPr>
                <w:rFonts w:ascii="Consolas" w:cs="Consolas" w:eastAsia="Consolas" w:hAnsi="Consolas"/>
                <w:color w:val="7A1526"/>
                <w:sz w:val="16"/>
                <w:szCs w:val="16"/>
              </w:rPr>
              <w:t xml:space="preserve">premium</w:t>
            </w:r>
            <w:r>
              <w:rPr>
                <w:rFonts w:ascii="Cambria" w:cs="Cambria" w:eastAsia="Cambria" w:hAnsi="Cambria"/>
                <w:color w:val="3A3A3A"/>
                <w:sz w:val="18"/>
                <w:szCs w:val="18"/>
              </w:rPr>
              <w:t xml:space="preserve"> (z = 1), cada pie² adicional vale ≈ 88 + 42.7 = </w:t>
            </w:r>
            <w:r>
              <w:rPr>
                <w:rFonts w:ascii="Cambria" w:cs="Cambria" w:eastAsia="Cambria" w:hAnsi="Cambria"/>
                <w:b/>
                <w:bCs/>
                <w:color w:val="3A3A3A"/>
                <w:sz w:val="18"/>
                <w:szCs w:val="18"/>
              </w:rPr>
              <w:t xml:space="preserve">~131 USD</w:t>
            </w:r>
            <w:r>
              <w:rPr>
                <w:rFonts w:ascii="Cambria" w:cs="Cambria" w:eastAsia="Cambria" w:hAnsi="Cambria"/>
                <w:color w:val="3A3A3A"/>
                <w:sz w:val="18"/>
                <w:szCs w:val="18"/>
              </w:rPr>
              <w:t xml:space="preserve">, casi </w:t>
            </w:r>
            <w:r>
              <w:rPr>
                <w:rFonts w:ascii="Cambria" w:cs="Cambria" w:eastAsia="Cambria" w:hAnsi="Cambria"/>
                <w:b/>
                <w:bCs/>
                <w:color w:val="3A3A3A"/>
                <w:sz w:val="18"/>
                <w:szCs w:val="18"/>
              </w:rPr>
              <w:t xml:space="preserve">50 % más</w:t>
            </w:r>
            <w:r>
              <w:rPr>
                <w:rFonts w:ascii="Cambria" w:cs="Cambria" w:eastAsia="Cambria" w:hAnsi="Cambria"/>
                <w:color w:val="3A3A3A"/>
                <w:sz w:val="18"/>
                <w:szCs w:val="18"/>
              </w:rPr>
              <w:t xml:space="preserve"> que en el resto. </w:t>
            </w:r>
            <w:r>
              <w:rPr>
                <w:rFonts w:ascii="Cambria" w:cs="Cambria" w:eastAsia="Cambria" w:hAnsi="Cambria"/>
                <w:i/>
                <w:iCs/>
                <w:color w:val="3A3A3A"/>
                <w:sz w:val="18"/>
                <w:szCs w:val="18"/>
              </w:rPr>
              <w:t xml:space="preserve">El efecto del tamaño sobre el precio depende de la zona.</w:t>
            </w:r>
          </w:p>
          <w:p>
            <w:pPr>
              <w:spacing w:after="70" w:line="265"/>
            </w:pPr>
            <w:r>
              <w:rPr>
                <w:rFonts w:ascii="Cambria" w:cs="Cambria" w:eastAsia="Cambria" w:hAnsi="Cambria"/>
                <w:color w:val="3A3A3A"/>
                <w:sz w:val="18"/>
                <w:szCs w:val="18"/>
              </w:rPr>
              <w:t xml:space="preserve">Con la interacción, la pendiente de </w:t>
            </w:r>
            <w:r>
              <w:rPr>
                <w:rFonts w:ascii="Consolas" w:cs="Consolas" w:eastAsia="Consolas" w:hAnsi="Consolas"/>
                <w:color w:val="7A1526"/>
                <w:sz w:val="16"/>
                <w:szCs w:val="16"/>
              </w:rPr>
              <w:t xml:space="preserve">Gr Liv Area</w:t>
            </w:r>
            <w:r>
              <w:rPr>
                <w:rFonts w:ascii="Cambria" w:cs="Cambria" w:eastAsia="Cambria" w:hAnsi="Cambria"/>
                <w:color w:val="3A3A3A"/>
                <w:sz w:val="18"/>
                <w:szCs w:val="18"/>
              </w:rPr>
              <w:t xml:space="preserve"> ya no es única: es β1 + β3z. No se interpreta β1 de forma aislada como «el efecto del tamaño»; el coeficiente principal es el efecto </w:t>
            </w:r>
            <w:r>
              <w:rPr>
                <w:rFonts w:ascii="Cambria" w:cs="Cambria" w:eastAsia="Cambria" w:hAnsi="Cambria"/>
                <w:b/>
                <w:bCs/>
                <w:color w:val="3A3A3A"/>
                <w:sz w:val="18"/>
                <w:szCs w:val="18"/>
              </w:rPr>
              <w:t xml:space="preserve">solo</w:t>
            </w:r>
            <w:r>
              <w:rPr>
                <w:rFonts w:ascii="Cambria" w:cs="Cambria" w:eastAsia="Cambria" w:hAnsi="Cambria"/>
                <w:color w:val="3A3A3A"/>
                <w:sz w:val="18"/>
                <w:szCs w:val="18"/>
              </w:rPr>
              <w:t xml:space="preserve"> en el grupo de referencia (z = 0, no </w:t>
            </w:r>
            <w:r>
              <w:rPr>
                <w:rFonts w:ascii="Consolas" w:cs="Consolas" w:eastAsia="Consolas" w:hAnsi="Consolas"/>
                <w:color w:val="7A1526"/>
                <w:sz w:val="16"/>
                <w:szCs w:val="16"/>
              </w:rPr>
              <w:t xml:space="preserve">premium</w:t>
            </w:r>
            <w:r>
              <w:rPr>
                <w:rFonts w:ascii="Cambria" w:cs="Cambria" w:eastAsia="Cambria" w:hAnsi="Cambria"/>
                <w:color w:val="3A3A3A"/>
                <w:sz w:val="18"/>
                <w:szCs w:val="18"/>
              </w:rPr>
              <w:t xml:space="preserve">). Decir «el tamaño añade 88 USD/pie²» sin condicionar por zona ignora que en barrios </w:t>
            </w:r>
            <w:r>
              <w:rPr>
                <w:rFonts w:ascii="Consolas" w:cs="Consolas" w:eastAsia="Consolas" w:hAnsi="Consolas"/>
                <w:color w:val="7A1526"/>
                <w:sz w:val="16"/>
                <w:szCs w:val="16"/>
              </w:rPr>
              <w:t xml:space="preserve">premium</w:t>
            </w:r>
            <w:r>
              <w:rPr>
                <w:rFonts w:ascii="Cambria" w:cs="Cambria" w:eastAsia="Cambria" w:hAnsi="Cambria"/>
                <w:color w:val="3A3A3A"/>
                <w:sz w:val="18"/>
                <w:szCs w:val="18"/>
              </w:rPr>
              <w:t xml:space="preserve"> el valor marginal es mucho mayor.</w:t>
            </w:r>
          </w:p>
        </w:tc>
      </w:tr>
    </w:tbl>
    <w:p>
      <w:r>
        <w:br w:type="page"/>
      </w:r>
    </w:p>
    <w:p>
      <w:pPr>
        <w:keepNext/>
        <w:spacing w:after="60" w:before="120"/>
      </w:pPr>
      <w:r>
        <w:rPr>
          <w:rFonts w:ascii="Calibri" w:cs="Calibri" w:eastAsia="Calibri" w:hAnsi="Calibri"/>
          <w:b/>
          <w:bCs/>
          <w:color w:val="7A1526"/>
          <w:sz w:val="24"/>
          <w:szCs w:val="24"/>
        </w:rPr>
        <w:t xml:space="preserve">2.  </w:t>
      </w:r>
      <w:r>
        <w:rPr>
          <w:rFonts w:ascii="Calibri" w:cs="Calibri" w:eastAsia="Calibri" w:hAnsi="Calibri"/>
          <w:b/>
          <w:bCs/>
          <w:color w:val="7A1526"/>
          <w:spacing w:val="20"/>
          <w:sz w:val="24"/>
          <w:szCs w:val="24"/>
        </w:rPr>
        <w:t xml:space="preserve">DEL PAPER AL NEGOCIO: VALORACIÓN DE PRECIO CON RECOMENDACIÓN</w:t>
      </w:r>
    </w:p>
    <w:p>
      <w:pPr>
        <w:keepNext/>
        <w:pBdr>
          <w:bottom w:val="single" w:color="E4002B" w:sz="14" w:space="8"/>
        </w:pBdr>
        <w:spacing w:after="140"/>
      </w:pPr>
      <w:r>
        <w:rPr>
          <w:rFonts w:ascii="Cambria" w:cs="Cambria" w:eastAsia="Cambria" w:hAnsi="Cambria"/>
          <w:i/>
          <w:iCs/>
          <w:color w:val="6E6E6E"/>
          <w:sz w:val="19"/>
          <w:szCs w:val="19"/>
        </w:rPr>
        <w:t xml:space="preserve">viernes · capítulo 4.8, Sección 5 del cuaderno · Paso 6</w:t>
      </w:r>
      <w:r>
        <w:rPr>
          <w:rFonts w:ascii="Cambria" w:cs="Cambria" w:eastAsia="Cambria" w:hAnsi="Cambria"/>
          <w:b/>
          <w:bCs/>
          <w:color w:val="7A1526"/>
          <w:sz w:val="19"/>
          <w:szCs w:val="19"/>
        </w:rPr>
        <w:t xml:space="preserve">   |   ~25 min (ventana de aula: 40 min)</w:t>
      </w:r>
    </w:p>
    <w:p>
      <w:pPr>
        <w:spacing w:line="270"/>
      </w:pPr>
      <w:r>
        <w:rPr>
          <w:rFonts w:ascii="Cambria" w:cs="Cambria" w:eastAsia="Cambria" w:hAnsi="Cambria"/>
          <w:color w:val="2D2D2D"/>
          <w:sz w:val="20"/>
          <w:szCs w:val="20"/>
        </w:rPr>
        <w:t xml:space="preserve">Se pasa de la réplica histórica a la decisión de negocio con la misma técnica: </w:t>
      </w:r>
      <w:r>
        <w:rPr>
          <w:rFonts w:ascii="Cambria" w:cs="Cambria" w:eastAsia="Cambria" w:hAnsi="Cambria"/>
          <w:b/>
          <w:bCs/>
          <w:color w:val="2D2D2D"/>
          <w:sz w:val="20"/>
          <w:szCs w:val="20"/>
        </w:rPr>
        <w:t xml:space="preserve">regresión múltiple</w:t>
      </w:r>
      <w:r>
        <w:rPr>
          <w:rFonts w:ascii="Cambria" w:cs="Cambria" w:eastAsia="Cambria" w:hAnsi="Cambria"/>
          <w:color w:val="2D2D2D"/>
          <w:sz w:val="20"/>
          <w:szCs w:val="20"/>
        </w:rPr>
        <w:t xml:space="preserve">. El caso puede trabajarse sobre el subconjunto de negocio </w:t>
      </w:r>
      <w:r>
        <w:rPr>
          <w:rFonts w:ascii="Consolas" w:cs="Consolas" w:eastAsia="Consolas" w:hAnsi="Consolas"/>
          <w:color w:val="7A1526"/>
          <w:sz w:val="18"/>
          <w:szCs w:val="18"/>
        </w:rPr>
        <w:t xml:space="preserve">AmesHousing_kaggle.csv</w:t>
      </w:r>
      <w:r>
        <w:rPr>
          <w:rFonts w:ascii="Cambria" w:cs="Cambria" w:eastAsia="Cambria" w:hAnsi="Cambria"/>
          <w:color w:val="2D2D2D"/>
          <w:sz w:val="20"/>
          <w:szCs w:val="20"/>
        </w:rPr>
        <w:t xml:space="preserve"> (1460×81, nombres </w:t>
      </w:r>
      <w:r>
        <w:rPr>
          <w:rFonts w:ascii="Cambria" w:cs="Cambria" w:eastAsia="Cambria" w:hAnsi="Cambria"/>
          <w:b/>
          <w:bCs/>
          <w:color w:val="2D2D2D"/>
          <w:sz w:val="20"/>
          <w:szCs w:val="20"/>
        </w:rPr>
        <w:t xml:space="preserve">sin</w:t>
      </w:r>
      <w:r>
        <w:rPr>
          <w:rFonts w:ascii="Cambria" w:cs="Cambria" w:eastAsia="Cambria" w:hAnsi="Cambria"/>
          <w:color w:val="2D2D2D"/>
          <w:sz w:val="20"/>
          <w:szCs w:val="20"/>
        </w:rPr>
        <w:t xml:space="preserve"> espacios), que espeja el </w:t>
      </w:r>
      <w:r>
        <w:rPr>
          <w:rFonts w:ascii="Cambria" w:cs="Cambria" w:eastAsia="Cambria" w:hAnsi="Cambria"/>
          <w:i/>
          <w:iCs/>
          <w:color w:val="2D2D2D"/>
          <w:sz w:val="20"/>
          <w:szCs w:val="20"/>
        </w:rPr>
        <w:t xml:space="preserve">train</w:t>
      </w:r>
      <w:r>
        <w:rPr>
          <w:rFonts w:ascii="Cambria" w:cs="Cambria" w:eastAsia="Cambria" w:hAnsi="Cambria"/>
          <w:color w:val="2D2D2D"/>
          <w:sz w:val="20"/>
          <w:szCs w:val="20"/>
        </w:rPr>
        <w:t xml:space="preserve"> de Kaggle; la lógica es idéntica salvo la convención de nombres.</w:t>
      </w:r>
    </w:p>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10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B0   </w:t>
            </w:r>
            <w:r>
              <w:rPr>
                <w:rFonts w:ascii="Calibri" w:cs="Calibri" w:eastAsia="Calibri" w:hAnsi="Calibri"/>
                <w:b/>
                <w:bCs/>
                <w:color w:val="7A1526"/>
                <w:sz w:val="19"/>
                <w:szCs w:val="19"/>
              </w:rPr>
              <w:t xml:space="preserve">Elegir el modelo por validación cruzada</w:t>
            </w:r>
          </w:p>
          <w:p>
            <w:pPr>
              <w:spacing w:line="265"/>
            </w:pPr>
            <w:r>
              <w:rPr>
                <w:rFonts w:ascii="Cambria" w:cs="Cambria" w:eastAsia="Cambria" w:hAnsi="Cambria"/>
                <w:color w:val="2D2D2D"/>
                <w:sz w:val="19"/>
                <w:szCs w:val="19"/>
              </w:rPr>
              <w:t xml:space="preserve">El R² in-sample siempre sube al añadir predictores, así que no sirve para elegir: la prueba honesta de generalización es la </w:t>
            </w:r>
            <w:r>
              <w:rPr>
                <w:rFonts w:ascii="Cambria" w:cs="Cambria" w:eastAsia="Cambria" w:hAnsi="Cambria"/>
                <w:b/>
                <w:bCs/>
                <w:color w:val="2D2D2D"/>
                <w:sz w:val="19"/>
                <w:szCs w:val="19"/>
              </w:rPr>
              <w:t xml:space="preserve">validación cruzada 5-fold</w:t>
            </w:r>
            <w:r>
              <w:rPr>
                <w:rFonts w:ascii="Cambria" w:cs="Cambria" w:eastAsia="Cambria" w:hAnsi="Cambria"/>
                <w:color w:val="2D2D2D"/>
                <w:sz w:val="19"/>
                <w:szCs w:val="19"/>
              </w:rPr>
              <w:t xml:space="preserve"> (KFold(5, shuffle=True, </w:t>
            </w:r>
            <w:r>
              <w:rPr>
                <w:rFonts w:ascii="Consolas" w:cs="Consolas" w:eastAsia="Consolas" w:hAnsi="Consolas"/>
                <w:color w:val="7A1526"/>
                <w:sz w:val="17"/>
                <w:szCs w:val="17"/>
              </w:rPr>
              <w:t xml:space="preserve">random_state</w:t>
            </w:r>
            <w:r>
              <w:rPr>
                <w:rFonts w:ascii="Cambria" w:cs="Cambria" w:eastAsia="Cambria" w:hAnsi="Cambria"/>
                <w:color w:val="2D2D2D"/>
                <w:sz w:val="19"/>
                <w:szCs w:val="19"/>
              </w:rPr>
              <w:t xml:space="preserve">=42) + </w:t>
            </w:r>
            <w:r>
              <w:rPr>
                <w:rFonts w:ascii="Consolas" w:cs="Consolas" w:eastAsia="Consolas" w:hAnsi="Consolas"/>
                <w:color w:val="7A1526"/>
                <w:sz w:val="17"/>
                <w:szCs w:val="17"/>
              </w:rPr>
              <w:t xml:space="preserve">cross_val_score</w:t>
            </w:r>
            <w:r>
              <w:rPr>
                <w:rFonts w:ascii="Cambria" w:cs="Cambria" w:eastAsia="Cambria" w:hAnsi="Cambria"/>
                <w:color w:val="2D2D2D"/>
                <w:sz w:val="19"/>
                <w:szCs w:val="19"/>
              </w:rPr>
              <w:t xml:space="preserve">(scoring='</w:t>
            </w:r>
            <w:r>
              <w:rPr>
                <w:rFonts w:ascii="Consolas" w:cs="Consolas" w:eastAsia="Consolas" w:hAnsi="Consolas"/>
                <w:color w:val="7A1526"/>
                <w:sz w:val="17"/>
                <w:szCs w:val="17"/>
              </w:rPr>
              <w:t xml:space="preserve">neg_root_mean_squared_error</w:t>
            </w:r>
            <w:r>
              <w:rPr>
                <w:rFonts w:ascii="Cambria" w:cs="Cambria" w:eastAsia="Cambria" w:hAnsi="Cambria"/>
                <w:color w:val="2D2D2D"/>
                <w:sz w:val="19"/>
                <w:szCs w:val="19"/>
              </w:rPr>
              <w:t xml:space="preserve">'); semilla global np.random.seed(42)). Comparar el modelo simple contra el de 5 predictores por RMSE (en USD, escala nivel; la comparación por RMSE exige la </w:t>
            </w:r>
            <w:r>
              <w:rPr>
                <w:rFonts w:ascii="Cambria" w:cs="Cambria" w:eastAsia="Cambria" w:hAnsi="Cambria"/>
                <w:b/>
                <w:bCs/>
                <w:color w:val="2D2D2D"/>
                <w:sz w:val="19"/>
                <w:szCs w:val="19"/>
              </w:rPr>
              <w:t xml:space="preserve">misma</w:t>
            </w:r>
            <w:r>
              <w:rPr>
                <w:rFonts w:ascii="Cambria" w:cs="Cambria" w:eastAsia="Cambria" w:hAnsi="Cambria"/>
                <w:color w:val="2D2D2D"/>
                <w:sz w:val="19"/>
                <w:szCs w:val="19"/>
              </w:rPr>
              <w:t xml:space="preserve"> escala de Y en ambos modelos) y registrar la comparación en </w:t>
            </w:r>
            <w:r>
              <w:rPr>
                <w:rFonts w:ascii="Consolas" w:cs="Consolas" w:eastAsia="Consolas" w:hAnsi="Consolas"/>
                <w:color w:val="7A1526"/>
                <w:sz w:val="17"/>
                <w:szCs w:val="17"/>
              </w:rPr>
              <w:t xml:space="preserve">plantillas/comparacion_modelos_cv.docx</w:t>
            </w:r>
            <w:r>
              <w:rPr>
                <w:rFonts w:ascii="Cambria" w:cs="Cambria" w:eastAsia="Cambria" w:hAnsi="Cambria"/>
                <w:color w:val="2D2D2D"/>
                <w:sz w:val="19"/>
                <w:szCs w:val="19"/>
              </w:rPr>
              <w:t xml:space="preserve">.</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La tabla de RMSE de CV 5-fold (media ± sd) de los tres modelos, registrada en </w:t>
            </w:r>
            <w:r>
              <w:rPr>
                <w:rFonts w:ascii="Consolas" w:cs="Consolas" w:eastAsia="Consolas" w:hAnsi="Consolas"/>
                <w:color w:val="7A1526"/>
                <w:sz w:val="17"/>
                <w:szCs w:val="17"/>
              </w:rPr>
              <w:t xml:space="preserve">plantillas/comparacion_modelos_cv.docx</w:t>
            </w:r>
            <w:r>
              <w:rPr>
                <w:rFonts w:ascii="Cambria" w:cs="Cambria" w:eastAsia="Cambria" w:hAnsi="Cambria"/>
                <w:color w:val="2D2D2D"/>
                <w:sz w:val="19"/>
                <w:szCs w:val="19"/>
              </w:rPr>
              <w:t xml:space="preserve">.</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rPr>
          <w:tblHeader/>
        </w:trPr>
        <w:tc>
          <w:tcPr>
            <w:tcW w:type="dxa" w:w="33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Modelo</w:t>
            </w:r>
          </w:p>
        </w:tc>
        <w:tc>
          <w:tcPr>
            <w:tcW w:type="dxa" w:w="33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R² in-sample</w:t>
            </w:r>
          </w:p>
        </w:tc>
        <w:tc>
          <w:tcPr>
            <w:tcW w:type="dxa" w:w="33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RMSE CV 5-fold (USD)</w:t>
            </w:r>
          </w:p>
        </w:tc>
      </w:tr>
      <w:tr>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onsolas" w:cs="Consolas" w:eastAsia="Consolas" w:hAnsi="Consolas"/>
                <w:b/>
                <w:bCs/>
                <w:color w:val="7A1526"/>
                <w:sz w:val="16"/>
                <w:szCs w:val="16"/>
              </w:rPr>
              <w:t xml:space="preserve">SalePrice ~ Gr Liv Area</w:t>
            </w:r>
            <w:r>
              <w:rPr>
                <w:rFonts w:ascii="Calibri" w:cs="Calibri" w:eastAsia="Calibri" w:hAnsi="Calibri"/>
                <w:b/>
                <w:bCs/>
                <w:color w:val="7A1526"/>
                <w:sz w:val="18"/>
                <w:szCs w:val="18"/>
              </w:rPr>
              <w:t xml:space="preserve"> (simple, nivel)</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0.518</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2D2D2D"/>
                <w:sz w:val="18"/>
                <w:szCs w:val="18"/>
              </w:rPr>
              <w:t xml:space="preserve">54 506 ± 3 489</w:t>
            </w:r>
          </w:p>
        </w:tc>
      </w:tr>
      <w:tr>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onsolas" w:cs="Consolas" w:eastAsia="Consolas" w:hAnsi="Consolas"/>
                <w:b/>
                <w:bCs/>
                <w:color w:val="7A1526"/>
                <w:sz w:val="16"/>
                <w:szCs w:val="16"/>
              </w:rPr>
              <w:t xml:space="preserve">SalePrice ~ 5 predictores</w:t>
            </w:r>
            <w:r>
              <w:rPr>
                <w:rFonts w:ascii="Calibri" w:cs="Calibri" w:eastAsia="Calibri" w:hAnsi="Calibri"/>
                <w:b/>
                <w:bCs/>
                <w:color w:val="7A1526"/>
                <w:sz w:val="18"/>
                <w:szCs w:val="18"/>
              </w:rPr>
              <w:t xml:space="preserve"> (nivel)</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0.820</w:t>
            </w:r>
          </w:p>
        </w:tc>
        <w:tc>
          <w:tcPr>
            <w:tcW w:type="dxa" w:w="33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r>
              <w:rPr>
                <w:rFonts w:ascii="Calibri" w:cs="Calibri" w:eastAsia="Calibri" w:hAnsi="Calibri"/>
                <w:b/>
                <w:bCs/>
                <w:color w:val="2D2D2D"/>
                <w:sz w:val="18"/>
                <w:szCs w:val="18"/>
              </w:rPr>
              <w:t xml:space="preserve">33 308 ± 2 410</w:t>
            </w:r>
          </w:p>
        </w:tc>
      </w:tr>
      <w:tr>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onsolas" w:cs="Consolas" w:eastAsia="Consolas" w:hAnsi="Consolas"/>
                <w:b/>
                <w:bCs/>
                <w:color w:val="7A1526"/>
                <w:sz w:val="16"/>
                <w:szCs w:val="16"/>
              </w:rPr>
              <w:t xml:space="preserve">log(SalePrice) ~ 5 predictores</w:t>
            </w:r>
            <w:r>
              <w:rPr>
                <w:rFonts w:ascii="Calibri" w:cs="Calibri" w:eastAsia="Calibri" w:hAnsi="Calibri"/>
                <w:b/>
                <w:bCs/>
                <w:color w:val="7A1526"/>
                <w:sz w:val="18"/>
                <w:szCs w:val="18"/>
              </w:rPr>
              <w:t xml:space="preserve">, </w:t>
            </w:r>
            <w:r>
              <w:rPr>
                <w:rFonts w:ascii="Calibri" w:cs="Calibri" w:eastAsia="Calibri" w:hAnsi="Calibri"/>
                <w:b/>
                <w:bCs/>
                <w:color w:val="7A1526"/>
                <w:sz w:val="18"/>
                <w:szCs w:val="18"/>
              </w:rPr>
              <w:t xml:space="preserve">retransformado a USD</w:t>
            </w:r>
            <w:r>
              <w:rPr>
                <w:rFonts w:ascii="Calibri" w:cs="Calibri" w:eastAsia="Calibri" w:hAnsi="Calibri"/>
                <w:b/>
                <w:bCs/>
                <w:color w:val="7A1526"/>
                <w:sz w:val="18"/>
                <w:szCs w:val="18"/>
              </w:rPr>
              <w:t xml:space="preserve"> (Duan, S = 1.0119)</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val="false"/>
                <w:bCs w:val="false"/>
                <w:color w:val="2D2D2D"/>
                <w:sz w:val="18"/>
                <w:szCs w:val="18"/>
              </w:rPr>
              <w:t xml:space="preserve">0.847 </w:t>
            </w:r>
            <w:r>
              <w:rPr>
                <w:rFonts w:ascii="Calibri" w:cs="Calibri" w:eastAsia="Calibri" w:hAnsi="Calibri"/>
                <w:b w:val="false"/>
                <w:bCs w:val="false"/>
                <w:i/>
                <w:iCs/>
                <w:color w:val="2D2D2D"/>
                <w:sz w:val="18"/>
                <w:szCs w:val="18"/>
              </w:rPr>
              <w:t xml:space="preserve">(en log — no comparable con las de arriba)</w:t>
            </w:r>
          </w:p>
        </w:tc>
        <w:tc>
          <w:tcPr>
            <w:tcW w:type="dxa" w:w="33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r>
              <w:rPr>
                <w:rFonts w:ascii="Calibri" w:cs="Calibri" w:eastAsia="Calibri" w:hAnsi="Calibri"/>
                <w:b/>
                <w:bCs/>
                <w:color w:val="2D2D2D"/>
                <w:sz w:val="18"/>
                <w:szCs w:val="18"/>
              </w:rPr>
              <w:t xml:space="preserve">27 282 ± 1 276</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2.1   </w:t>
            </w:r>
            <w:r>
              <w:rPr>
                <w:rFonts w:ascii="Calibri" w:cs="Calibri" w:eastAsia="Calibri" w:hAnsi="Calibri"/>
                <w:b/>
                <w:bCs/>
                <w:color w:val="7A1526"/>
                <w:sz w:val="19"/>
                <w:szCs w:val="19"/>
              </w:rPr>
              <w:t xml:space="preserve">Cómo leer la comparación: qué aporta el modelo múltiple, y por qué la tercera fila es la comparación correcta</w:t>
            </w:r>
          </w:p>
          <w:p>
            <w:pPr>
              <w:spacing w:after="70" w:line="265"/>
            </w:pPr>
            <w:r>
              <w:rPr>
                <w:rFonts w:ascii="Cambria" w:cs="Cambria" w:eastAsia="Cambria" w:hAnsi="Cambria"/>
                <w:color w:val="3A3A3A"/>
                <w:sz w:val="18"/>
                <w:szCs w:val="18"/>
              </w:rPr>
              <w:t xml:space="preserve">El modelo múltiple reduce el error fuera de muestra de ~54 500 a ~33 300 USD (</w:t>
            </w:r>
            <w:r>
              <w:rPr>
                <w:rFonts w:ascii="Cambria" w:cs="Cambria" w:eastAsia="Cambria" w:hAnsi="Cambria"/>
                <w:b/>
                <w:bCs/>
                <w:color w:val="3A3A3A"/>
                <w:sz w:val="18"/>
                <w:szCs w:val="18"/>
              </w:rPr>
              <w:t xml:space="preserve">−39 %</w:t>
            </w:r>
            <w:r>
              <w:rPr>
                <w:rFonts w:ascii="Cambria" w:cs="Cambria" w:eastAsia="Cambria" w:hAnsi="Cambria"/>
                <w:color w:val="3A3A3A"/>
                <w:sz w:val="18"/>
                <w:szCs w:val="18"/>
              </w:rPr>
              <w:t xml:space="preserve">, es decir la </w:t>
            </w:r>
            <w:r>
              <w:rPr>
                <w:rFonts w:ascii="Cambria" w:cs="Cambria" w:eastAsia="Cambria" w:hAnsi="Cambria"/>
                <w:b/>
                <w:bCs/>
                <w:color w:val="3A3A3A"/>
                <w:sz w:val="18"/>
                <w:szCs w:val="18"/>
              </w:rPr>
              <w:t xml:space="preserve">banda de error de predicción se estrecha ~21 200 USD por tasación</w:t>
            </w:r>
            <w:r>
              <w:rPr>
                <w:rFonts w:ascii="Cambria" w:cs="Cambria" w:eastAsia="Cambria" w:hAnsi="Cambria"/>
                <w:color w:val="3A3A3A"/>
                <w:sz w:val="18"/>
                <w:szCs w:val="18"/>
              </w:rPr>
              <w:t xml:space="preserve"> —menos riesgo de mispricing, </w:t>
            </w:r>
            <w:r>
              <w:rPr>
                <w:rFonts w:ascii="Cambria" w:cs="Cambria" w:eastAsia="Cambria" w:hAnsi="Cambria"/>
                <w:b/>
                <w:bCs/>
                <w:color w:val="3A3A3A"/>
                <w:sz w:val="18"/>
                <w:szCs w:val="18"/>
              </w:rPr>
              <w:t xml:space="preserve">no</w:t>
            </w:r>
            <w:r>
              <w:rPr>
                <w:rFonts w:ascii="Cambria" w:cs="Cambria" w:eastAsia="Cambria" w:hAnsi="Cambria"/>
                <w:color w:val="3A3A3A"/>
                <w:sz w:val="18"/>
                <w:szCs w:val="18"/>
              </w:rPr>
              <w:t xml:space="preserve"> caja ahorrada que se sume transacción a transacción; el </w:t>
            </w:r>
            <w:r>
              <w:rPr>
                <w:rFonts w:ascii="Cambria" w:cs="Cambria" w:eastAsia="Cambria" w:hAnsi="Cambria"/>
                <w:b/>
                <w:bCs/>
                <w:color w:val="3A3A3A"/>
                <w:sz w:val="18"/>
                <w:szCs w:val="18"/>
              </w:rPr>
              <w:t xml:space="preserve">costo esperado</w:t>
            </w:r>
            <w:r>
              <w:rPr>
                <w:rFonts w:ascii="Cambria" w:cs="Cambria" w:eastAsia="Cambria" w:hAnsi="Cambria"/>
                <w:color w:val="3A3A3A"/>
                <w:sz w:val="18"/>
                <w:szCs w:val="18"/>
              </w:rPr>
              <w:t xml:space="preserve"> de una decisión depende de la exposición y del costo del error, no del RMSE) y es </w:t>
            </w:r>
            <w:r>
              <w:rPr>
                <w:rFonts w:ascii="Cambria" w:cs="Cambria" w:eastAsia="Cambria" w:hAnsi="Cambria"/>
                <w:b/>
                <w:bCs/>
                <w:color w:val="3A3A3A"/>
                <w:sz w:val="18"/>
                <w:szCs w:val="18"/>
              </w:rPr>
              <w:t xml:space="preserve">más estable</w:t>
            </w:r>
            <w:r>
              <w:rPr>
                <w:rFonts w:ascii="Cambria" w:cs="Cambria" w:eastAsia="Cambria" w:hAnsi="Cambria"/>
                <w:color w:val="3A3A3A"/>
                <w:sz w:val="18"/>
                <w:szCs w:val="18"/>
              </w:rPr>
              <w:t xml:space="preserve"> (menor sd entre folds). La regla de decisión: menor RMSE medio ⇒ mejor error esperado en datos nuevos; ante RMSE similares, menor sd (y parsimonia) desempata. Aquí R² ajustado y CV coinciden en preferir el modelo grande, pero cuando difieran </w:t>
            </w:r>
            <w:r>
              <w:rPr>
                <w:rFonts w:ascii="Cambria" w:cs="Cambria" w:eastAsia="Cambria" w:hAnsi="Cambria"/>
                <w:b/>
                <w:bCs/>
                <w:color w:val="3A3A3A"/>
                <w:sz w:val="18"/>
                <w:szCs w:val="18"/>
              </w:rPr>
              <w:t xml:space="preserve">prevalece la CV</w:t>
            </w:r>
            <w:r>
              <w:rPr>
                <w:rFonts w:ascii="Cambria" w:cs="Cambria" w:eastAsia="Cambria" w:hAnsi="Cambria"/>
                <w:color w:val="3A3A3A"/>
                <w:sz w:val="18"/>
                <w:szCs w:val="18"/>
              </w:rPr>
              <w:t xml:space="preserve">. La tercera fila es la comparación </w:t>
            </w:r>
            <w:r>
              <w:rPr>
                <w:rFonts w:ascii="Cambria" w:cs="Cambria" w:eastAsia="Cambria" w:hAnsi="Cambria"/>
                <w:b/>
                <w:bCs/>
                <w:color w:val="3A3A3A"/>
                <w:sz w:val="18"/>
                <w:szCs w:val="18"/>
              </w:rPr>
              <w:t xml:space="preserve">entre escalas</w:t>
            </w:r>
            <w:r>
              <w:rPr>
                <w:rFonts w:ascii="Cambria" w:cs="Cambria" w:eastAsia="Cambria" w:hAnsi="Cambria"/>
                <w:color w:val="3A3A3A"/>
                <w:sz w:val="18"/>
                <w:szCs w:val="18"/>
              </w:rPr>
              <w:t xml:space="preserve"> hecha bien: el modelo en log solo entra en esta tabla tras </w:t>
            </w:r>
            <w:r>
              <w:rPr>
                <w:rFonts w:ascii="Cambria" w:cs="Cambria" w:eastAsia="Cambria" w:hAnsi="Cambria"/>
                <w:b/>
                <w:bCs/>
                <w:color w:val="3A3A3A"/>
                <w:sz w:val="18"/>
                <w:szCs w:val="18"/>
              </w:rPr>
              <w:t xml:space="preserve">retransformar sus predicciones a USD</w:t>
            </w:r>
            <w:r>
              <w:rPr>
                <w:rFonts w:ascii="Cambria" w:cs="Cambria" w:eastAsia="Cambria" w:hAnsi="Cambria"/>
                <w:color w:val="3A3A3A"/>
                <w:sz w:val="18"/>
                <w:szCs w:val="18"/>
              </w:rPr>
              <w:t xml:space="preserve"> con el factor de smearing de Duan (paso 4); así comparado, es el mejor de los tres (</w:t>
            </w:r>
            <w:r>
              <w:rPr>
                <w:rFonts w:ascii="Cambria" w:cs="Cambria" w:eastAsia="Cambria" w:hAnsi="Cambria"/>
                <w:b/>
                <w:bCs/>
                <w:color w:val="3A3A3A"/>
                <w:sz w:val="18"/>
                <w:szCs w:val="18"/>
              </w:rPr>
              <w:t xml:space="preserve">27 282</w:t>
            </w:r>
            <w:r>
              <w:rPr>
                <w:rFonts w:ascii="Cambria" w:cs="Cambria" w:eastAsia="Cambria" w:hAnsi="Cambria"/>
                <w:color w:val="3A3A3A"/>
                <w:sz w:val="18"/>
                <w:szCs w:val="18"/>
              </w:rPr>
              <w:t xml:space="preserve"> frente a </w:t>
            </w:r>
            <w:r>
              <w:rPr>
                <w:rFonts w:ascii="Cambria" w:cs="Cambria" w:eastAsia="Cambria" w:hAnsi="Cambria"/>
                <w:b/>
                <w:bCs/>
                <w:color w:val="3A3A3A"/>
                <w:sz w:val="18"/>
                <w:szCs w:val="18"/>
              </w:rPr>
              <w:t xml:space="preserve">33 308 USD</w:t>
            </w:r>
            <w:r>
              <w:rPr>
                <w:rFonts w:ascii="Cambria" w:cs="Cambria" w:eastAsia="Cambria" w:hAnsi="Cambria"/>
                <w:color w:val="3A3A3A"/>
                <w:sz w:val="18"/>
                <w:szCs w:val="18"/>
              </w:rPr>
              <w:t xml:space="preserve">, −18.09 %). Comparar su R² de 0.847 contra el 0.820 del modelo en nivel todavía sería un error: los R² no cruzan escalas, los dólares sí.</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10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B1   </w:t>
            </w:r>
            <w:r>
              <w:rPr>
                <w:rFonts w:ascii="Calibri" w:cs="Calibri" w:eastAsia="Calibri" w:hAnsi="Calibri"/>
                <w:b/>
                <w:bCs/>
                <w:color w:val="7A1526"/>
                <w:sz w:val="19"/>
                <w:szCs w:val="19"/>
              </w:rPr>
              <w:t xml:space="preserve">Emitir la valoración con recomendación de precio</w:t>
            </w:r>
          </w:p>
          <w:p>
            <w:pPr>
              <w:spacing w:line="265"/>
            </w:pPr>
            <w:r>
              <w:rPr>
                <w:rFonts w:ascii="Cambria" w:cs="Cambria" w:eastAsia="Cambria" w:hAnsi="Cambria"/>
                <w:color w:val="2D2D2D"/>
                <w:sz w:val="19"/>
                <w:szCs w:val="19"/>
              </w:rPr>
              <w:t xml:space="preserve">Con el modelo elegido, valorar una vivienda concreta: introducir sus características (superficie, calidad, garaje, sótano, año y zona), obtener el precio esperado y acompañarlo del </w:t>
            </w:r>
            <w:r>
              <w:rPr>
                <w:rFonts w:ascii="Cambria" w:cs="Cambria" w:eastAsia="Cambria" w:hAnsi="Cambria"/>
                <w:b/>
                <w:bCs/>
                <w:color w:val="2D2D2D"/>
                <w:sz w:val="19"/>
                <w:szCs w:val="19"/>
              </w:rPr>
              <w:t xml:space="preserve">error de predicción</w:t>
            </w:r>
            <w:r>
              <w:rPr>
                <w:rFonts w:ascii="Cambria" w:cs="Cambria" w:eastAsia="Cambria" w:hAnsi="Cambria"/>
                <w:color w:val="2D2D2D"/>
                <w:sz w:val="19"/>
                <w:szCs w:val="19"/>
              </w:rPr>
              <w:t xml:space="preserve"> (RMSE de la CV) como banda de incertidumbre honesta. Traducir cada coeficiente a la lengua del negocio («+1 punto de calidad ⇒ +10.9 %»; «en barrio </w:t>
            </w:r>
            <w:r>
              <w:rPr>
                <w:rFonts w:ascii="Consolas" w:cs="Consolas" w:eastAsia="Consolas" w:hAnsi="Consolas"/>
                <w:color w:val="7A1526"/>
                <w:sz w:val="17"/>
                <w:szCs w:val="17"/>
              </w:rPr>
              <w:t xml:space="preserve">premium</w:t>
            </w:r>
            <w:r>
              <w:rPr>
                <w:rFonts w:ascii="Cambria" w:cs="Cambria" w:eastAsia="Cambria" w:hAnsi="Cambria"/>
                <w:color w:val="2D2D2D"/>
                <w:sz w:val="19"/>
                <w:szCs w:val="19"/>
              </w:rPr>
              <w:t xml:space="preserve"> el pie² vale ~50 % más») para que la recomendación sea accionable.</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Una valoración de precio documentada —vivienda concreta, precio esperado, banda de error y coeficientes traducidos a negocio— el borrador del entregable de la sesión.</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2.2   </w:t>
            </w:r>
            <w:r>
              <w:rPr>
                <w:rFonts w:ascii="Calibri" w:cs="Calibri" w:eastAsia="Calibri" w:hAnsi="Calibri"/>
                <w:b/>
                <w:bCs/>
                <w:color w:val="7A1526"/>
                <w:sz w:val="19"/>
                <w:szCs w:val="19"/>
              </w:rPr>
              <w:t xml:space="preserve">Un AVM es hoy una exigencia regulatoria</w:t>
            </w:r>
          </w:p>
          <w:p>
            <w:pPr>
              <w:spacing w:after="70" w:line="265"/>
            </w:pPr>
            <w:r>
              <w:rPr>
                <w:rFonts w:ascii="Cambria" w:cs="Cambria" w:eastAsia="Cambria" w:hAnsi="Cambria"/>
                <w:color w:val="3A3A3A"/>
                <w:sz w:val="18"/>
                <w:szCs w:val="18"/>
              </w:rPr>
              <w:t xml:space="preserve">La valoración masiva automática (AVM) que sostiene decisiones hipotecarias es hoy una </w:t>
            </w:r>
            <w:r>
              <w:rPr>
                <w:rFonts w:ascii="Cambria" w:cs="Cambria" w:eastAsia="Cambria" w:hAnsi="Cambria"/>
                <w:b/>
                <w:bCs/>
                <w:color w:val="3A3A3A"/>
                <w:sz w:val="18"/>
                <w:szCs w:val="18"/>
              </w:rPr>
              <w:t xml:space="preserve">exigencia regulatoria</w:t>
            </w:r>
            <w:r>
              <w:rPr>
                <w:rFonts w:ascii="Cambria" w:cs="Cambria" w:eastAsia="Cambria" w:hAnsi="Cambria"/>
                <w:color w:val="3A3A3A"/>
                <w:sz w:val="18"/>
                <w:szCs w:val="18"/>
              </w:rPr>
              <w:t xml:space="preserve">: la regla interagencial de EE. UU. sobre AVM (CFPB, vigente 01/10/2025) obliga a pruebas de calidad y a leyes de no discriminación —el mismo motivo por el que se abandonó Boston Housing—. Casos actuales en las fuentes de actualidad de la sesión: hedónica vs. machine learning en Santiago (PLOS ONE, 25/03/2025), revisión internacional de precisión vs. interpretabilidad (MPRA, 2025) y valuación por segmentos de mercado que lleva la idea «el valor del metro² depende de la zona» a producción (arXiv, 05/08/2025).</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0"/>
        <w:gridCol w:w="6080"/>
        <w:gridCol w:w="3000"/>
      </w:tblGrid>
      <w:tr>
        <w:trPr>
          <w:tblHeader/>
        </w:trPr>
        <w:tc>
          <w:tcPr>
            <w:tcW w:type="dxa" w:w="1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TIEMPO</w:t>
            </w:r>
          </w:p>
        </w:tc>
        <w:tc>
          <w:tcPr>
            <w:tcW w:type="dxa" w:w="608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QUÉ HACER</w:t>
            </w:r>
          </w:p>
        </w:tc>
        <w:tc>
          <w:tcPr>
            <w:tcW w:type="dxa" w:w="3000"/>
            <w:tcBorders>
              <w:top w:val="none" w:color="FFFFFF" w:sz="0"/>
              <w:left w:val="none" w:color="FFFFFF" w:sz="0"/>
              <w:bottom w:val="none" w:color="FFFFFF" w:sz="0"/>
              <w:right w:val="none" w:color="FFFFFF" w:sz="0"/>
            </w:tcBorders>
            <w:shd w:fill="3D4450" w:color="auto" w:val="clear"/>
            <w:tcMar>
              <w:top w:type="dxa" w:w="110"/>
              <w:left w:type="dxa" w:w="150"/>
              <w:bottom w:type="dxa" w:w="110"/>
              <w:right w:type="dxa" w:w="150"/>
            </w:tcMar>
          </w:tcPr>
          <w:p>
            <w:r>
              <w:rPr>
                <w:rFonts w:ascii="Calibri" w:cs="Calibri" w:eastAsia="Calibri" w:hAnsi="Calibri"/>
                <w:b/>
                <w:bCs/>
                <w:color w:val="FFFFFF"/>
                <w:sz w:val="15"/>
                <w:szCs w:val="15"/>
              </w:rPr>
              <w:t xml:space="preserve">PRODUCTO (lo que queda escrito)</w:t>
            </w:r>
          </w:p>
        </w:tc>
      </w:tr>
      <w:tr>
        <w:tc>
          <w:tcPr>
            <w:tcW w:type="dxa" w:w="10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r>
              <w:rPr>
                <w:rFonts w:ascii="Calibri" w:cs="Calibri" w:eastAsia="Calibri" w:hAnsi="Calibri"/>
                <w:color w:val="6E6E6E"/>
                <w:sz w:val="17"/>
                <w:szCs w:val="17"/>
              </w:rPr>
              <w:t xml:space="preserve">5 min</w:t>
            </w:r>
          </w:p>
        </w:tc>
        <w:tc>
          <w:tcPr>
            <w:tcW w:type="dxa" w:w="60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vAlign w:val="top"/>
          </w:tcPr>
          <w:p>
            <w:pPr>
              <w:spacing w:after="70"/>
            </w:pPr>
            <w:r>
              <w:rPr>
                <w:rFonts w:ascii="Calibri" w:cs="Calibri" w:eastAsia="Calibri" w:hAnsi="Calibri"/>
                <w:b/>
                <w:bCs/>
                <w:color w:val="7A1526"/>
                <w:sz w:val="22"/>
                <w:szCs w:val="22"/>
              </w:rPr>
              <w:t xml:space="preserve">B2   </w:t>
            </w:r>
            <w:r>
              <w:rPr>
                <w:rFonts w:ascii="Calibri" w:cs="Calibri" w:eastAsia="Calibri" w:hAnsi="Calibri"/>
                <w:b/>
                <w:bCs/>
                <w:color w:val="7A1526"/>
                <w:sz w:val="19"/>
                <w:szCs w:val="19"/>
              </w:rPr>
              <w:t xml:space="preserve">Del precio a la decisión: regla, sensibilidad y límites</w:t>
            </w:r>
          </w:p>
          <w:p>
            <w:pPr>
              <w:spacing w:line="265"/>
            </w:pPr>
            <w:r>
              <w:rPr>
                <w:rFonts w:ascii="Cambria" w:cs="Cambria" w:eastAsia="Cambria" w:hAnsi="Cambria"/>
                <w:color w:val="2D2D2D"/>
                <w:sz w:val="19"/>
                <w:szCs w:val="19"/>
              </w:rPr>
              <w:t xml:space="preserve">Convertir el modelo en una </w:t>
            </w:r>
            <w:r>
              <w:rPr>
                <w:rFonts w:ascii="Cambria" w:cs="Cambria" w:eastAsia="Cambria" w:hAnsi="Cambria"/>
                <w:b/>
                <w:bCs/>
                <w:color w:val="2D2D2D"/>
                <w:sz w:val="19"/>
                <w:szCs w:val="19"/>
              </w:rPr>
              <w:t xml:space="preserve">regla accionable</w:t>
            </w:r>
            <w:r>
              <w:rPr>
                <w:rFonts w:ascii="Cambria" w:cs="Cambria" w:eastAsia="Cambria" w:hAnsi="Cambria"/>
                <w:color w:val="2D2D2D"/>
                <w:sz w:val="19"/>
                <w:szCs w:val="19"/>
              </w:rPr>
              <w:t xml:space="preserve"> y acotar su valor (estándar del criterio C6 del entregable): priorizar viviendas subvaloradas, declarar la sensibilidad al umbral y nombrar el límite honesto del modelo.</w:t>
            </w:r>
          </w:p>
        </w:tc>
        <w:tc>
          <w:tcPr>
            <w:tcW w:type="dxa" w:w="3000"/>
            <w:tcBorders>
              <w:top w:val="single" w:color="DFE2E6" w:sz="4"/>
              <w:left w:val="single" w:color="E4002B" w:sz="12"/>
              <w:bottom w:val="single" w:color="DFE2E6" w:sz="4"/>
              <w:right w:val="none" w:color="FFFFFF" w:sz="0"/>
            </w:tcBorders>
            <w:shd w:fill="F2F3F5" w:color="auto" w:val="clear"/>
            <w:tcMar>
              <w:top w:type="dxa" w:w="110"/>
              <w:left w:type="dxa" w:w="150"/>
              <w:bottom w:type="dxa" w:w="110"/>
              <w:right w:type="dxa" w:w="150"/>
            </w:tcMar>
            <w:vAlign w:val="top"/>
          </w:tcPr>
          <w:p>
            <w:pPr>
              <w:spacing w:line="265"/>
            </w:pPr>
            <w:r>
              <w:rPr>
                <w:rFonts w:ascii="Calibri" w:cs="Calibri" w:eastAsia="Calibri" w:hAnsi="Calibri"/>
                <w:b/>
                <w:bCs/>
                <w:color w:val="7A1526"/>
                <w:sz w:val="19"/>
                <w:szCs w:val="19"/>
              </w:rPr>
              <w:t xml:space="preserve">▸ </w:t>
            </w:r>
            <w:r>
              <w:rPr>
                <w:rFonts w:ascii="Cambria" w:cs="Cambria" w:eastAsia="Cambria" w:hAnsi="Cambria"/>
                <w:color w:val="2D2D2D"/>
                <w:sz w:val="19"/>
                <w:szCs w:val="19"/>
              </w:rPr>
              <w:t xml:space="preserve">La recomendación final: una regla de decisión + su sensibilidad + un riesgo declarado.</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700"/>
        <w:gridCol w:w="9380"/>
      </w:tblGrid>
      <w:tr>
        <w:tc>
          <w:tcPr>
            <w:tcW w:type="dxa" w:w="7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r>
              <w:rPr>
                <w:rFonts w:ascii="Calibri" w:cs="Calibri" w:eastAsia="Calibri" w:hAnsi="Calibri"/>
                <w:b/>
                <w:bCs/>
                <w:color w:val="7A1526"/>
                <w:sz w:val="20"/>
                <w:szCs w:val="20"/>
              </w:rPr>
              <w:t xml:space="preserve">1.</w:t>
            </w:r>
          </w:p>
        </w:tc>
        <w:tc>
          <w:tcPr>
            <w:tcW w:type="dxa" w:w="93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pPr>
              <w:spacing w:line="265"/>
            </w:pPr>
            <w:r>
              <w:rPr>
                <w:rFonts w:ascii="Cambria" w:cs="Cambria" w:eastAsia="Cambria" w:hAnsi="Cambria"/>
                <w:b/>
                <w:bCs/>
                <w:color w:val="2D2D2D"/>
                <w:sz w:val="19"/>
                <w:szCs w:val="19"/>
              </w:rPr>
              <w:t xml:space="preserve">Priorizar viviendas subvaloradas.</w:t>
            </w:r>
            <w:r>
              <w:rPr>
                <w:rFonts w:ascii="Cambria" w:cs="Cambria" w:eastAsia="Cambria" w:hAnsi="Cambria"/>
                <w:color w:val="2D2D2D"/>
                <w:sz w:val="19"/>
                <w:szCs w:val="19"/>
              </w:rPr>
              <w:t xml:space="preserve"> Señalar como oportunidad las viviendas cuyo </w:t>
            </w:r>
            <w:r>
              <w:rPr>
                <w:rFonts w:ascii="Cambria" w:cs="Cambria" w:eastAsia="Cambria" w:hAnsi="Cambria"/>
                <w:b/>
                <w:bCs/>
                <w:color w:val="2D2D2D"/>
                <w:sz w:val="19"/>
                <w:szCs w:val="19"/>
              </w:rPr>
              <w:t xml:space="preserve">precio esperado</w:t>
            </w:r>
            <w:r>
              <w:rPr>
                <w:rFonts w:ascii="Cambria" w:cs="Cambria" w:eastAsia="Cambria" w:hAnsi="Cambria"/>
                <w:color w:val="2D2D2D"/>
                <w:sz w:val="19"/>
                <w:szCs w:val="19"/>
              </w:rPr>
              <w:t xml:space="preserve"> (predicho) supera al </w:t>
            </w:r>
            <w:r>
              <w:rPr>
                <w:rFonts w:ascii="Cambria" w:cs="Cambria" w:eastAsia="Cambria" w:hAnsi="Cambria"/>
                <w:b/>
                <w:bCs/>
                <w:color w:val="2D2D2D"/>
                <w:sz w:val="19"/>
                <w:szCs w:val="19"/>
              </w:rPr>
              <w:t xml:space="preserve">pedido</w:t>
            </w:r>
            <w:r>
              <w:rPr>
                <w:rFonts w:ascii="Cambria" w:cs="Cambria" w:eastAsia="Cambria" w:hAnsi="Cambria"/>
                <w:color w:val="2D2D2D"/>
                <w:sz w:val="19"/>
                <w:szCs w:val="19"/>
              </w:rPr>
              <w:t xml:space="preserve"> por </w:t>
            </w:r>
            <w:r>
              <w:rPr>
                <w:rFonts w:ascii="Cambria" w:cs="Cambria" w:eastAsia="Cambria" w:hAnsi="Cambria"/>
                <w:b/>
                <w:bCs/>
                <w:color w:val="2D2D2D"/>
                <w:sz w:val="19"/>
                <w:szCs w:val="19"/>
              </w:rPr>
              <w:t xml:space="preserve">más que la banda de error</w:t>
            </w:r>
            <w:r>
              <w:rPr>
                <w:rFonts w:ascii="Cambria" w:cs="Cambria" w:eastAsia="Cambria" w:hAnsi="Cambria"/>
                <w:color w:val="2D2D2D"/>
                <w:sz w:val="19"/>
                <w:szCs w:val="19"/>
              </w:rPr>
              <w:t xml:space="preserve"> del modelo (el RMSE de la CV, ≈ 33 300 USD </w:t>
            </w:r>
            <w:r>
              <w:rPr>
                <w:rFonts w:ascii="Cambria" w:cs="Cambria" w:eastAsia="Cambria" w:hAnsi="Cambria"/>
                <w:b/>
                <w:bCs/>
                <w:color w:val="2D2D2D"/>
                <w:sz w:val="19"/>
                <w:szCs w:val="19"/>
              </w:rPr>
              <w:t xml:space="preserve">—σ = 33 308, modelo en nivel; con el log desplegado ≈ −18 % — nota de la guía sección 3.9</w:t>
            </w:r>
            <w:r>
              <w:rPr>
                <w:rFonts w:ascii="Cambria" w:cs="Cambria" w:eastAsia="Cambria" w:hAnsi="Cambria"/>
                <w:color w:val="2D2D2D"/>
                <w:sz w:val="19"/>
                <w:szCs w:val="19"/>
              </w:rPr>
              <w:t xml:space="preserve">): una brecha menor que esa banda es </w:t>
            </w:r>
            <w:r>
              <w:rPr>
                <w:rFonts w:ascii="Cambria" w:cs="Cambria" w:eastAsia="Cambria" w:hAnsi="Cambria"/>
                <w:b/>
                <w:bCs/>
                <w:color w:val="2D2D2D"/>
                <w:sz w:val="19"/>
                <w:szCs w:val="19"/>
              </w:rPr>
              <w:t xml:space="preserve">ruido, no señal</w:t>
            </w:r>
            <w:r>
              <w:rPr>
                <w:rFonts w:ascii="Cambria" w:cs="Cambria" w:eastAsia="Cambria" w:hAnsi="Cambria"/>
                <w:color w:val="2D2D2D"/>
                <w:sz w:val="19"/>
                <w:szCs w:val="19"/>
              </w:rPr>
              <w:t xml:space="preserve">. Es la valoración masiva puesta a decidir, no solo a describir.</w:t>
            </w:r>
          </w:p>
        </w:tc>
      </w:tr>
      <w:tr>
        <w:tc>
          <w:tcPr>
            <w:tcW w:type="dxa" w:w="70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r>
              <w:rPr>
                <w:rFonts w:ascii="Calibri" w:cs="Calibri" w:eastAsia="Calibri" w:hAnsi="Calibri"/>
                <w:b/>
                <w:bCs/>
                <w:color w:val="7A1526"/>
                <w:sz w:val="20"/>
                <w:szCs w:val="20"/>
              </w:rPr>
              <w:t xml:space="preserve">2.</w:t>
            </w:r>
          </w:p>
        </w:tc>
        <w:tc>
          <w:tcPr>
            <w:tcW w:type="dxa" w:w="938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pPr>
              <w:spacing w:line="265"/>
            </w:pPr>
            <w:r>
              <w:rPr>
                <w:rFonts w:ascii="Cambria" w:cs="Cambria" w:eastAsia="Cambria" w:hAnsi="Cambria"/>
                <w:b/>
                <w:bCs/>
                <w:color w:val="2D2D2D"/>
                <w:sz w:val="19"/>
                <w:szCs w:val="19"/>
              </w:rPr>
              <w:t xml:space="preserve">Sensibilidad.</w:t>
            </w:r>
            <w:r>
              <w:rPr>
                <w:rFonts w:ascii="Cambria" w:cs="Cambria" w:eastAsia="Cambria" w:hAnsi="Cambria"/>
                <w:color w:val="2D2D2D"/>
                <w:sz w:val="19"/>
                <w:szCs w:val="19"/>
              </w:rPr>
              <w:t xml:space="preserve"> Mostrar cómo cambia la lista corta de candidatas al mover el umbral (1·RMSE frente a 0,5·RMSE): más candidatas, pero más falsos positivos.</w:t>
            </w:r>
          </w:p>
        </w:tc>
      </w:tr>
      <w:tr>
        <w:tc>
          <w:tcPr>
            <w:tcW w:type="dxa" w:w="7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r>
              <w:rPr>
                <w:rFonts w:ascii="Calibri" w:cs="Calibri" w:eastAsia="Calibri" w:hAnsi="Calibri"/>
                <w:b/>
                <w:bCs/>
                <w:color w:val="7A1526"/>
                <w:sz w:val="20"/>
                <w:szCs w:val="20"/>
              </w:rPr>
              <w:t xml:space="preserve">3.</w:t>
            </w:r>
          </w:p>
        </w:tc>
        <w:tc>
          <w:tcPr>
            <w:tcW w:type="dxa" w:w="93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pPr>
              <w:spacing w:line="265"/>
            </w:pPr>
            <w:r>
              <w:rPr>
                <w:rFonts w:ascii="Cambria" w:cs="Cambria" w:eastAsia="Cambria" w:hAnsi="Cambria"/>
                <w:b/>
                <w:bCs/>
                <w:color w:val="2D2D2D"/>
                <w:sz w:val="19"/>
                <w:szCs w:val="19"/>
              </w:rPr>
              <w:t xml:space="preserve">Límite honesto (efecto &lt; error).</w:t>
            </w:r>
            <w:r>
              <w:rPr>
                <w:rFonts w:ascii="Cambria" w:cs="Cambria" w:eastAsia="Cambria" w:hAnsi="Cambria"/>
                <w:color w:val="2D2D2D"/>
                <w:sz w:val="19"/>
                <w:szCs w:val="19"/>
              </w:rPr>
              <w:t xml:space="preserve"> El efecto de un factor —+1 punto de calidad ≈ </w:t>
            </w:r>
            <w:r>
              <w:rPr>
                <w:rFonts w:ascii="Cambria" w:cs="Cambria" w:eastAsia="Cambria" w:hAnsi="Cambria"/>
                <w:b/>
                <w:bCs/>
                <w:color w:val="2D2D2D"/>
                <w:sz w:val="19"/>
                <w:szCs w:val="19"/>
              </w:rPr>
              <w:t xml:space="preserve">+17 400 USD</w:t>
            </w:r>
            <w:r>
              <w:rPr>
                <w:rFonts w:ascii="Cambria" w:cs="Cambria" w:eastAsia="Cambria" w:hAnsi="Cambria"/>
                <w:color w:val="2D2D2D"/>
                <w:sz w:val="19"/>
                <w:szCs w:val="19"/>
              </w:rPr>
              <w:t xml:space="preserve"> sobre una vivienda al precio mediano (~160 000)— es </w:t>
            </w:r>
            <w:r>
              <w:rPr>
                <w:rFonts w:ascii="Cambria" w:cs="Cambria" w:eastAsia="Cambria" w:hAnsi="Cambria"/>
                <w:b/>
                <w:bCs/>
                <w:color w:val="2D2D2D"/>
                <w:sz w:val="19"/>
                <w:szCs w:val="19"/>
              </w:rPr>
              <w:t xml:space="preserve">menor</w:t>
            </w:r>
            <w:r>
              <w:rPr>
                <w:rFonts w:ascii="Cambria" w:cs="Cambria" w:eastAsia="Cambria" w:hAnsi="Cambria"/>
                <w:color w:val="2D2D2D"/>
                <w:sz w:val="19"/>
                <w:szCs w:val="19"/>
              </w:rPr>
              <w:t xml:space="preserve"> que el error por vivienda (≈ 33 300 USD; σ = 33 308, modelo en nivel; con el log desplegado ≈ −18 %); por eso el valor del modelo se cosecha en el </w:t>
            </w:r>
            <w:r>
              <w:rPr>
                <w:rFonts w:ascii="Cambria" w:cs="Cambria" w:eastAsia="Cambria" w:hAnsi="Cambria"/>
                <w:b/>
                <w:bCs/>
                <w:color w:val="2D2D2D"/>
                <w:sz w:val="19"/>
                <w:szCs w:val="19"/>
              </w:rPr>
              <w:t xml:space="preserve">agregado</w:t>
            </w:r>
            <w:r>
              <w:rPr>
                <w:rFonts w:ascii="Cambria" w:cs="Cambria" w:eastAsia="Cambria" w:hAnsi="Cambria"/>
                <w:color w:val="2D2D2D"/>
                <w:sz w:val="19"/>
                <w:szCs w:val="19"/>
              </w:rPr>
              <w:t xml:space="preserve"> (una cartera de muchas tasaciones, donde el error del promedio cae ≈ con 1/√N), sin apostar el precio de una sola casa a un coeficiente. Coeficiente </w:t>
            </w:r>
            <w:r>
              <w:rPr>
                <w:rFonts w:ascii="Cambria" w:cs="Cambria" w:eastAsia="Cambria" w:hAnsi="Cambria"/>
                <w:b/>
                <w:bCs/>
                <w:color w:val="2D2D2D"/>
                <w:sz w:val="19"/>
                <w:szCs w:val="19"/>
              </w:rPr>
              <w:t xml:space="preserve">parcial </w:t>
            </w:r>
            <w:r>
              <w:rPr>
                <w:rFonts w:ascii="Calibri" w:cs="Calibri" w:eastAsia="Calibri" w:hAnsi="Calibri"/>
                <w:b/>
                <w:bCs/>
                <w:color w:val="2D2D2D"/>
                <w:sz w:val="19"/>
                <w:szCs w:val="19"/>
              </w:rPr>
              <w:t xml:space="preserve">≠</w:t>
            </w:r>
            <w:r>
              <w:rPr>
                <w:rFonts w:ascii="Cambria" w:cs="Cambria" w:eastAsia="Cambria" w:hAnsi="Cambria"/>
                <w:b/>
                <w:bCs/>
                <w:color w:val="2D2D2D"/>
                <w:sz w:val="19"/>
                <w:szCs w:val="19"/>
              </w:rPr>
              <w:t xml:space="preserve"> causa</w:t>
            </w:r>
            <w:r>
              <w:rPr>
                <w:rFonts w:ascii="Cambria" w:cs="Cambria" w:eastAsia="Cambria" w:hAnsi="Cambria"/>
                <w:color w:val="2D2D2D"/>
                <w:sz w:val="19"/>
                <w:szCs w:val="19"/>
              </w:rPr>
              <w:t xml:space="preserve"> (renovar no garantiza +10,9 %; S12), y todo despliegue cumple la </w:t>
            </w:r>
            <w:r>
              <w:rPr>
                <w:rFonts w:ascii="Cambria" w:cs="Cambria" w:eastAsia="Cambria" w:hAnsi="Cambria"/>
                <w:b/>
                <w:bCs/>
                <w:color w:val="2D2D2D"/>
                <w:sz w:val="19"/>
                <w:szCs w:val="19"/>
              </w:rPr>
              <w:t xml:space="preserve">regla AVM</w:t>
            </w:r>
            <w:r>
              <w:rPr>
                <w:rFonts w:ascii="Cambria" w:cs="Cambria" w:eastAsia="Cambria" w:hAnsi="Cambria"/>
                <w:color w:val="2D2D2D"/>
                <w:sz w:val="19"/>
                <w:szCs w:val="19"/>
              </w:rPr>
              <w:t xml:space="preserve">.</w:t>
            </w:r>
          </w:p>
        </w:tc>
      </w:tr>
    </w:tbl>
    <w:p>
      <w:pPr>
        <w:spacing w:after="2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single" w:color="E4002B" w:sz="14"/>
              <w:left w:val="none" w:color="FFFFFF" w:sz="0"/>
              <w:bottom w:val="single" w:color="D9D9D9" w:sz="4"/>
              <w:right w:val="none" w:color="FFFFFF" w:sz="0"/>
            </w:tcBorders>
            <w:shd w:fill="F2F3F5" w:color="auto" w:val="clear"/>
            <w:tcMar>
              <w:top w:type="dxa" w:w="110"/>
              <w:left w:type="dxa" w:w="150"/>
              <w:bottom w:type="dxa" w:w="110"/>
              <w:right w:type="dxa" w:w="150"/>
            </w:tcMar>
          </w:tcPr>
          <w:p>
            <w:pPr>
              <w:keepNext/>
              <w:spacing w:after="80"/>
            </w:pPr>
            <w:r>
              <w:rPr>
                <w:rFonts w:ascii="Calibri" w:cs="Calibri" w:eastAsia="Calibri" w:hAnsi="Calibri"/>
                <w:b/>
                <w:bCs/>
                <w:color w:val="7A1526"/>
                <w:sz w:val="15"/>
                <w:szCs w:val="15"/>
              </w:rPr>
              <w:t xml:space="preserve">NOTA TÉCNICA 2.3   </w:t>
            </w:r>
            <w:r>
              <w:rPr>
                <w:rFonts w:ascii="Calibri" w:cs="Calibri" w:eastAsia="Calibri" w:hAnsi="Calibri"/>
                <w:b/>
                <w:bCs/>
                <w:color w:val="7A1526"/>
                <w:sz w:val="19"/>
                <w:szCs w:val="19"/>
              </w:rPr>
              <w:t xml:space="preserve">Frontera avanzada (opcional): pérdida asimétrica y el cuantil óptimo</w:t>
            </w:r>
          </w:p>
          <w:p>
            <w:pPr>
              <w:spacing w:after="70" w:line="265"/>
            </w:pPr>
            <w:r>
              <w:rPr>
                <w:rFonts w:ascii="Cambria" w:cs="Cambria" w:eastAsia="Cambria" w:hAnsi="Cambria"/>
                <w:color w:val="3A3A3A"/>
                <w:sz w:val="18"/>
                <w:szCs w:val="18"/>
              </w:rPr>
              <w:t xml:space="preserve">Con </w:t>
            </w:r>
            <w:r>
              <w:rPr>
                <w:rFonts w:ascii="Cambria" w:cs="Cambria" w:eastAsia="Cambria" w:hAnsi="Cambria"/>
                <w:b/>
                <w:bCs/>
                <w:color w:val="3A3A3A"/>
                <w:sz w:val="18"/>
                <w:szCs w:val="18"/>
              </w:rPr>
              <w:t xml:space="preserve">pérdida asimétrica</w:t>
            </w:r>
            <w:r>
              <w:rPr>
                <w:rFonts w:ascii="Cambria" w:cs="Cambria" w:eastAsia="Cambria" w:hAnsi="Cambria"/>
                <w:color w:val="3A3A3A"/>
                <w:sz w:val="18"/>
                <w:szCs w:val="18"/>
              </w:rPr>
              <w:t xml:space="preserve"> (sobrevalorar cuesta más que infravalorar) la decisión óptima no es la media sino un </w:t>
            </w:r>
            <w:r>
              <w:rPr>
                <w:rFonts w:ascii="Cambria" w:cs="Cambria" w:eastAsia="Cambria" w:hAnsi="Cambria"/>
                <w:b/>
                <w:bCs/>
                <w:color w:val="3A3A3A"/>
                <w:sz w:val="18"/>
                <w:szCs w:val="18"/>
              </w:rPr>
              <w:t xml:space="preserve">cuantil/haircut</w:t>
            </w:r>
            <w:r>
              <w:rPr>
                <w:rFonts w:ascii="Cambria" w:cs="Cambria" w:eastAsia="Cambria" w:hAnsi="Cambria"/>
                <w:color w:val="3A3A3A"/>
                <w:sz w:val="18"/>
                <w:szCs w:val="18"/>
              </w:rPr>
              <w:t xml:space="preserve"> y se optimiza por </w:t>
            </w:r>
            <w:r>
              <w:rPr>
                <w:rFonts w:ascii="Cambria" w:cs="Cambria" w:eastAsia="Cambria" w:hAnsi="Cambria"/>
                <w:b/>
                <w:bCs/>
                <w:color w:val="3A3A3A"/>
                <w:sz w:val="18"/>
                <w:szCs w:val="18"/>
              </w:rPr>
              <w:t xml:space="preserve">costo esperado</w:t>
            </w:r>
            <w:r>
              <w:rPr>
                <w:rFonts w:ascii="Cambria" w:cs="Cambria" w:eastAsia="Cambria" w:hAnsi="Cambria"/>
                <w:color w:val="3A3A3A"/>
                <w:sz w:val="18"/>
                <w:szCs w:val="18"/>
              </w:rPr>
              <w:t xml:space="preserve">, no por RMSE. Bajo la razón </w:t>
            </w:r>
            <w:r>
              <w:rPr>
                <w:rFonts w:ascii="Cambria" w:cs="Cambria" w:eastAsia="Cambria" w:hAnsi="Cambria"/>
                <w:b/>
                <w:bCs/>
                <w:color w:val="3A3A3A"/>
                <w:sz w:val="18"/>
                <w:szCs w:val="18"/>
              </w:rPr>
              <w:t xml:space="preserve">hipotética</w:t>
            </w:r>
            <w:r>
              <w:rPr>
                <w:rFonts w:ascii="Cambria" w:cs="Cambria" w:eastAsia="Cambria" w:hAnsi="Cambria"/>
                <w:color w:val="3A3A3A"/>
                <w:sz w:val="18"/>
                <w:szCs w:val="18"/>
              </w:rPr>
              <w:t xml:space="preserve"> del reto —sobrevaluar cuesta 3× lo que infravaluar, cifra </w:t>
            </w:r>
            <w:r>
              <w:rPr>
                <w:rFonts w:ascii="Cambria" w:cs="Cambria" w:eastAsia="Cambria" w:hAnsi="Cambria"/>
                <w:b/>
                <w:bCs/>
                <w:color w:val="3A3A3A"/>
                <w:sz w:val="18"/>
                <w:szCs w:val="18"/>
              </w:rPr>
              <w:t xml:space="preserve">a calibrar con el negocio</w:t>
            </w:r>
            <w:r>
              <w:rPr>
                <w:rFonts w:ascii="Cambria" w:cs="Cambria" w:eastAsia="Cambria" w:hAnsi="Cambria"/>
                <w:color w:val="3A3A3A"/>
                <w:sz w:val="18"/>
                <w:szCs w:val="18"/>
              </w:rPr>
              <w:t xml:space="preserve">, no un dato del modelo— el nivel óptimo es τ = 1/(1+3) = </w:t>
            </w:r>
            <w:r>
              <w:rPr>
                <w:rFonts w:ascii="Cambria" w:cs="Cambria" w:eastAsia="Cambria" w:hAnsi="Cambria"/>
                <w:b/>
                <w:bCs/>
                <w:color w:val="3A3A3A"/>
                <w:sz w:val="18"/>
                <w:szCs w:val="18"/>
              </w:rPr>
              <w:t xml:space="preserve">1/4</w:t>
            </w:r>
            <w:r>
              <w:rPr>
                <w:rFonts w:ascii="Cambria" w:cs="Cambria" w:eastAsia="Cambria" w:hAnsi="Cambria"/>
                <w:color w:val="3A3A3A"/>
                <w:sz w:val="18"/>
                <w:szCs w:val="18"/>
              </w:rPr>
              <w:t xml:space="preserve">, es decir el </w:t>
            </w:r>
            <w:r>
              <w:rPr>
                <w:rFonts w:ascii="Cambria" w:cs="Cambria" w:eastAsia="Cambria" w:hAnsi="Cambria"/>
                <w:b/>
                <w:bCs/>
                <w:color w:val="3A3A3A"/>
                <w:sz w:val="18"/>
                <w:szCs w:val="18"/>
              </w:rPr>
              <w:t xml:space="preserve">percentil 25</w:t>
            </w:r>
            <w:r>
              <w:rPr>
                <w:rFonts w:ascii="Cambria" w:cs="Cambria" w:eastAsia="Cambria" w:hAnsi="Cambria"/>
                <w:color w:val="3A3A3A"/>
                <w:sz w:val="18"/>
                <w:szCs w:val="18"/>
              </w:rPr>
              <w:t xml:space="preserve"> de la predicción (ver el reto de negocio de </w:t>
            </w:r>
            <w:r>
              <w:rPr>
                <w:rFonts w:ascii="Consolas" w:cs="Consolas" w:eastAsia="Consolas" w:hAnsi="Consolas"/>
                <w:color w:val="7A1526"/>
                <w:sz w:val="16"/>
                <w:szCs w:val="16"/>
              </w:rPr>
              <w:t xml:space="preserve">evaluacion/drills.docx</w:t>
            </w:r>
            <w:r>
              <w:rPr>
                <w:rFonts w:ascii="Cambria" w:cs="Cambria" w:eastAsia="Cambria" w:hAnsi="Cambria"/>
                <w:color w:val="3A3A3A"/>
                <w:sz w:val="18"/>
                <w:szCs w:val="18"/>
              </w:rPr>
              <w:t xml:space="preserve">).</w:t>
            </w:r>
          </w:p>
        </w:tc>
      </w:tr>
    </w:tbl>
    <w:p>
      <w:pPr>
        <w:spacing w:after="220"/>
      </w:pPr>
    </w:p>
    <w:p>
      <w:pPr>
        <w:spacing w:after="260" w:line="265"/>
      </w:pPr>
      <w:r>
        <w:rPr>
          <w:rFonts w:ascii="Cambria" w:cs="Cambria" w:eastAsia="Cambria" w:hAnsi="Cambria"/>
          <w:b/>
          <w:bCs/>
          <w:i/>
          <w:iCs/>
          <w:color w:val="6E6E6E"/>
          <w:sz w:val="18"/>
          <w:szCs w:val="18"/>
        </w:rPr>
        <w:t xml:space="preserve">Convención Excel del curso:</w:t>
      </w:r>
      <w:r>
        <w:rPr>
          <w:rFonts w:ascii="Cambria" w:cs="Cambria" w:eastAsia="Cambria" w:hAnsi="Cambria"/>
          <w:i/>
          <w:iCs/>
          <w:color w:val="6E6E6E"/>
          <w:sz w:val="18"/>
          <w:szCs w:val="18"/>
        </w:rPr>
        <w:t xml:space="preserve"> todos los resultados del análisis (coeficientes, p-valores, IC, VIF, Cook, Breusch-Pagan y RMSE de CV) se exportan a </w:t>
      </w:r>
      <w:r>
        <w:rPr>
          <w:rFonts w:ascii="Consolas" w:cs="Consolas" w:eastAsia="Consolas" w:hAnsi="Consolas"/>
          <w:i/>
          <w:iCs/>
          <w:color w:val="7A1526"/>
          <w:sz w:val="16"/>
          <w:szCs w:val="16"/>
        </w:rPr>
        <w:t xml:space="preserve">resultados/S04_resultados.xlsx</w:t>
      </w:r>
      <w:r>
        <w:rPr>
          <w:rFonts w:ascii="Cambria" w:cs="Cambria" w:eastAsia="Cambria" w:hAnsi="Cambria"/>
          <w:i/>
          <w:iCs/>
          <w:color w:val="6E6E6E"/>
          <w:sz w:val="18"/>
          <w:szCs w:val="18"/>
        </w:rPr>
        <w:t xml:space="preserve"> y las gráficas de </w:t>
      </w:r>
      <w:r>
        <w:rPr>
          <w:rFonts w:ascii="Cambria" w:cs="Cambria" w:eastAsia="Cambria" w:hAnsi="Cambria"/>
          <w:b/>
          <w:bCs/>
          <w:i/>
          <w:iCs/>
          <w:color w:val="6E6E6E"/>
          <w:sz w:val="18"/>
          <w:szCs w:val="18"/>
        </w:rPr>
        <w:t xml:space="preserve">resultados</w:t>
      </w:r>
      <w:r>
        <w:rPr>
          <w:rFonts w:ascii="Cambria" w:cs="Cambria" w:eastAsia="Cambria" w:hAnsi="Cambria"/>
          <w:i/>
          <w:iCs/>
          <w:color w:val="6E6E6E"/>
          <w:sz w:val="18"/>
          <w:szCs w:val="18"/>
        </w:rPr>
        <w:t xml:space="preserve"> se generan </w:t>
      </w:r>
      <w:r>
        <w:rPr>
          <w:rFonts w:ascii="Cambria" w:cs="Cambria" w:eastAsia="Cambria" w:hAnsi="Cambria"/>
          <w:b/>
          <w:bCs/>
          <w:i/>
          <w:iCs/>
          <w:color w:val="6E6E6E"/>
          <w:sz w:val="18"/>
          <w:szCs w:val="18"/>
        </w:rPr>
        <w:t xml:space="preserve">al leer ese Excel</w:t>
      </w:r>
      <w:r>
        <w:rPr>
          <w:rFonts w:ascii="Cambria" w:cs="Cambria" w:eastAsia="Cambria" w:hAnsi="Cambria"/>
          <w:i/>
          <w:iCs/>
          <w:color w:val="6E6E6E"/>
          <w:sz w:val="18"/>
          <w:szCs w:val="18"/>
        </w:rPr>
        <w:t xml:space="preserve">, nunca desde objetos en memoria (los gráficos de EDA de datos crudos sí se trazan directamente de los datos).</w:t>
      </w:r>
    </w:p>
    <w:p>
      <w:pPr>
        <w:spacing w:after="220"/>
      </w:pPr>
    </w:p>
    <w:p>
      <w:pPr>
        <w:spacing w:after="260" w:line="265"/>
      </w:pPr>
      <w:r>
        <w:rPr>
          <w:rFonts w:ascii="Cambria" w:cs="Cambria" w:eastAsia="Cambria" w:hAnsi="Cambria"/>
          <w:b/>
          <w:bCs/>
          <w:i/>
          <w:iCs/>
          <w:color w:val="6E6E6E"/>
          <w:sz w:val="18"/>
          <w:szCs w:val="18"/>
        </w:rPr>
        <w:t xml:space="preserve">Fuera de alcance (solo se nombran).</w:t>
      </w:r>
      <w:r>
        <w:rPr>
          <w:rFonts w:ascii="Cambria" w:cs="Cambria" w:eastAsia="Cambria" w:hAnsi="Cambria"/>
          <w:i/>
          <w:iCs/>
          <w:color w:val="6E6E6E"/>
          <w:sz w:val="18"/>
          <w:szCs w:val="18"/>
        </w:rPr>
        <w:t xml:space="preserve"> La mejora del modelo en S04 pasa por transformación, diagnóstico, dummies, interacciones y CV clásica. </w:t>
      </w:r>
      <w:r>
        <w:rPr>
          <w:rFonts w:ascii="Cambria" w:cs="Cambria" w:eastAsia="Cambria" w:hAnsi="Cambria"/>
          <w:b/>
          <w:bCs/>
          <w:i/>
          <w:iCs/>
          <w:color w:val="6E6E6E"/>
          <w:sz w:val="18"/>
          <w:szCs w:val="18"/>
        </w:rPr>
        <w:t xml:space="preserve">No</w:t>
      </w:r>
      <w:r>
        <w:rPr>
          <w:rFonts w:ascii="Cambria" w:cs="Cambria" w:eastAsia="Cambria" w:hAnsi="Cambria"/>
          <w:i/>
          <w:iCs/>
          <w:color w:val="6E6E6E"/>
          <w:sz w:val="18"/>
          <w:szCs w:val="18"/>
        </w:rPr>
        <w:t xml:space="preserve"> se usan regularización Ridge/Lasso/Elastic Net ni elección de λ/α por CV, ni regresión polinómica/splines/GAM (S05), ni PCA/reducción (S06). La selección de variables es por criterio clásico (diagnóstico + CV), </w:t>
      </w:r>
      <w:r>
        <w:rPr>
          <w:rFonts w:ascii="Cambria" w:cs="Cambria" w:eastAsia="Cambria" w:hAnsi="Cambria"/>
          <w:b/>
          <w:bCs/>
          <w:i/>
          <w:iCs/>
          <w:color w:val="6E6E6E"/>
          <w:sz w:val="18"/>
          <w:szCs w:val="18"/>
        </w:rPr>
        <w:t xml:space="preserve">nunca por LASSO</w:t>
      </w:r>
      <w:r>
        <w:rPr>
          <w:rFonts w:ascii="Cambria" w:cs="Cambria" w:eastAsia="Cambria" w:hAnsi="Cambria"/>
          <w:i/>
          <w:iCs/>
          <w:color w:val="6E6E6E"/>
          <w:sz w:val="18"/>
          <w:szCs w:val="18"/>
        </w:rPr>
        <w:t xml:space="preserve">.</w:t>
      </w:r>
    </w:p>
    <w:p>
      <w:pPr>
        <w:keepNext/>
        <w:spacing w:after="60" w:before="120"/>
      </w:pPr>
      <w:r>
        <w:rPr>
          <w:rFonts w:ascii="Calibri" w:cs="Calibri" w:eastAsia="Calibri" w:hAnsi="Calibri"/>
          <w:b/>
          <w:bCs/>
          <w:color w:val="7A1526"/>
          <w:sz w:val="24"/>
          <w:szCs w:val="24"/>
        </w:rPr>
        <w:t xml:space="preserve">3.  </w:t>
      </w:r>
      <w:r>
        <w:rPr>
          <w:rFonts w:ascii="Calibri" w:cs="Calibri" w:eastAsia="Calibri" w:hAnsi="Calibri"/>
          <w:b/>
          <w:bCs/>
          <w:color w:val="7A1526"/>
          <w:spacing w:val="20"/>
          <w:sz w:val="24"/>
          <w:szCs w:val="24"/>
        </w:rPr>
        <w:t xml:space="preserve">CIERRE: ENTREGABLE Y PROYECTO INTEGRADOR</w:t>
      </w:r>
    </w:p>
    <w:p>
      <w:pPr>
        <w:keepNext/>
        <w:pBdr>
          <w:bottom w:val="single" w:color="E4002B" w:sz="14" w:space="8"/>
        </w:pBdr>
        <w:spacing w:after="140"/>
      </w:pPr>
      <w:r>
        <w:rPr>
          <w:rFonts w:ascii="Cambria" w:cs="Cambria" w:eastAsia="Cambria" w:hAnsi="Cambria"/>
          <w:i/>
          <w:iCs/>
          <w:color w:val="6E6E6E"/>
          <w:sz w:val="19"/>
          <w:szCs w:val="19"/>
        </w:rPr>
        <w:t xml:space="preserve">Conexión con el entregable y con el proyecto integrador del curso</w:t>
      </w:r>
      <w:r>
        <w:rPr>
          <w:rFonts w:ascii="Cambria" w:cs="Cambria" w:eastAsia="Cambria" w:hAnsi="Cambria"/>
          <w:b/>
          <w:bCs/>
          <w:color w:val="7A1526"/>
          <w:sz w:val="19"/>
          <w:szCs w:val="19"/>
        </w:rPr>
        <w:t xml:space="preserve">   |   —</w:t>
      </w:r>
    </w:p>
    <w:p>
      <w:pPr>
        <w:spacing w:line="270"/>
      </w:pPr>
      <w:r>
        <w:rPr>
          <w:rFonts w:ascii="Cambria" w:cs="Cambria" w:eastAsia="Cambria" w:hAnsi="Cambria"/>
          <w:color w:val="2D2D2D"/>
          <w:sz w:val="20"/>
          <w:szCs w:val="20"/>
        </w:rPr>
        <w:t xml:space="preserve">Al cerrar el laboratorio se cuenta con una réplica más del portafolio del curso y con el borrador del </w:t>
      </w:r>
      <w:r>
        <w:rPr>
          <w:rFonts w:ascii="Cambria" w:cs="Cambria" w:eastAsia="Cambria" w:hAnsi="Cambria"/>
          <w:b/>
          <w:bCs/>
          <w:color w:val="2D2D2D"/>
          <w:sz w:val="20"/>
          <w:szCs w:val="20"/>
        </w:rPr>
        <w:t xml:space="preserve">entregable evaluable de la S04</w:t>
      </w:r>
      <w:r>
        <w:rPr>
          <w:rFonts w:ascii="Cambria" w:cs="Cambria" w:eastAsia="Cambria" w:hAnsi="Cambria"/>
          <w:color w:val="2D2D2D"/>
          <w:sz w:val="20"/>
          <w:szCs w:val="20"/>
        </w:rPr>
        <w:t xml:space="preserve">.</w:t>
      </w:r>
    </w:p>
    <w:p>
      <w:pPr>
        <w:spacing w:after="220"/>
      </w:pPr>
    </w:p>
    <w:p>
      <w:pPr>
        <w:spacing w:line="270"/>
      </w:pPr>
      <w:r>
        <w:rPr>
          <w:rFonts w:ascii="Cambria" w:cs="Cambria" w:eastAsia="Cambria" w:hAnsi="Cambria"/>
          <w:color w:val="2D2D2D"/>
          <w:sz w:val="20"/>
          <w:szCs w:val="20"/>
        </w:rPr>
        <w:t xml:space="preserve">El paso 6 produce el borrador del </w:t>
      </w:r>
      <w:r>
        <w:rPr>
          <w:rFonts w:ascii="Cambria" w:cs="Cambria" w:eastAsia="Cambria" w:hAnsi="Cambria"/>
          <w:b/>
          <w:bCs/>
          <w:color w:val="2D2D2D"/>
          <w:sz w:val="20"/>
          <w:szCs w:val="20"/>
        </w:rPr>
        <w:t xml:space="preserve">entregable evaluable de la S04</w:t>
      </w:r>
      <w:r>
        <w:rPr>
          <w:rFonts w:ascii="Cambria" w:cs="Cambria" w:eastAsia="Cambria" w:hAnsi="Cambria"/>
          <w:color w:val="2D2D2D"/>
          <w:sz w:val="20"/>
          <w:szCs w:val="20"/>
        </w:rPr>
        <w:t xml:space="preserve">: ajustar un modelo de regresión múltiple de precios de vivienda (</w:t>
      </w:r>
      <w:r>
        <w:rPr>
          <w:rFonts w:ascii="Cambria" w:cs="Cambria" w:eastAsia="Cambria" w:hAnsi="Cambria"/>
          <w:i/>
          <w:iCs/>
          <w:color w:val="2D2D2D"/>
          <w:sz w:val="20"/>
          <w:szCs w:val="20"/>
        </w:rPr>
        <w:t xml:space="preserve">Ames</w:t>
      </w:r>
      <w:r>
        <w:rPr>
          <w:rFonts w:ascii="Cambria" w:cs="Cambria" w:eastAsia="Cambria" w:hAnsi="Cambria"/>
          <w:color w:val="2D2D2D"/>
          <w:sz w:val="20"/>
          <w:szCs w:val="20"/>
        </w:rPr>
        <w:t xml:space="preserve">) con </w:t>
      </w:r>
      <w:r>
        <w:rPr>
          <w:rFonts w:ascii="Cambria" w:cs="Cambria" w:eastAsia="Cambria" w:hAnsi="Cambria"/>
          <w:b/>
          <w:bCs/>
          <w:color w:val="2D2D2D"/>
          <w:sz w:val="20"/>
          <w:szCs w:val="20"/>
        </w:rPr>
        <w:t xml:space="preserve">al menos una dummy y una interacción</w:t>
      </w:r>
      <w:r>
        <w:rPr>
          <w:rFonts w:ascii="Cambria" w:cs="Cambria" w:eastAsia="Cambria" w:hAnsi="Cambria"/>
          <w:color w:val="2D2D2D"/>
          <w:sz w:val="20"/>
          <w:szCs w:val="20"/>
        </w:rPr>
        <w:t xml:space="preserve">, diagnosticar los supuestos (VIF, residuales, heterocedasticidad), elegir el modelo por </w:t>
      </w:r>
      <w:r>
        <w:rPr>
          <w:rFonts w:ascii="Cambria" w:cs="Cambria" w:eastAsia="Cambria" w:hAnsi="Cambria"/>
          <w:b/>
          <w:bCs/>
          <w:color w:val="2D2D2D"/>
          <w:sz w:val="20"/>
          <w:szCs w:val="20"/>
        </w:rPr>
        <w:t xml:space="preserve">CV 5-fold</w:t>
      </w:r>
      <w:r>
        <w:rPr>
          <w:rFonts w:ascii="Cambria" w:cs="Cambria" w:eastAsia="Cambria" w:hAnsi="Cambria"/>
          <w:color w:val="2D2D2D"/>
          <w:sz w:val="20"/>
          <w:szCs w:val="20"/>
        </w:rPr>
        <w:t xml:space="preserve"> y comunicar los coeficientes parciales en </w:t>
      </w:r>
      <w:r>
        <w:rPr>
          <w:rFonts w:ascii="Cambria" w:cs="Cambria" w:eastAsia="Cambria" w:hAnsi="Cambria"/>
          <w:b/>
          <w:bCs/>
          <w:color w:val="2D2D2D"/>
          <w:sz w:val="20"/>
          <w:szCs w:val="20"/>
        </w:rPr>
        <w:t xml:space="preserve">unidades de negocio</w:t>
      </w:r>
      <w:r>
        <w:rPr>
          <w:rFonts w:ascii="Cambria" w:cs="Cambria" w:eastAsia="Cambria" w:hAnsi="Cambria"/>
          <w:color w:val="2D2D2D"/>
          <w:sz w:val="20"/>
          <w:szCs w:val="20"/>
        </w:rPr>
        <w:t xml:space="preserve">. El enunciado, el formato de entrega y la </w:t>
      </w:r>
      <w:r>
        <w:rPr>
          <w:rFonts w:ascii="Cambria" w:cs="Cambria" w:eastAsia="Cambria" w:hAnsi="Cambria"/>
          <w:b/>
          <w:bCs/>
          <w:color w:val="2D2D2D"/>
          <w:sz w:val="20"/>
          <w:szCs w:val="20"/>
        </w:rPr>
        <w:t xml:space="preserve">rúbrica vigesimal (total 20 puntos)</w:t>
      </w:r>
      <w:r>
        <w:rPr>
          <w:rFonts w:ascii="Cambria" w:cs="Cambria" w:eastAsia="Cambria" w:hAnsi="Cambria"/>
          <w:color w:val="2D2D2D"/>
          <w:sz w:val="20"/>
          <w:szCs w:val="20"/>
        </w:rPr>
        <w:t xml:space="preserve"> están en </w:t>
      </w:r>
      <w:r>
        <w:rPr>
          <w:rFonts w:ascii="Consolas" w:cs="Consolas" w:eastAsia="Consolas" w:hAnsi="Consolas"/>
          <w:color w:val="7A1526"/>
          <w:sz w:val="18"/>
          <w:szCs w:val="18"/>
        </w:rPr>
        <w:t xml:space="preserve">evaluacion/entregable.docx</w:t>
      </w:r>
      <w:r>
        <w:rPr>
          <w:rFonts w:ascii="Cambria" w:cs="Cambria" w:eastAsia="Cambria" w:hAnsi="Cambria"/>
          <w:color w:val="2D2D2D"/>
          <w:sz w:val="20"/>
          <w:szCs w:val="20"/>
        </w:rPr>
        <w:t xml:space="preserve">; la comparación de modelos se estructura con </w:t>
      </w:r>
      <w:r>
        <w:rPr>
          <w:rFonts w:ascii="Consolas" w:cs="Consolas" w:eastAsia="Consolas" w:hAnsi="Consolas"/>
          <w:color w:val="7A1526"/>
          <w:sz w:val="18"/>
          <w:szCs w:val="18"/>
        </w:rPr>
        <w:t xml:space="preserve">plantillas/comparacion_modelos_cv.docx</w:t>
      </w:r>
      <w:r>
        <w:rPr>
          <w:rFonts w:ascii="Cambria" w:cs="Cambria" w:eastAsia="Cambria" w:hAnsi="Cambria"/>
          <w:color w:val="2D2D2D"/>
          <w:sz w:val="20"/>
          <w:szCs w:val="20"/>
        </w:rPr>
        <w:t xml:space="preserve"> y el diagnóstico con </w:t>
      </w:r>
      <w:r>
        <w:rPr>
          <w:rFonts w:ascii="Consolas" w:cs="Consolas" w:eastAsia="Consolas" w:hAnsi="Consolas"/>
          <w:color w:val="7A1526"/>
          <w:sz w:val="18"/>
          <w:szCs w:val="18"/>
        </w:rPr>
        <w:t xml:space="preserve">plantillas/checklist_diagnostico_regresion.docx</w:t>
      </w:r>
      <w:r>
        <w:rPr>
          <w:rFonts w:ascii="Cambria" w:cs="Cambria" w:eastAsia="Cambria" w:hAnsi="Cambria"/>
          <w:color w:val="2D2D2D"/>
          <w:sz w:val="20"/>
          <w:szCs w:val="20"/>
        </w:rPr>
        <w:t xml:space="preserve">. La entrega es </w:t>
      </w:r>
      <w:r>
        <w:rPr>
          <w:rFonts w:ascii="Cambria" w:cs="Cambria" w:eastAsia="Cambria" w:hAnsi="Cambria"/>
          <w:b/>
          <w:bCs/>
          <w:color w:val="2D2D2D"/>
          <w:sz w:val="20"/>
          <w:szCs w:val="20"/>
        </w:rPr>
        <w:t xml:space="preserve">individual</w:t>
      </w:r>
      <w:r>
        <w:rPr>
          <w:rFonts w:ascii="Cambria" w:cs="Cambria" w:eastAsia="Cambria" w:hAnsi="Cambria"/>
          <w:color w:val="2D2D2D"/>
          <w:sz w:val="20"/>
          <w:szCs w:val="20"/>
        </w:rPr>
        <w:t xml:space="preserve">, aunque el trabajo en clase se realice en parejas. Los tres </w:t>
      </w:r>
      <w:r>
        <w:rPr>
          <w:rFonts w:ascii="Consolas" w:cs="Consolas" w:eastAsia="Consolas" w:hAnsi="Consolas"/>
          <w:color w:val="7A1526"/>
          <w:sz w:val="18"/>
          <w:szCs w:val="18"/>
        </w:rPr>
        <w:t xml:space="preserve">evaluacion/drills.docx</w:t>
      </w:r>
      <w:r>
        <w:rPr>
          <w:rFonts w:ascii="Cambria" w:cs="Cambria" w:eastAsia="Cambria" w:hAnsi="Cambria"/>
          <w:color w:val="2D2D2D"/>
          <w:sz w:val="20"/>
          <w:szCs w:val="20"/>
        </w:rPr>
        <w:t xml:space="preserve"> de la sesión (calcular e interpretar el VIF de tres predictores correlacionados; construir e interpretar una interacción zona × tamaño; comparar dos modelos por R² ajustado vs. RMSE en CV 5-fold) practican exactamente las destrezas que la rúbrica califica.</w:t>
      </w:r>
    </w:p>
    <w:p>
      <w:pPr>
        <w:spacing w:after="220"/>
      </w:pPr>
    </w:p>
    <w:p>
      <w:pPr>
        <w:spacing w:line="270"/>
      </w:pPr>
      <w:r>
        <w:rPr>
          <w:rFonts w:ascii="Cambria" w:cs="Cambria" w:eastAsia="Cambria" w:hAnsi="Cambria"/>
          <w:color w:val="2D2D2D"/>
          <w:sz w:val="20"/>
          <w:szCs w:val="20"/>
        </w:rPr>
        <w:t xml:space="preserve">Este laboratorio aporta tres hilos al </w:t>
      </w:r>
      <w:r>
        <w:rPr>
          <w:rFonts w:ascii="Cambria" w:cs="Cambria" w:eastAsia="Cambria" w:hAnsi="Cambria"/>
          <w:b/>
          <w:bCs/>
          <w:color w:val="2D2D2D"/>
          <w:sz w:val="20"/>
          <w:szCs w:val="20"/>
        </w:rPr>
        <w:t xml:space="preserve">proyecto integrador del curso</w:t>
      </w:r>
      <w:r>
        <w:rPr>
          <w:rFonts w:ascii="Cambria" w:cs="Cambria" w:eastAsia="Cambria" w:hAnsi="Cambria"/>
          <w:color w:val="2D2D2D"/>
          <w:sz w:val="20"/>
          <w:szCs w:val="20"/>
        </w:rPr>
        <w:t xml:space="preserve"> (mecánica y cronograma en </w:t>
      </w:r>
      <w:r>
        <w:rPr>
          <w:rFonts w:ascii="Consolas" w:cs="Consolas" w:eastAsia="Consolas" w:hAnsi="Consolas"/>
          <w:color w:val="7A1526"/>
          <w:sz w:val="18"/>
          <w:szCs w:val="18"/>
        </w:rPr>
        <w:t xml:space="preserve">Proyecto_Integrador/guia_proyecto.docx</w:t>
      </w:r>
      <w:r>
        <w:rPr>
          <w:rFonts w:ascii="Cambria" w:cs="Cambria" w:eastAsia="Cambria" w:hAnsi="Cambria"/>
          <w:color w:val="2D2D2D"/>
          <w:sz w:val="20"/>
          <w:szCs w:val="20"/>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700"/>
        <w:gridCol w:w="9380"/>
      </w:tblGrid>
      <w:tr>
        <w:tc>
          <w:tcPr>
            <w:tcW w:type="dxa" w:w="7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r>
              <w:rPr>
                <w:rFonts w:ascii="Calibri" w:cs="Calibri" w:eastAsia="Calibri" w:hAnsi="Calibri"/>
                <w:b/>
                <w:bCs/>
                <w:color w:val="7A1526"/>
                <w:sz w:val="20"/>
                <w:szCs w:val="20"/>
              </w:rPr>
              <w:t xml:space="preserve">1.</w:t>
            </w:r>
          </w:p>
        </w:tc>
        <w:tc>
          <w:tcPr>
            <w:tcW w:type="dxa" w:w="93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pPr>
              <w:spacing w:line="265"/>
            </w:pPr>
            <w:r>
              <w:rPr>
                <w:rFonts w:ascii="Cambria" w:cs="Cambria" w:eastAsia="Cambria" w:hAnsi="Cambria"/>
                <w:b/>
                <w:bCs/>
                <w:color w:val="2D2D2D"/>
                <w:sz w:val="19"/>
                <w:szCs w:val="19"/>
              </w:rPr>
              <w:t xml:space="preserve">Modelado múltiple interpretable:</w:t>
            </w:r>
            <w:r>
              <w:rPr>
                <w:rFonts w:ascii="Cambria" w:cs="Cambria" w:eastAsia="Cambria" w:hAnsi="Cambria"/>
                <w:color w:val="2D2D2D"/>
                <w:sz w:val="19"/>
                <w:szCs w:val="19"/>
              </w:rPr>
              <w:t xml:space="preserve"> el OLS multivariado es la base de la valoración hedónica y de los AVM reales; aislar la contribución parcial de cada factor y traducirla a una decisión de precio alimenta directamente la fase de </w:t>
            </w:r>
            <w:r>
              <w:rPr>
                <w:rFonts w:ascii="Cambria" w:cs="Cambria" w:eastAsia="Cambria" w:hAnsi="Cambria"/>
                <w:b/>
                <w:bCs/>
                <w:color w:val="2D2D2D"/>
                <w:sz w:val="19"/>
                <w:szCs w:val="19"/>
              </w:rPr>
              <w:t xml:space="preserve">modelado</w:t>
            </w:r>
            <w:r>
              <w:rPr>
                <w:rFonts w:ascii="Cambria" w:cs="Cambria" w:eastAsia="Cambria" w:hAnsi="Cambria"/>
                <w:color w:val="2D2D2D"/>
                <w:sz w:val="19"/>
                <w:szCs w:val="19"/>
              </w:rPr>
              <w:t xml:space="preserve"> del proyecto.</w:t>
            </w:r>
          </w:p>
        </w:tc>
      </w:tr>
      <w:tr>
        <w:tc>
          <w:tcPr>
            <w:tcW w:type="dxa" w:w="70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r>
              <w:rPr>
                <w:rFonts w:ascii="Calibri" w:cs="Calibri" w:eastAsia="Calibri" w:hAnsi="Calibri"/>
                <w:b/>
                <w:bCs/>
                <w:color w:val="7A1526"/>
                <w:sz w:val="20"/>
                <w:szCs w:val="20"/>
              </w:rPr>
              <w:t xml:space="preserve">2.</w:t>
            </w:r>
          </w:p>
        </w:tc>
        <w:tc>
          <w:tcPr>
            <w:tcW w:type="dxa" w:w="9380"/>
            <w:tcBorders>
              <w:top w:val="single" w:color="DFE2E6" w:sz="4"/>
              <w:left w:val="none" w:color="FFFFFF" w:sz="0"/>
              <w:bottom w:val="single" w:color="DFE2E6" w:sz="4"/>
              <w:right w:val="none" w:color="FFFFFF" w:sz="0"/>
            </w:tcBorders>
            <w:shd w:fill="FBEFF1" w:color="auto" w:val="clear"/>
            <w:tcMar>
              <w:top w:type="dxa" w:w="110"/>
              <w:left w:type="dxa" w:w="150"/>
              <w:bottom w:type="dxa" w:w="110"/>
              <w:right w:type="dxa" w:w="150"/>
            </w:tcMar>
          </w:tcPr>
          <w:p>
            <w:pPr>
              <w:spacing w:line="265"/>
            </w:pPr>
            <w:r>
              <w:rPr>
                <w:rFonts w:ascii="Cambria" w:cs="Cambria" w:eastAsia="Cambria" w:hAnsi="Cambria"/>
                <w:b/>
                <w:bCs/>
                <w:color w:val="2D2D2D"/>
                <w:sz w:val="19"/>
                <w:szCs w:val="19"/>
              </w:rPr>
              <w:t xml:space="preserve">Diagnóstico honesto de supuestos:</w:t>
            </w:r>
            <w:r>
              <w:rPr>
                <w:rFonts w:ascii="Cambria" w:cs="Cambria" w:eastAsia="Cambria" w:hAnsi="Cambria"/>
                <w:color w:val="2D2D2D"/>
                <w:sz w:val="19"/>
                <w:szCs w:val="19"/>
              </w:rPr>
              <w:t xml:space="preserve"> VIF, distancia de Cook, Breusch-Pagan y errores robustos se introducen aquí y se reutilizan cada vez que el proyecto ajuste un modelo lineal; son la defensa contra coeficientes engañosos y p-valores mal calculados.</w:t>
            </w:r>
          </w:p>
        </w:tc>
      </w:tr>
      <w:tr>
        <w:tc>
          <w:tcPr>
            <w:tcW w:type="dxa" w:w="70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r>
              <w:rPr>
                <w:rFonts w:ascii="Calibri" w:cs="Calibri" w:eastAsia="Calibri" w:hAnsi="Calibri"/>
                <w:b/>
                <w:bCs/>
                <w:color w:val="7A1526"/>
                <w:sz w:val="20"/>
                <w:szCs w:val="20"/>
              </w:rPr>
              <w:t xml:space="preserve">3.</w:t>
            </w:r>
          </w:p>
        </w:tc>
        <w:tc>
          <w:tcPr>
            <w:tcW w:type="dxa" w:w="9380"/>
            <w:tcBorders>
              <w:top w:val="single" w:color="DFE2E6" w:sz="4"/>
              <w:left w:val="none" w:color="FFFFFF" w:sz="0"/>
              <w:bottom w:val="single" w:color="DFE2E6" w:sz="4"/>
              <w:right w:val="none" w:color="FFFFFF" w:sz="0"/>
            </w:tcBorders>
            <w:shd w:fill="FFFFFF" w:color="auto" w:val="clear"/>
            <w:tcMar>
              <w:top w:type="dxa" w:w="110"/>
              <w:left w:type="dxa" w:w="150"/>
              <w:bottom w:type="dxa" w:w="110"/>
              <w:right w:type="dxa" w:w="150"/>
            </w:tcMar>
          </w:tcPr>
          <w:p>
            <w:pPr>
              <w:spacing w:line="265"/>
            </w:pPr>
            <w:r>
              <w:rPr>
                <w:rFonts w:ascii="Cambria" w:cs="Cambria" w:eastAsia="Cambria" w:hAnsi="Cambria"/>
                <w:b/>
                <w:bCs/>
                <w:color w:val="2D2D2D"/>
                <w:sz w:val="19"/>
                <w:szCs w:val="19"/>
              </w:rPr>
              <w:t xml:space="preserve">Elección de modelo por validación cruzada:</w:t>
            </w:r>
            <w:r>
              <w:rPr>
                <w:rFonts w:ascii="Cambria" w:cs="Cambria" w:eastAsia="Cambria" w:hAnsi="Cambria"/>
                <w:color w:val="2D2D2D"/>
                <w:sz w:val="19"/>
                <w:szCs w:val="19"/>
              </w:rPr>
              <w:t xml:space="preserve"> la CV k-fold </w:t>
            </w:r>
            <w:r>
              <w:rPr>
                <w:rFonts w:ascii="Cambria" w:cs="Cambria" w:eastAsia="Cambria" w:hAnsi="Cambria"/>
                <w:b/>
                <w:bCs/>
                <w:color w:val="2D2D2D"/>
                <w:sz w:val="19"/>
                <w:szCs w:val="19"/>
              </w:rPr>
              <w:t xml:space="preserve">se introduce en esta sesión</w:t>
            </w:r>
            <w:r>
              <w:rPr>
                <w:rFonts w:ascii="Cambria" w:cs="Cambria" w:eastAsia="Cambria" w:hAnsi="Cambria"/>
                <w:color w:val="2D2D2D"/>
                <w:sz w:val="19"/>
                <w:szCs w:val="19"/>
              </w:rPr>
              <w:t xml:space="preserve"> y se reutiliza en S05–S10 para elegir modelos; enseña a decidir por el error esperado en datos nuevos (RMSE medio ± sd), no por el ajuste in-sample —el criterio con el que el proyecto justificará el modelo que pone en producción—. Las </w:t>
            </w:r>
            <w:r>
              <w:rPr>
                <w:rFonts w:ascii="Cambria" w:cs="Cambria" w:eastAsia="Cambria" w:hAnsi="Cambria"/>
                <w:b/>
                <w:bCs/>
                <w:color w:val="2D2D2D"/>
                <w:sz w:val="19"/>
                <w:szCs w:val="19"/>
              </w:rPr>
              <w:t xml:space="preserve">dummies</w:t>
            </w:r>
            <w:r>
              <w:rPr>
                <w:rFonts w:ascii="Cambria" w:cs="Cambria" w:eastAsia="Cambria" w:hAnsi="Cambria"/>
                <w:color w:val="2D2D2D"/>
                <w:sz w:val="19"/>
                <w:szCs w:val="19"/>
              </w:rPr>
              <w:t xml:space="preserve"> y las </w:t>
            </w:r>
            <w:r>
              <w:rPr>
                <w:rFonts w:ascii="Cambria" w:cs="Cambria" w:eastAsia="Cambria" w:hAnsi="Cambria"/>
                <w:b/>
                <w:bCs/>
                <w:color w:val="2D2D2D"/>
                <w:sz w:val="19"/>
                <w:szCs w:val="19"/>
              </w:rPr>
              <w:t xml:space="preserve">interacciones</w:t>
            </w:r>
            <w:r>
              <w:rPr>
                <w:rFonts w:ascii="Cambria" w:cs="Cambria" w:eastAsia="Cambria" w:hAnsi="Cambria"/>
                <w:color w:val="2D2D2D"/>
                <w:sz w:val="19"/>
                <w:szCs w:val="19"/>
              </w:rPr>
              <w:t xml:space="preserve"> reaparecerán en los modelos de clasificación posteriores.</w:t>
            </w:r>
          </w:p>
        </w:tc>
      </w:tr>
    </w:tbl>
    <w:p>
      <w:pPr>
        <w:spacing w:after="220"/>
      </w:pPr>
    </w:p>
    <w:p>
      <w:pPr>
        <w:spacing w:line="270"/>
      </w:pPr>
      <w:r>
        <w:rPr>
          <w:rFonts w:ascii="Cambria" w:cs="Cambria" w:eastAsia="Cambria" w:hAnsi="Cambria"/>
          <w:color w:val="2D2D2D"/>
          <w:sz w:val="20"/>
          <w:szCs w:val="20"/>
        </w:rPr>
        <w:t xml:space="preserve">Desde la próxima sesión el laboratorio seguirá el mismo protocolo: empezar en el paper que publicó la técnica, replicar su resultado y recién entonces llevarlo a los datos de la organización.</w:t>
      </w:r>
    </w:p>
    <w:p>
      <w:pPr>
        <w:keepNext/>
        <w:spacing w:after="110" w:before="240"/>
      </w:pPr>
      <w:r>
        <w:rPr>
          <w:rFonts w:ascii="Calibri" w:cs="Calibri" w:eastAsia="Calibri" w:hAnsi="Calibri"/>
          <w:b/>
          <w:bCs/>
          <w:color w:val="7A1526"/>
          <w:sz w:val="21"/>
          <w:szCs w:val="21"/>
        </w:rPr>
        <w:t xml:space="preserve">4. Checklist final de autoevaluación</w:t>
      </w:r>
    </w:p>
    <w:p>
      <w:pPr>
        <w:spacing w:after="140"/>
      </w:pPr>
      <w:r>
        <w:rPr>
          <w:rFonts w:ascii="Cambria" w:cs="Cambria" w:eastAsia="Cambria" w:hAnsi="Cambria"/>
          <w:i/>
          <w:iCs/>
          <w:color w:val="6E6E6E"/>
          <w:sz w:val="18"/>
          <w:szCs w:val="18"/>
        </w:rPr>
        <w:t xml:space="preserve">Verificación previa a dar el laboratorio por cerrado. Ninguna casilla debe quedar vacía.</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60"/>
        <w:gridCol w:w="640"/>
        <w:gridCol w:w="8880"/>
      </w:tblGrid>
      <w:tr>
        <w:trPr>
          <w:tblHeader/>
        </w:trPr>
        <w:tc>
          <w:tcPr>
            <w:tcW w:type="dxa" w:w="56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pPr>
              <w:jc w:val="center"/>
            </w:pPr>
            <w:r>
              <w:rPr>
                <w:rFonts w:ascii="Calibri" w:cs="Calibri" w:eastAsia="Calibri" w:hAnsi="Calibri"/>
                <w:b/>
                <w:bCs/>
                <w:color w:val="FFFFFF"/>
                <w:sz w:val="15"/>
                <w:szCs w:val="15"/>
              </w:rPr>
              <w:t xml:space="preserve">✔</w:t>
            </w:r>
          </w:p>
        </w:tc>
        <w:tc>
          <w:tcPr>
            <w:tcW w:type="dxa" w:w="64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pPr>
              <w:jc w:val="center"/>
            </w:pPr>
            <w:r>
              <w:rPr>
                <w:rFonts w:ascii="Calibri" w:cs="Calibri" w:eastAsia="Calibri" w:hAnsi="Calibri"/>
                <w:b/>
                <w:bCs/>
                <w:color w:val="FFFFFF"/>
                <w:sz w:val="15"/>
                <w:szCs w:val="15"/>
              </w:rPr>
              <w:t xml:space="preserve">N.º</w:t>
            </w:r>
          </w:p>
        </w:tc>
        <w:tc>
          <w:tcPr>
            <w:tcW w:type="dxa" w:w="8880"/>
            <w:tcBorders>
              <w:top w:val="none" w:color="FFFFFF" w:sz="0"/>
              <w:left w:val="none" w:color="FFFFFF" w:sz="0"/>
              <w:bottom w:val="none" w:color="FFFFFF" w:sz="0"/>
              <w:right w:val="none" w:color="FFFFFF" w:sz="0"/>
            </w:tcBorders>
            <w:shd w:fill="3D4450" w:color="auto" w:val="clear"/>
            <w:tcMar>
              <w:top w:type="dxa" w:w="90"/>
              <w:left w:type="dxa" w:w="150"/>
              <w:bottom w:type="dxa" w:w="90"/>
              <w:right w:type="dxa" w:w="150"/>
            </w:tcMar>
          </w:tcPr>
          <w:p>
            <w:r>
              <w:rPr>
                <w:rFonts w:ascii="Calibri" w:cs="Calibri" w:eastAsia="Calibri" w:hAnsi="Calibri"/>
                <w:b/>
                <w:bCs/>
                <w:color w:val="FFFFFF"/>
                <w:sz w:val="15"/>
                <w:szCs w:val="15"/>
              </w:rPr>
              <w:t xml:space="preserve">CRITERIO</w:t>
            </w:r>
          </w:p>
        </w:tc>
      </w:tr>
      <w:tr>
        <w:trPr>
          <w:cantSplit/>
        </w:trPr>
        <w:tc>
          <w:tcPr>
            <w:tcW w:type="dxa" w:w="5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1</w:t>
            </w:r>
          </w:p>
        </w:tc>
        <w:tc>
          <w:tcPr>
            <w:tcW w:type="dxa" w:w="8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declararon por escrito los </w:t>
            </w:r>
            <w:r>
              <w:rPr>
                <w:rFonts w:ascii="Cambria" w:cs="Cambria" w:eastAsia="Cambria" w:hAnsi="Cambria"/>
                <w:b/>
                <w:bCs/>
                <w:color w:val="2D2D2D"/>
                <w:sz w:val="19"/>
                <w:szCs w:val="19"/>
              </w:rPr>
              <w:t xml:space="preserve">cuatro targets</w:t>
            </w:r>
            <w:r>
              <w:rPr>
                <w:rFonts w:ascii="Cambria" w:cs="Cambria" w:eastAsia="Cambria" w:hAnsi="Cambria"/>
                <w:color w:val="2D2D2D"/>
                <w:sz w:val="19"/>
                <w:szCs w:val="19"/>
              </w:rPr>
              <w:t xml:space="preserve"> de la réplica (correlación ≈ 0.71, 5 atípicas, R² simple ≈ 0.518, R² múltiple ≈ 0.847) y por qué Ames reemplazó a Boston Housing.</w:t>
            </w:r>
          </w:p>
        </w:tc>
      </w:tr>
      <w:tr>
        <w:trPr>
          <w:cantSplit/>
        </w:trPr>
        <w:tc>
          <w:tcPr>
            <w:tcW w:type="dxa" w:w="5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2</w:t>
            </w:r>
          </w:p>
        </w:tc>
        <w:tc>
          <w:tcPr>
            <w:tcW w:type="dxa" w:w="8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El dataset </w:t>
            </w:r>
            <w:r>
              <w:rPr>
                <w:rFonts w:ascii="Consolas" w:cs="Consolas" w:eastAsia="Consolas" w:hAnsi="Consolas"/>
                <w:color w:val="7A1526"/>
                <w:sz w:val="17"/>
                <w:szCs w:val="17"/>
              </w:rPr>
              <w:t xml:space="preserve">AmesHousing.csv</w:t>
            </w:r>
            <w:r>
              <w:rPr>
                <w:rFonts w:ascii="Cambria" w:cs="Cambria" w:eastAsia="Cambria" w:hAnsi="Cambria"/>
                <w:color w:val="2D2D2D"/>
                <w:sz w:val="19"/>
                <w:szCs w:val="19"/>
              </w:rPr>
              <w:t xml:space="preserve"> se cargó y verificó (</w:t>
            </w:r>
            <w:r>
              <w:rPr>
                <w:rFonts w:ascii="Cambria" w:cs="Cambria" w:eastAsia="Cambria" w:hAnsi="Cambria"/>
                <w:b/>
                <w:bCs/>
                <w:color w:val="2D2D2D"/>
                <w:sz w:val="19"/>
                <w:szCs w:val="19"/>
              </w:rPr>
              <w:t xml:space="preserve">2930 filas × 82 columnas</w:t>
            </w:r>
            <w:r>
              <w:rPr>
                <w:rFonts w:ascii="Cambria" w:cs="Cambria" w:eastAsia="Cambria" w:hAnsi="Cambria"/>
                <w:color w:val="2D2D2D"/>
                <w:sz w:val="19"/>
                <w:szCs w:val="19"/>
              </w:rPr>
              <w:t xml:space="preserve">), con fecha DD/MM/YYYY, y se distinguió del subconjunto Kaggle (1460, 4 atípicas).</w:t>
            </w:r>
          </w:p>
        </w:tc>
      </w:tr>
      <w:tr>
        <w:trPr>
          <w:cantSplit/>
        </w:trPr>
        <w:tc>
          <w:tcPr>
            <w:tcW w:type="dxa" w:w="5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3</w:t>
            </w:r>
          </w:p>
        </w:tc>
        <w:tc>
          <w:tcPr>
            <w:tcW w:type="dxa" w:w="8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reconoció la convención de </w:t>
            </w:r>
            <w:r>
              <w:rPr>
                <w:rFonts w:ascii="Cambria" w:cs="Cambria" w:eastAsia="Cambria" w:hAnsi="Cambria"/>
                <w:b/>
                <w:bCs/>
                <w:color w:val="2D2D2D"/>
                <w:sz w:val="19"/>
                <w:szCs w:val="19"/>
              </w:rPr>
              <w:t xml:space="preserve">nombres con espacios</w:t>
            </w:r>
            <w:r>
              <w:rPr>
                <w:rFonts w:ascii="Cambria" w:cs="Cambria" w:eastAsia="Cambria" w:hAnsi="Cambria"/>
                <w:color w:val="2D2D2D"/>
                <w:sz w:val="19"/>
                <w:szCs w:val="19"/>
              </w:rPr>
              <w:t xml:space="preserve"> (</w:t>
            </w:r>
            <w:r>
              <w:rPr>
                <w:rFonts w:ascii="Consolas" w:cs="Consolas" w:eastAsia="Consolas" w:hAnsi="Consolas"/>
                <w:color w:val="7A1526"/>
                <w:sz w:val="17"/>
                <w:szCs w:val="17"/>
              </w:rPr>
              <w:t xml:space="preserve">Gr Liv Area</w:t>
            </w:r>
            <w:r>
              <w:rPr>
                <w:rFonts w:ascii="Cambria" w:cs="Cambria" w:eastAsia="Cambria" w:hAnsi="Cambria"/>
                <w:color w:val="2D2D2D"/>
                <w:sz w:val="19"/>
                <w:szCs w:val="19"/>
              </w:rPr>
              <w:t xml:space="preserve">) y se removieron las </w:t>
            </w:r>
            <w:r>
              <w:rPr>
                <w:rFonts w:ascii="Cambria" w:cs="Cambria" w:eastAsia="Cambria" w:hAnsi="Cambria"/>
                <w:b/>
                <w:bCs/>
                <w:color w:val="2D2D2D"/>
                <w:sz w:val="19"/>
                <w:szCs w:val="19"/>
              </w:rPr>
              <w:t xml:space="preserve">5 ventas</w:t>
            </w:r>
            <w:r>
              <w:rPr>
                <w:rFonts w:ascii="Cambria" w:cs="Cambria" w:eastAsia="Cambria" w:hAnsi="Cambria"/>
                <w:color w:val="2D2D2D"/>
                <w:sz w:val="19"/>
                <w:szCs w:val="19"/>
              </w:rPr>
              <w:t xml:space="preserve"> con </w:t>
            </w:r>
            <w:r>
              <w:rPr>
                <w:rFonts w:ascii="Consolas" w:cs="Consolas" w:eastAsia="Consolas" w:hAnsi="Consolas"/>
                <w:color w:val="7A1526"/>
                <w:sz w:val="17"/>
                <w:szCs w:val="17"/>
              </w:rPr>
              <w:t xml:space="preserve">Gr Liv Area</w:t>
            </w:r>
            <w:r>
              <w:rPr>
                <w:rFonts w:ascii="Cambria" w:cs="Cambria" w:eastAsia="Cambria" w:hAnsi="Cambria"/>
                <w:color w:val="2D2D2D"/>
                <w:sz w:val="19"/>
                <w:szCs w:val="19"/>
              </w:rPr>
              <w:t xml:space="preserve"> &gt; 4000 (2925 filas), y se justificó por qué (3 Partial + 1 Abnorml + 1 Normal).</w:t>
            </w:r>
          </w:p>
        </w:tc>
      </w:tr>
      <w:tr>
        <w:trPr>
          <w:cantSplit/>
        </w:trPr>
        <w:tc>
          <w:tcPr>
            <w:tcW w:type="dxa" w:w="5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4</w:t>
            </w:r>
          </w:p>
        </w:tc>
        <w:tc>
          <w:tcPr>
            <w:tcW w:type="dxa" w:w="8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calculó la </w:t>
            </w:r>
            <w:r>
              <w:rPr>
                <w:rFonts w:ascii="Cambria" w:cs="Cambria" w:eastAsia="Cambria" w:hAnsi="Cambria"/>
                <w:b/>
                <w:bCs/>
                <w:color w:val="2D2D2D"/>
                <w:sz w:val="19"/>
                <w:szCs w:val="19"/>
              </w:rPr>
              <w:t xml:space="preserve">correlación</w:t>
            </w:r>
            <w:r>
              <w:rPr>
                <w:rFonts w:ascii="Cambria" w:cs="Cambria" w:eastAsia="Cambria" w:hAnsi="Cambria"/>
                <w:color w:val="2D2D2D"/>
                <w:sz w:val="19"/>
                <w:szCs w:val="19"/>
              </w:rPr>
              <w:t xml:space="preserve"> con y sin atípicas (0.7068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0.7195) y se ajustó el </w:t>
            </w:r>
            <w:r>
              <w:rPr>
                <w:rFonts w:ascii="Cambria" w:cs="Cambria" w:eastAsia="Cambria" w:hAnsi="Cambria"/>
                <w:b/>
                <w:bCs/>
                <w:color w:val="2D2D2D"/>
                <w:sz w:val="19"/>
                <w:szCs w:val="19"/>
              </w:rPr>
              <w:t xml:space="preserve">OLS simple</w:t>
            </w:r>
            <w:r>
              <w:rPr>
                <w:rFonts w:ascii="Cambria" w:cs="Cambria" w:eastAsia="Cambria" w:hAnsi="Cambria"/>
                <w:color w:val="2D2D2D"/>
                <w:sz w:val="19"/>
                <w:szCs w:val="19"/>
              </w:rPr>
              <w:t xml:space="preserve"> limpio (</w:t>
            </w:r>
            <w:r>
              <w:rPr>
                <w:rFonts w:ascii="Cambria" w:cs="Cambria" w:eastAsia="Cambria" w:hAnsi="Cambria"/>
                <w:b/>
                <w:bCs/>
                <w:color w:val="2D2D2D"/>
                <w:sz w:val="19"/>
                <w:szCs w:val="19"/>
              </w:rPr>
              <w:t xml:space="preserve">R² ≈ 0.518</w:t>
            </w:r>
            <w:r>
              <w:rPr>
                <w:rFonts w:ascii="Cambria" w:cs="Cambria" w:eastAsia="Cambria" w:hAnsi="Cambria"/>
                <w:color w:val="2D2D2D"/>
                <w:sz w:val="19"/>
                <w:szCs w:val="19"/>
              </w:rPr>
              <w:t xml:space="preserve">, β₁ ≈ 116 USD/pie²).</w:t>
            </w:r>
          </w:p>
        </w:tc>
      </w:tr>
      <w:tr>
        <w:trPr>
          <w:cantSplit/>
        </w:trPr>
        <w:tc>
          <w:tcPr>
            <w:tcW w:type="dxa" w:w="5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5</w:t>
            </w:r>
          </w:p>
        </w:tc>
        <w:tc>
          <w:tcPr>
            <w:tcW w:type="dxa" w:w="8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detectó la </w:t>
            </w:r>
            <w:r>
              <w:rPr>
                <w:rFonts w:ascii="Cambria" w:cs="Cambria" w:eastAsia="Cambria" w:hAnsi="Cambria"/>
                <w:b/>
                <w:bCs/>
                <w:color w:val="2D2D2D"/>
                <w:sz w:val="19"/>
                <w:szCs w:val="19"/>
              </w:rPr>
              <w:t xml:space="preserve">heterocedasticidad</w:t>
            </w:r>
            <w:r>
              <w:rPr>
                <w:rFonts w:ascii="Cambria" w:cs="Cambria" w:eastAsia="Cambria" w:hAnsi="Cambria"/>
                <w:color w:val="2D2D2D"/>
                <w:sz w:val="19"/>
                <w:szCs w:val="19"/>
              </w:rPr>
              <w:t xml:space="preserve"> (Breusch-Pagan LM = 440.6, p ≪ 0.05), se pasó a </w:t>
            </w:r>
            <w:r>
              <w:rPr>
                <w:rFonts w:ascii="Cambria" w:cs="Cambria" w:eastAsia="Cambria" w:hAnsi="Cambria"/>
                <w:b/>
                <w:bCs/>
                <w:color w:val="2D2D2D"/>
                <w:sz w:val="19"/>
                <w:szCs w:val="19"/>
              </w:rPr>
              <w:t xml:space="preserve">log(</w:t>
            </w:r>
            <w:r>
              <w:rPr>
                <w:rFonts w:ascii="Consolas" w:cs="Consolas" w:eastAsia="Consolas" w:hAnsi="Consolas"/>
                <w:b/>
                <w:bCs/>
                <w:color w:val="7A1526"/>
                <w:sz w:val="17"/>
                <w:szCs w:val="17"/>
              </w:rPr>
              <w:t xml:space="preserve">SalePrice</w:t>
            </w:r>
            <w:r>
              <w:rPr>
                <w:rFonts w:ascii="Cambria" w:cs="Cambria" w:eastAsia="Cambria" w:hAnsi="Cambria"/>
                <w:b/>
                <w:bCs/>
                <w:color w:val="2D2D2D"/>
                <w:sz w:val="19"/>
                <w:szCs w:val="19"/>
              </w:rPr>
              <w:t xml:space="preserve">)</w:t>
            </w:r>
            <w:r>
              <w:rPr>
                <w:rFonts w:ascii="Cambria" w:cs="Cambria" w:eastAsia="Cambria" w:hAnsi="Cambria"/>
                <w:color w:val="2D2D2D"/>
                <w:sz w:val="19"/>
                <w:szCs w:val="19"/>
              </w:rPr>
              <w:t xml:space="preserve"> y se ajustó el modelo múltiple de 5 predictores (</w:t>
            </w:r>
            <w:r>
              <w:rPr>
                <w:rFonts w:ascii="Cambria" w:cs="Cambria" w:eastAsia="Cambria" w:hAnsi="Cambria"/>
                <w:b/>
                <w:bCs/>
                <w:color w:val="2D2D2D"/>
                <w:sz w:val="19"/>
                <w:szCs w:val="19"/>
              </w:rPr>
              <w:t xml:space="preserve">R² ≈ 0.847</w:t>
            </w:r>
            <w:r>
              <w:rPr>
                <w:rFonts w:ascii="Cambria" w:cs="Cambria" w:eastAsia="Cambria" w:hAnsi="Cambria"/>
                <w:color w:val="2D2D2D"/>
                <w:sz w:val="19"/>
                <w:szCs w:val="19"/>
              </w:rPr>
              <w:t xml:space="preserve">, F ≈ 3228).</w:t>
            </w:r>
          </w:p>
        </w:tc>
      </w:tr>
      <w:tr>
        <w:trPr>
          <w:cantSplit/>
        </w:trPr>
        <w:tc>
          <w:tcPr>
            <w:tcW w:type="dxa" w:w="5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6</w:t>
            </w:r>
          </w:p>
        </w:tc>
        <w:tc>
          <w:tcPr>
            <w:tcW w:type="dxa" w:w="8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calcularon los </w:t>
            </w:r>
            <w:r>
              <w:rPr>
                <w:rFonts w:ascii="Cambria" w:cs="Cambria" w:eastAsia="Cambria" w:hAnsi="Cambria"/>
                <w:b/>
                <w:bCs/>
                <w:color w:val="2D2D2D"/>
                <w:sz w:val="19"/>
                <w:szCs w:val="19"/>
              </w:rPr>
              <w:t xml:space="preserve">VIF</w:t>
            </w:r>
            <w:r>
              <w:rPr>
                <w:rFonts w:ascii="Cambria" w:cs="Cambria" w:eastAsia="Cambria" w:hAnsi="Cambria"/>
                <w:color w:val="2D2D2D"/>
                <w:sz w:val="19"/>
                <w:szCs w:val="19"/>
              </w:rPr>
              <w:t xml:space="preserve"> (todos &lt; 5, sin multicolinealidad) sin interpretar el del intercepto, y se listaron los candidatos de </w:t>
            </w:r>
            <w:r>
              <w:rPr>
                <w:rFonts w:ascii="Cambria" w:cs="Cambria" w:eastAsia="Cambria" w:hAnsi="Cambria"/>
                <w:b/>
                <w:bCs/>
                <w:color w:val="2D2D2D"/>
                <w:sz w:val="19"/>
                <w:szCs w:val="19"/>
              </w:rPr>
              <w:t xml:space="preserve">Cook</w:t>
            </w:r>
            <w:r>
              <w:rPr>
                <w:rFonts w:ascii="Cambria" w:cs="Cambria" w:eastAsia="Cambria" w:hAnsi="Cambria"/>
                <w:color w:val="2D2D2D"/>
                <w:sz w:val="19"/>
                <w:szCs w:val="19"/>
              </w:rPr>
              <w:t xml:space="preserve"> (192 obs &gt; 4/n) sin borrarlos.</w:t>
            </w:r>
          </w:p>
        </w:tc>
      </w:tr>
      <w:tr>
        <w:trPr>
          <w:cantSplit/>
        </w:trPr>
        <w:tc>
          <w:tcPr>
            <w:tcW w:type="dxa" w:w="5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7</w:t>
            </w:r>
          </w:p>
        </w:tc>
        <w:tc>
          <w:tcPr>
            <w:tcW w:type="dxa" w:w="8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reportó el </w:t>
            </w:r>
            <w:r>
              <w:rPr>
                <w:rFonts w:ascii="Cambria" w:cs="Cambria" w:eastAsia="Cambria" w:hAnsi="Cambria"/>
                <w:b/>
                <w:bCs/>
                <w:color w:val="2D2D2D"/>
                <w:sz w:val="19"/>
                <w:szCs w:val="19"/>
              </w:rPr>
              <w:t xml:space="preserve">Durbin-Watson (≈ 1.68)</w:t>
            </w:r>
            <w:r>
              <w:rPr>
                <w:rFonts w:ascii="Cambria" w:cs="Cambria" w:eastAsia="Cambria" w:hAnsi="Cambria"/>
                <w:color w:val="2D2D2D"/>
                <w:sz w:val="19"/>
                <w:szCs w:val="19"/>
              </w:rPr>
              <w:t xml:space="preserve"> con su lectura correcta: el orden del CSV es </w:t>
            </w:r>
            <w:r>
              <w:rPr>
                <w:rFonts w:ascii="Cambria" w:cs="Cambria" w:eastAsia="Cambria" w:hAnsi="Cambria"/>
                <w:b/>
                <w:bCs/>
                <w:color w:val="2D2D2D"/>
                <w:sz w:val="19"/>
                <w:szCs w:val="19"/>
              </w:rPr>
              <w:t xml:space="preserve">geográfico</w:t>
            </w:r>
            <w:r>
              <w:rPr>
                <w:rFonts w:ascii="Cambria" w:cs="Cambria" w:eastAsia="Cambria" w:hAnsi="Cambria"/>
                <w:color w:val="2D2D2D"/>
                <w:sz w:val="19"/>
                <w:szCs w:val="19"/>
              </w:rPr>
              <w:t xml:space="preserve"> (86.4 % de contigüidad de barrio), así que el DW es </w:t>
            </w:r>
            <w:r>
              <w:rPr>
                <w:rFonts w:ascii="Cambria" w:cs="Cambria" w:eastAsia="Cambria" w:hAnsi="Cambria"/>
                <w:b/>
                <w:bCs/>
                <w:color w:val="2D2D2D"/>
                <w:sz w:val="19"/>
                <w:szCs w:val="19"/>
              </w:rPr>
              <w:t xml:space="preserve">señal de dependencia espacial residual</w:t>
            </w:r>
            <w:r>
              <w:rPr>
                <w:rFonts w:ascii="Cambria" w:cs="Cambria" w:eastAsia="Cambria" w:hAnsi="Cambria"/>
                <w:color w:val="2D2D2D"/>
                <w:sz w:val="19"/>
                <w:szCs w:val="19"/>
              </w:rPr>
              <w:t xml:space="preserve"> (barajado ≈ 1.97; ordenado por barrio 1.70) — </w:t>
            </w:r>
            <w:r>
              <w:rPr>
                <w:rFonts w:ascii="Cambria" w:cs="Cambria" w:eastAsia="Cambria" w:hAnsi="Cambria"/>
                <w:b/>
                <w:bCs/>
                <w:color w:val="2D2D2D"/>
                <w:sz w:val="19"/>
                <w:szCs w:val="19"/>
              </w:rPr>
              <w:t xml:space="preserve">sin</w:t>
            </w:r>
            <w:r>
              <w:rPr>
                <w:rFonts w:ascii="Cambria" w:cs="Cambria" w:eastAsia="Cambria" w:hAnsi="Cambria"/>
                <w:color w:val="2D2D2D"/>
                <w:sz w:val="19"/>
                <w:szCs w:val="19"/>
              </w:rPr>
              <w:t xml:space="preserve"> escribir «no aplica (transversal)» ni «cercano a 2 ⇒ sin problema» — y la incertidumbre se contrastó con </w:t>
            </w:r>
            <w:r>
              <w:rPr>
                <w:rFonts w:ascii="Cambria" w:cs="Cambria" w:eastAsia="Cambria" w:hAnsi="Cambria"/>
                <w:b/>
                <w:bCs/>
                <w:color w:val="2D2D2D"/>
                <w:sz w:val="19"/>
                <w:szCs w:val="19"/>
              </w:rPr>
              <w:t xml:space="preserve">SE por barrio</w:t>
            </w:r>
            <w:r>
              <w:rPr>
                <w:rFonts w:ascii="Cambria" w:cs="Cambria" w:eastAsia="Cambria" w:hAnsi="Cambria"/>
                <w:color w:val="2D2D2D"/>
                <w:sz w:val="19"/>
                <w:szCs w:val="19"/>
              </w:rPr>
              <w:t xml:space="preserve"> (hoja </w:t>
            </w:r>
            <w:r>
              <w:rPr>
                <w:rFonts w:ascii="Consolas" w:cs="Consolas" w:eastAsia="Consolas" w:hAnsi="Consolas"/>
                <w:color w:val="7A1526"/>
                <w:sz w:val="17"/>
                <w:szCs w:val="17"/>
              </w:rPr>
              <w:t xml:space="preserve">se_cluster_barrio</w:t>
            </w:r>
            <w:r>
              <w:rPr>
                <w:rFonts w:ascii="Cambria" w:cs="Cambria" w:eastAsia="Cambria" w:hAnsi="Cambria"/>
                <w:color w:val="2D2D2D"/>
                <w:sz w:val="19"/>
                <w:szCs w:val="19"/>
              </w:rPr>
              <w:t xml:space="preserve">, SE ×2.3–2.9); el tratamiento espacial completo es de S11+.</w:t>
            </w:r>
          </w:p>
        </w:tc>
      </w:tr>
      <w:tr>
        <w:trPr>
          <w:cantSplit/>
        </w:trPr>
        <w:tc>
          <w:tcPr>
            <w:tcW w:type="dxa" w:w="5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8</w:t>
            </w:r>
          </w:p>
        </w:tc>
        <w:tc>
          <w:tcPr>
            <w:tcW w:type="dxa" w:w="8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leyó la </w:t>
            </w:r>
            <w:r>
              <w:rPr>
                <w:rFonts w:ascii="Cambria" w:cs="Cambria" w:eastAsia="Cambria" w:hAnsi="Cambria"/>
                <w:b/>
                <w:bCs/>
                <w:color w:val="2D2D2D"/>
                <w:sz w:val="19"/>
                <w:szCs w:val="19"/>
              </w:rPr>
              <w:t xml:space="preserve">normalidad</w:t>
            </w:r>
            <w:r>
              <w:rPr>
                <w:rFonts w:ascii="Cambria" w:cs="Cambria" w:eastAsia="Cambria" w:hAnsi="Cambria"/>
                <w:color w:val="2D2D2D"/>
                <w:sz w:val="19"/>
                <w:szCs w:val="19"/>
              </w:rPr>
              <w:t xml:space="preserve"> con honestidad: </w:t>
            </w:r>
            <w:r>
              <w:rPr>
                <w:rFonts w:ascii="Cambria" w:cs="Cambria" w:eastAsia="Cambria" w:hAnsi="Cambria"/>
                <w:b/>
                <w:bCs/>
                <w:color w:val="2D2D2D"/>
                <w:sz w:val="19"/>
                <w:szCs w:val="19"/>
              </w:rPr>
              <w:t xml:space="preserve">Jarque-Bera ≈ 16 160 rechaza</w:t>
            </w:r>
            <w:r>
              <w:rPr>
                <w:rFonts w:ascii="Cambria" w:cs="Cambria" w:eastAsia="Cambria" w:hAnsi="Cambria"/>
                <w:color w:val="2D2D2D"/>
                <w:sz w:val="19"/>
                <w:szCs w:val="19"/>
              </w:rPr>
              <w:t xml:space="preserve"> la normalidad (colas pesadas, no leves); el </w:t>
            </w:r>
            <w:r>
              <w:rPr>
                <w:rFonts w:ascii="Cambria" w:cs="Cambria" w:eastAsia="Cambria" w:hAnsi="Cambria"/>
                <w:b/>
                <w:bCs/>
                <w:color w:val="2D2D2D"/>
                <w:sz w:val="19"/>
                <w:szCs w:val="19"/>
              </w:rPr>
              <w:t xml:space="preserve">TCL</w:t>
            </w:r>
            <w:r>
              <w:rPr>
                <w:rFonts w:ascii="Cambria" w:cs="Cambria" w:eastAsia="Cambria" w:hAnsi="Cambria"/>
                <w:color w:val="2D2D2D"/>
                <w:sz w:val="19"/>
                <w:szCs w:val="19"/>
              </w:rPr>
              <w:t xml:space="preserve"> protege la inferencia de los </w:t>
            </w:r>
            <w:r>
              <w:rPr>
                <w:rFonts w:ascii="Cambria" w:cs="Cambria" w:eastAsia="Cambria" w:hAnsi="Cambria"/>
                <w:b/>
                <w:bCs/>
                <w:color w:val="2D2D2D"/>
                <w:sz w:val="19"/>
                <w:szCs w:val="19"/>
              </w:rPr>
              <w:t xml:space="preserve">coeficientes</w:t>
            </w:r>
            <w:r>
              <w:rPr>
                <w:rFonts w:ascii="Cambria" w:cs="Cambria" w:eastAsia="Cambria" w:hAnsi="Cambria"/>
                <w:color w:val="2D2D2D"/>
                <w:sz w:val="19"/>
                <w:szCs w:val="19"/>
              </w:rPr>
              <w:t xml:space="preserve"> (n ≈ 2923), pero </w:t>
            </w:r>
            <w:r>
              <w:rPr>
                <w:rFonts w:ascii="Cambria" w:cs="Cambria" w:eastAsia="Cambria" w:hAnsi="Cambria"/>
                <w:b/>
                <w:bCs/>
                <w:color w:val="2D2D2D"/>
                <w:sz w:val="19"/>
                <w:szCs w:val="19"/>
              </w:rPr>
              <w:t xml:space="preserve">no</w:t>
            </w:r>
            <w:r>
              <w:rPr>
                <w:rFonts w:ascii="Cambria" w:cs="Cambria" w:eastAsia="Cambria" w:hAnsi="Cambria"/>
                <w:color w:val="2D2D2D"/>
                <w:sz w:val="19"/>
                <w:szCs w:val="19"/>
              </w:rPr>
              <w:t xml:space="preserve"> los intervalos de predicción por vivienda.</w:t>
            </w:r>
          </w:p>
        </w:tc>
      </w:tr>
      <w:tr>
        <w:trPr>
          <w:cantSplit/>
        </w:trPr>
        <w:tc>
          <w:tcPr>
            <w:tcW w:type="dxa" w:w="5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9</w:t>
            </w:r>
          </w:p>
        </w:tc>
        <w:tc>
          <w:tcPr>
            <w:tcW w:type="dxa" w:w="8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spacing w:line="260"/>
            </w:pPr>
            <w:r>
              <w:rPr>
                <w:rFonts w:ascii="Cambria" w:cs="Cambria" w:eastAsia="Cambria" w:hAnsi="Cambria"/>
                <w:b/>
                <w:bCs/>
                <w:color w:val="2D2D2D"/>
                <w:sz w:val="19"/>
                <w:szCs w:val="19"/>
              </w:rPr>
              <w:t xml:space="preserve">No</w:t>
            </w:r>
            <w:r>
              <w:rPr>
                <w:rFonts w:ascii="Cambria" w:cs="Cambria" w:eastAsia="Cambria" w:hAnsi="Cambria"/>
                <w:color w:val="2D2D2D"/>
                <w:sz w:val="19"/>
                <w:szCs w:val="19"/>
              </w:rPr>
              <w:t xml:space="preserve"> se compararon R² de escalas distintas (0.518/0.820 en nivel vs. 0.847 en log): la comparación entre modelos se hizo con una métrica en la </w:t>
            </w:r>
            <w:r>
              <w:rPr>
                <w:rFonts w:ascii="Cambria" w:cs="Cambria" w:eastAsia="Cambria" w:hAnsi="Cambria"/>
                <w:b/>
                <w:bCs/>
                <w:color w:val="2D2D2D"/>
                <w:sz w:val="19"/>
                <w:szCs w:val="19"/>
              </w:rPr>
              <w:t xml:space="preserve">misma escala</w:t>
            </w:r>
            <w:r>
              <w:rPr>
                <w:rFonts w:ascii="Cambria" w:cs="Cambria" w:eastAsia="Cambria" w:hAnsi="Cambria"/>
                <w:color w:val="2D2D2D"/>
                <w:sz w:val="19"/>
                <w:szCs w:val="19"/>
              </w:rPr>
              <w:t xml:space="preserve"> — el modelo en log se </w:t>
            </w:r>
            <w:r>
              <w:rPr>
                <w:rFonts w:ascii="Cambria" w:cs="Cambria" w:eastAsia="Cambria" w:hAnsi="Cambria"/>
                <w:b/>
                <w:bCs/>
                <w:color w:val="2D2D2D"/>
                <w:sz w:val="19"/>
                <w:szCs w:val="19"/>
              </w:rPr>
              <w:t xml:space="preserve">retransformó a USD</w:t>
            </w:r>
            <w:r>
              <w:rPr>
                <w:rFonts w:ascii="Cambria" w:cs="Cambria" w:eastAsia="Cambria" w:hAnsi="Cambria"/>
                <w:color w:val="2D2D2D"/>
                <w:sz w:val="19"/>
                <w:szCs w:val="19"/>
              </w:rPr>
              <w:t xml:space="preserve"> con el </w:t>
            </w:r>
            <w:r>
              <w:rPr>
                <w:rFonts w:ascii="Cambria" w:cs="Cambria" w:eastAsia="Cambria" w:hAnsi="Cambria"/>
                <w:b/>
                <w:bCs/>
                <w:color w:val="2D2D2D"/>
                <w:sz w:val="19"/>
                <w:szCs w:val="19"/>
              </w:rPr>
              <w:t xml:space="preserve">factor de smearing de Duan (S = 1.0119)</w:t>
            </w:r>
            <w:r>
              <w:rPr>
                <w:rFonts w:ascii="Cambria" w:cs="Cambria" w:eastAsia="Cambria" w:hAnsi="Cambria"/>
                <w:color w:val="2D2D2D"/>
                <w:sz w:val="19"/>
                <w:szCs w:val="19"/>
              </w:rPr>
              <w:t xml:space="preserve">: el resultado da </w:t>
            </w:r>
            <w:r>
              <w:rPr>
                <w:rFonts w:ascii="Cambria" w:cs="Cambria" w:eastAsia="Cambria" w:hAnsi="Cambria"/>
                <w:b/>
                <w:bCs/>
                <w:color w:val="2D2D2D"/>
                <w:sz w:val="19"/>
                <w:szCs w:val="19"/>
              </w:rPr>
              <w:t xml:space="preserve">RMSE de CV 27 281.55 ± 1 275.74</w:t>
            </w:r>
            <w:r>
              <w:rPr>
                <w:rFonts w:ascii="Cambria" w:cs="Cambria" w:eastAsia="Cambria" w:hAnsi="Cambria"/>
                <w:color w:val="2D2D2D"/>
                <w:sz w:val="19"/>
                <w:szCs w:val="19"/>
              </w:rPr>
              <w:t xml:space="preserve"> frente a </w:t>
            </w:r>
            <w:r>
              <w:rPr>
                <w:rFonts w:ascii="Cambria" w:cs="Cambria" w:eastAsia="Cambria" w:hAnsi="Cambria"/>
                <w:b/>
                <w:bCs/>
                <w:color w:val="2D2D2D"/>
                <w:sz w:val="19"/>
                <w:szCs w:val="19"/>
              </w:rPr>
              <w:t xml:space="preserve">33 308.46</w:t>
            </w:r>
            <w:r>
              <w:rPr>
                <w:rFonts w:ascii="Cambria" w:cs="Cambria" w:eastAsia="Cambria" w:hAnsi="Cambria"/>
                <w:color w:val="2D2D2D"/>
                <w:sz w:val="19"/>
                <w:szCs w:val="19"/>
              </w:rPr>
              <w:t xml:space="preserve"> en nivel (</w:t>
            </w:r>
            <w:r>
              <w:rPr>
                <w:rFonts w:ascii="Cambria" w:cs="Cambria" w:eastAsia="Cambria" w:hAnsi="Cambria"/>
                <w:b/>
                <w:bCs/>
                <w:color w:val="2D2D2D"/>
                <w:sz w:val="19"/>
                <w:szCs w:val="19"/>
              </w:rPr>
              <w:t xml:space="preserve">−6 026.91 USD</w:t>
            </w:r>
            <w:r>
              <w:rPr>
                <w:rFonts w:ascii="Cambria" w:cs="Cambria" w:eastAsia="Cambria" w:hAnsi="Cambria"/>
                <w:color w:val="2D2D2D"/>
                <w:sz w:val="19"/>
                <w:szCs w:val="19"/>
              </w:rPr>
              <w:t xml:space="preserve">, −18.09 % por tasación).</w:t>
            </w:r>
          </w:p>
        </w:tc>
      </w:tr>
      <w:tr>
        <w:trPr>
          <w:cantSplit/>
        </w:trPr>
        <w:tc>
          <w:tcPr>
            <w:tcW w:type="dxa" w:w="5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10</w:t>
            </w:r>
          </w:p>
        </w:tc>
        <w:tc>
          <w:tcPr>
            <w:tcW w:type="dxa" w:w="8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reportaron los </w:t>
            </w:r>
            <w:r>
              <w:rPr>
                <w:rFonts w:ascii="Cambria" w:cs="Cambria" w:eastAsia="Cambria" w:hAnsi="Cambria"/>
                <w:b/>
                <w:bCs/>
                <w:color w:val="2D2D2D"/>
                <w:sz w:val="19"/>
                <w:szCs w:val="19"/>
              </w:rPr>
              <w:t xml:space="preserve">errores estándar robustos</w:t>
            </w:r>
            <w:r>
              <w:rPr>
                <w:rFonts w:ascii="Cambria" w:cs="Cambria" w:eastAsia="Cambria" w:hAnsi="Cambria"/>
                <w:color w:val="2D2D2D"/>
                <w:sz w:val="19"/>
                <w:szCs w:val="19"/>
              </w:rPr>
              <w:t xml:space="preserve"> HC3 (SE de </w:t>
            </w:r>
            <w:r>
              <w:rPr>
                <w:rFonts w:ascii="Consolas" w:cs="Consolas" w:eastAsia="Consolas" w:hAnsi="Consolas"/>
                <w:color w:val="7A1526"/>
                <w:sz w:val="17"/>
                <w:szCs w:val="17"/>
              </w:rPr>
              <w:t xml:space="preserve">Gr Liv Area</w:t>
            </w:r>
            <w:r>
              <w:rPr>
                <w:rFonts w:ascii="Cambria" w:cs="Cambria" w:eastAsia="Cambria" w:hAnsi="Cambria"/>
                <w:color w:val="2D2D2D"/>
                <w:sz w:val="19"/>
                <w:szCs w:val="19"/>
              </w:rPr>
              <w:t xml:space="preserve"> 2.08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3.01) cuando Breusch-Pagan rechazó la homocedasticidad; se entiende que el modelo de decisión en log </w:t>
            </w:r>
            <w:r>
              <w:rPr>
                <w:rFonts w:ascii="Cambria" w:cs="Cambria" w:eastAsia="Cambria" w:hAnsi="Cambria"/>
                <w:b/>
                <w:bCs/>
                <w:color w:val="2D2D2D"/>
                <w:sz w:val="19"/>
                <w:szCs w:val="19"/>
              </w:rPr>
              <w:t xml:space="preserve">también</w:t>
            </w:r>
            <w:r>
              <w:rPr>
                <w:rFonts w:ascii="Cambria" w:cs="Cambria" w:eastAsia="Cambria" w:hAnsi="Cambria"/>
                <w:color w:val="2D2D2D"/>
                <w:sz w:val="19"/>
                <w:szCs w:val="19"/>
              </w:rPr>
              <w:t xml:space="preserve"> la rechaza (LM ≈ 83) y por eso su inferencia usa HC3.</w:t>
            </w:r>
          </w:p>
        </w:tc>
      </w:tr>
      <w:tr>
        <w:trPr>
          <w:cantSplit/>
        </w:trPr>
        <w:tc>
          <w:tcPr>
            <w:tcW w:type="dxa" w:w="5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11</w:t>
            </w:r>
          </w:p>
        </w:tc>
        <w:tc>
          <w:tcPr>
            <w:tcW w:type="dxa" w:w="8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interpretaron los </w:t>
            </w:r>
            <w:r>
              <w:rPr>
                <w:rFonts w:ascii="Cambria" w:cs="Cambria" w:eastAsia="Cambria" w:hAnsi="Cambria"/>
                <w:b/>
                <w:bCs/>
                <w:color w:val="2D2D2D"/>
                <w:sz w:val="19"/>
                <w:szCs w:val="19"/>
              </w:rPr>
              <w:t xml:space="preserve">coeficientes parciales</w:t>
            </w:r>
            <w:r>
              <w:rPr>
                <w:rFonts w:ascii="Cambria" w:cs="Cambria" w:eastAsia="Cambria" w:hAnsi="Cambria"/>
                <w:color w:val="2D2D2D"/>
                <w:sz w:val="19"/>
                <w:szCs w:val="19"/>
              </w:rPr>
              <w:t xml:space="preserve"> en % de precio y </w:t>
            </w:r>
            <w:r>
              <w:rPr>
                <w:rFonts w:ascii="Cambria" w:cs="Cambria" w:eastAsia="Cambria" w:hAnsi="Cambria"/>
                <w:b/>
                <w:bCs/>
                <w:color w:val="2D2D2D"/>
                <w:sz w:val="19"/>
                <w:szCs w:val="19"/>
              </w:rPr>
              <w:t xml:space="preserve">al menos uno se cerró en dinero absoluto</w:t>
            </w:r>
            <w:r>
              <w:rPr>
                <w:rFonts w:ascii="Cambria" w:cs="Cambria" w:eastAsia="Cambria" w:hAnsi="Cambria"/>
                <w:color w:val="2D2D2D"/>
                <w:sz w:val="19"/>
                <w:szCs w:val="19"/>
              </w:rPr>
              <w:t xml:space="preserve"> (+10.9 % por punto de calidad ≈ +17 400 USD sobre la vivienda al precio mediano, ~160 000 USD), y se construyó la </w:t>
            </w:r>
            <w:r>
              <w:rPr>
                <w:rFonts w:ascii="Cambria" w:cs="Cambria" w:eastAsia="Cambria" w:hAnsi="Cambria"/>
                <w:b/>
                <w:bCs/>
                <w:color w:val="2D2D2D"/>
                <w:sz w:val="19"/>
                <w:szCs w:val="19"/>
              </w:rPr>
              <w:t xml:space="preserve">interacción zona × tamaño</w:t>
            </w:r>
            <w:r>
              <w:rPr>
                <w:rFonts w:ascii="Cambria" w:cs="Cambria" w:eastAsia="Cambria" w:hAnsi="Cambria"/>
                <w:color w:val="2D2D2D"/>
                <w:sz w:val="19"/>
                <w:szCs w:val="19"/>
              </w:rPr>
              <w:t xml:space="preserve"> (base ≈ 88 vs. </w:t>
            </w:r>
            <w:r>
              <w:rPr>
                <w:rFonts w:ascii="Consolas" w:cs="Consolas" w:eastAsia="Consolas" w:hAnsi="Consolas"/>
                <w:color w:val="7A1526"/>
                <w:sz w:val="17"/>
                <w:szCs w:val="17"/>
              </w:rPr>
              <w:t xml:space="preserve">premium</w:t>
            </w:r>
            <w:r>
              <w:rPr>
                <w:rFonts w:ascii="Cambria" w:cs="Cambria" w:eastAsia="Cambria" w:hAnsi="Cambria"/>
                <w:color w:val="2D2D2D"/>
                <w:sz w:val="19"/>
                <w:szCs w:val="19"/>
              </w:rPr>
              <w:t xml:space="preserve"> ≈ 131 USD/pie², p &lt; 0.001), que evita la dummy redundante con </w:t>
            </w:r>
            <w:r>
              <w:rPr>
                <w:rFonts w:ascii="Consolas" w:cs="Consolas" w:eastAsia="Consolas" w:hAnsi="Consolas"/>
                <w:color w:val="7A1526"/>
                <w:sz w:val="17"/>
                <w:szCs w:val="17"/>
              </w:rPr>
              <w:t xml:space="preserve">drop_first</w:t>
            </w:r>
            <w:r>
              <w:rPr>
                <w:rFonts w:ascii="Cambria" w:cs="Cambria" w:eastAsia="Cambria" w:hAnsi="Cambria"/>
                <w:color w:val="2D2D2D"/>
                <w:sz w:val="19"/>
                <w:szCs w:val="19"/>
              </w:rPr>
              <w:t xml:space="preserve">.</w:t>
            </w:r>
          </w:p>
        </w:tc>
      </w:tr>
      <w:tr>
        <w:trPr>
          <w:cantSplit/>
        </w:trPr>
        <w:tc>
          <w:tcPr>
            <w:tcW w:type="dxa" w:w="5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12</w:t>
            </w:r>
          </w:p>
        </w:tc>
        <w:tc>
          <w:tcPr>
            <w:tcW w:type="dxa" w:w="8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comparó el modelo simple vs. múltiple por </w:t>
            </w:r>
            <w:r>
              <w:rPr>
                <w:rFonts w:ascii="Cambria" w:cs="Cambria" w:eastAsia="Cambria" w:hAnsi="Cambria"/>
                <w:b/>
                <w:bCs/>
                <w:color w:val="2D2D2D"/>
                <w:sz w:val="19"/>
                <w:szCs w:val="19"/>
              </w:rPr>
              <w:t xml:space="preserve">CV 5-fold</w:t>
            </w:r>
            <w:r>
              <w:rPr>
                <w:rFonts w:ascii="Cambria" w:cs="Cambria" w:eastAsia="Cambria" w:hAnsi="Cambria"/>
                <w:color w:val="2D2D2D"/>
                <w:sz w:val="19"/>
                <w:szCs w:val="19"/>
              </w:rPr>
              <w:t xml:space="preserve"> (RMSE 54 506 vs. 33 308 USD, media ± sd) y se eligió el modelo por RMSE fuera de muestra, no por R² in-sample.</w:t>
            </w:r>
          </w:p>
        </w:tc>
      </w:tr>
      <w:tr>
        <w:trPr>
          <w:cantSplit/>
        </w:trPr>
        <w:tc>
          <w:tcPr>
            <w:tcW w:type="dxa" w:w="56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13</w:t>
            </w:r>
          </w:p>
        </w:tc>
        <w:tc>
          <w:tcPr>
            <w:tcW w:type="dxa" w:w="8880"/>
            <w:tcBorders>
              <w:top w:val="single" w:color="DFE2E6" w:sz="4"/>
              <w:left w:val="none" w:color="FFFFFF" w:sz="0"/>
              <w:bottom w:val="single" w:color="DFE2E6" w:sz="4"/>
              <w:right w:val="none" w:color="FFFFFF" w:sz="0"/>
            </w:tcBorders>
            <w:shd w:fill="FFFFFF"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Los resultados se exportaron a </w:t>
            </w:r>
            <w:r>
              <w:rPr>
                <w:rFonts w:ascii="Consolas" w:cs="Consolas" w:eastAsia="Consolas" w:hAnsi="Consolas"/>
                <w:color w:val="7A1526"/>
                <w:sz w:val="17"/>
                <w:szCs w:val="17"/>
              </w:rPr>
              <w:t xml:space="preserve">resultados/S04_resultados.xlsx</w:t>
            </w:r>
            <w:r>
              <w:rPr>
                <w:rFonts w:ascii="Cambria" w:cs="Cambria" w:eastAsia="Cambria" w:hAnsi="Cambria"/>
                <w:color w:val="2D2D2D"/>
                <w:sz w:val="19"/>
                <w:szCs w:val="19"/>
              </w:rPr>
              <w:t xml:space="preserve"> y cada estudiante redactó su </w:t>
            </w:r>
            <w:r>
              <w:rPr>
                <w:rFonts w:ascii="Cambria" w:cs="Cambria" w:eastAsia="Cambria" w:hAnsi="Cambria"/>
                <w:b/>
                <w:bCs/>
                <w:color w:val="2D2D2D"/>
                <w:sz w:val="19"/>
                <w:szCs w:val="19"/>
              </w:rPr>
              <w:t xml:space="preserve">valoración de precio</w:t>
            </w:r>
            <w:r>
              <w:rPr>
                <w:rFonts w:ascii="Cambria" w:cs="Cambria" w:eastAsia="Cambria" w:hAnsi="Cambria"/>
                <w:color w:val="2D2D2D"/>
                <w:sz w:val="19"/>
                <w:szCs w:val="19"/>
              </w:rPr>
              <w:t xml:space="preserve"> individual con al menos una dummy y una interacción.</w:t>
            </w:r>
          </w:p>
        </w:tc>
      </w:tr>
      <w:tr>
        <w:trPr>
          <w:cantSplit/>
        </w:trPr>
        <w:tc>
          <w:tcPr>
            <w:tcW w:type="dxa" w:w="56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color w:val="7A1526"/>
                <w:sz w:val="24"/>
                <w:szCs w:val="24"/>
              </w:rPr>
              <w:t xml:space="preserve">☐</w:t>
            </w:r>
          </w:p>
        </w:tc>
        <w:tc>
          <w:tcPr>
            <w:tcW w:type="dxa" w:w="64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vAlign w:val="center"/>
          </w:tcPr>
          <w:p>
            <w:pPr>
              <w:jc w:val="center"/>
            </w:pPr>
            <w:r>
              <w:rPr>
                <w:rFonts w:ascii="Calibri" w:cs="Calibri" w:eastAsia="Calibri" w:hAnsi="Calibri"/>
                <w:b/>
                <w:bCs/>
                <w:color w:val="7A1526"/>
                <w:sz w:val="18"/>
                <w:szCs w:val="18"/>
              </w:rPr>
              <w:t xml:space="preserve">14</w:t>
            </w:r>
          </w:p>
        </w:tc>
        <w:tc>
          <w:tcPr>
            <w:tcW w:type="dxa" w:w="8880"/>
            <w:tcBorders>
              <w:top w:val="single" w:color="DFE2E6" w:sz="4"/>
              <w:left w:val="none" w:color="FFFFFF" w:sz="0"/>
              <w:bottom w:val="single" w:color="DFE2E6" w:sz="4"/>
              <w:right w:val="none" w:color="FFFFFF" w:sz="0"/>
            </w:tcBorders>
            <w:shd w:fill="FBEFF1" w:color="auto" w:val="clear"/>
            <w:tcMar>
              <w:top w:type="dxa" w:w="90"/>
              <w:left w:type="dxa" w:w="150"/>
              <w:bottom w:type="dxa" w:w="90"/>
              <w:right w:type="dxa" w:w="150"/>
            </w:tcMar>
          </w:tcPr>
          <w:p>
            <w:pPr>
              <w:spacing w:line="260"/>
            </w:pPr>
            <w:r>
              <w:rPr>
                <w:rFonts w:ascii="Cambria" w:cs="Cambria" w:eastAsia="Cambria" w:hAnsi="Cambria"/>
                <w:color w:val="2D2D2D"/>
                <w:sz w:val="19"/>
                <w:szCs w:val="19"/>
              </w:rPr>
              <w:t xml:space="preserve">Se llevó el modelo a una </w:t>
            </w:r>
            <w:r>
              <w:rPr>
                <w:rFonts w:ascii="Cambria" w:cs="Cambria" w:eastAsia="Cambria" w:hAnsi="Cambria"/>
                <w:b/>
                <w:bCs/>
                <w:color w:val="2D2D2D"/>
                <w:sz w:val="19"/>
                <w:szCs w:val="19"/>
              </w:rPr>
              <w:t xml:space="preserve">decisión</w:t>
            </w:r>
            <w:r>
              <w:rPr>
                <w:rFonts w:ascii="Cambria" w:cs="Cambria" w:eastAsia="Cambria" w:hAnsi="Cambria"/>
                <w:color w:val="2D2D2D"/>
                <w:sz w:val="19"/>
                <w:szCs w:val="19"/>
              </w:rPr>
              <w:t xml:space="preserve">: una regla que prioriza viviendas subvaloradas contra la </w:t>
            </w:r>
            <w:r>
              <w:rPr>
                <w:rFonts w:ascii="Cambria" w:cs="Cambria" w:eastAsia="Cambria" w:hAnsi="Cambria"/>
                <w:b/>
                <w:bCs/>
                <w:color w:val="2D2D2D"/>
                <w:sz w:val="19"/>
                <w:szCs w:val="19"/>
              </w:rPr>
              <w:t xml:space="preserve">banda de error</w:t>
            </w:r>
            <w:r>
              <w:rPr>
                <w:rFonts w:ascii="Cambria" w:cs="Cambria" w:eastAsia="Cambria" w:hAnsi="Cambria"/>
                <w:color w:val="2D2D2D"/>
                <w:sz w:val="19"/>
                <w:szCs w:val="19"/>
              </w:rPr>
              <w:t xml:space="preserve"> (RMSE ≈ 33 300 USD —σ = 33 308, modelo en nivel; con el log desplegado ≈ −18 %, nota de la guía sección 3.9), con una nota de </w:t>
            </w:r>
            <w:r>
              <w:rPr>
                <w:rFonts w:ascii="Cambria" w:cs="Cambria" w:eastAsia="Cambria" w:hAnsi="Cambria"/>
                <w:b/>
                <w:bCs/>
                <w:color w:val="2D2D2D"/>
                <w:sz w:val="19"/>
                <w:szCs w:val="19"/>
              </w:rPr>
              <w:t xml:space="preserve">sensibilidad</w:t>
            </w:r>
            <w:r>
              <w:rPr>
                <w:rFonts w:ascii="Cambria" w:cs="Cambria" w:eastAsia="Cambria" w:hAnsi="Cambria"/>
                <w:color w:val="2D2D2D"/>
                <w:sz w:val="19"/>
                <w:szCs w:val="19"/>
              </w:rPr>
              <w:t xml:space="preserve"> al umbral y los </w:t>
            </w:r>
            <w:r>
              <w:rPr>
                <w:rFonts w:ascii="Cambria" w:cs="Cambria" w:eastAsia="Cambria" w:hAnsi="Cambria"/>
                <w:b/>
                <w:bCs/>
                <w:color w:val="2D2D2D"/>
                <w:sz w:val="19"/>
                <w:szCs w:val="19"/>
              </w:rPr>
              <w:t xml:space="preserve">límites</w:t>
            </w:r>
            <w:r>
              <w:rPr>
                <w:rFonts w:ascii="Cambria" w:cs="Cambria" w:eastAsia="Cambria" w:hAnsi="Cambria"/>
                <w:color w:val="2D2D2D"/>
                <w:sz w:val="19"/>
                <w:szCs w:val="19"/>
              </w:rPr>
              <w:t xml:space="preserve"> nombrados (efecto por-casa &lt; error ⇒ el valor está en el agregado; parcial </w:t>
            </w:r>
            <w:r>
              <w:rPr>
                <w:rFonts w:ascii="Calibri" w:cs="Calibri" w:eastAsia="Calibri" w:hAnsi="Calibri"/>
                <w:color w:val="2D2D2D"/>
                <w:sz w:val="19"/>
                <w:szCs w:val="19"/>
              </w:rPr>
              <w:t xml:space="preserve">≠</w:t>
            </w:r>
            <w:r>
              <w:rPr>
                <w:rFonts w:ascii="Cambria" w:cs="Cambria" w:eastAsia="Cambria" w:hAnsi="Cambria"/>
                <w:color w:val="2D2D2D"/>
                <w:sz w:val="19"/>
                <w:szCs w:val="19"/>
              </w:rPr>
              <w:t xml:space="preserve"> causal; regla AVM).</w:t>
            </w:r>
          </w:p>
        </w:tc>
      </w:tr>
    </w:tbl>
    <w:sectPr>
      <w:headerReference w:type="default" r:id="rId7"/>
      <w:footerReference w:type="default" r:id="rId8"/>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E6E"/>
        <w:sz w:val="14"/>
        <w:szCs w:val="14"/>
      </w:rPr>
      <w:t xml:space="preserve">Herramientas para la Ciencia de Datos, UPC, Facultad de Negocios     |     </w:t>
    </w:r>
    <w:r>
      <w:rPr>
        <w:rFonts w:ascii="Calibri" w:cs="Calibri" w:eastAsia="Calibri" w:hAnsi="Calibri"/>
        <w:b/>
        <w:bCs/>
        <w:color w:val="7A152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FE2E6" w:sz="4" w:space="4"/>
      </w:pBdr>
      <w:spacing w:after="120"/>
    </w:pPr>
    <w:r>
      <w:rPr>
        <w:rFonts w:ascii="Calibri" w:cs="Calibri" w:eastAsia="Calibri" w:hAnsi="Calibri"/>
        <w:color w:val="6E6E6E"/>
        <w:sz w:val="15"/>
        <w:szCs w:val="15"/>
      </w:rPr>
      <w:t xml:space="preserve">Guía de laboratorio — Sesión S04: Regresión lineal múltiple: diagnóstico, dummies, interacciones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D2D2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laboratorio — Sesión S04</dc:title>
  <dc:creator>UPC</dc:creator>
  <dc:description>Regresión lineal múltiple: diagnóstico, dummies, interacciones</dc:description>
  <cp:lastModifiedBy>Un-named</cp:lastModifiedBy>
  <cp:revision>1</cp:revision>
  <dcterms:created xsi:type="dcterms:W3CDTF">2026-09-14T18:47:18.103Z</dcterms:created>
  <dcterms:modified xsi:type="dcterms:W3CDTF">2026-09-14T18:47:18.103Z</dcterms:modified>
</cp:coreProperties>
</file>

<file path=docProps/custom.xml><?xml version="1.0" encoding="utf-8"?>
<Properties xmlns="http://schemas.openxmlformats.org/officeDocument/2006/custom-properties" xmlns:vt="http://schemas.openxmlformats.org/officeDocument/2006/docPropsVTypes"/>
</file>