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Diccionario de variables — Ames Housing (resumen docente)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S04 — Herramientas para la Ciencia de Datos (UPC). Resumen de las variables clave del dataset </w:t>
      </w:r>
      <w:r>
        <w:rPr>
          <w:i/>
          <w:color w:val="2D2D2D"/>
        </w:rPr>
        <w:t>Ames Housing</w:t>
      </w:r>
      <w:r>
        <w:rPr>
          <w:color w:val="2D2D2D"/>
        </w:rPr>
        <w:t xml:space="preserve"> con su significado de negocio, tipo y rango, para consulta rápida durante el laboratorio. Se usa junto al cuaderno </w:t>
      </w:r>
      <w:r>
        <w:rPr>
          <w:rFonts w:ascii="Consolas" w:hAnsi="Consolas"/>
          <w:color w:val="2D2D2D"/>
          <w:sz w:val="19"/>
        </w:rPr>
        <w:t>notebook/S04_regresion_multiple.ipynb</w:t>
      </w:r>
      <w:r>
        <w:rPr>
          <w:color w:val="2D2D2D"/>
        </w:rPr>
        <w:t xml:space="preserve"> y 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. Es un subconjunto de </w:t>
      </w:r>
      <w:r>
        <w:rPr>
          <w:rFonts w:ascii="Consolas" w:hAnsi="Consolas"/>
          <w:color w:val="2D2D2D"/>
          <w:sz w:val="19"/>
        </w:rPr>
        <w:t>data/diccionario_datos.md</w:t>
      </w:r>
      <w:r>
        <w:rPr>
          <w:color w:val="2D2D2D"/>
        </w:rPr>
        <w:t xml:space="preserve"> (referencia completa).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Qué es Ames Housing</w:t>
      </w:r>
    </w:p>
    <w:p>
      <w:pPr>
        <w:jc w:val="both"/>
      </w:pPr>
      <w:r>
        <w:t xml:space="preserve">Registro de </w:t>
      </w:r>
      <w:r>
        <w:rPr>
          <w:b/>
        </w:rPr>
        <w:t>ventas residenciales en Ames, Iowa (EE. UU.), entre 2006 y 2010</w:t>
      </w:r>
      <w:r>
        <w:t xml:space="preserve">, con el precio de venta y unas 80 características físicas y de calidad de cada vivienda. Dean De Cock lo publicó en 2011 como </w:t>
      </w:r>
      <w:r>
        <w:rPr>
          <w:b/>
        </w:rPr>
        <w:t>alternativa docente al Boston Housing</w:t>
      </w:r>
      <w:r>
        <w:t xml:space="preserve"> (retirado por una variable con sesgo racial). Es el conjunto canónico para enseñar regresión múltiple porque mezcla variables numéricas, ordinales y categóricas, y contiene multicolinealidad real, heterocedasticidad y unos pocos atípicos bien documentados. La variable objetivo es </w:t>
      </w:r>
      <w:r>
        <w:rPr>
          <w:b/>
        </w:rPr>
        <w:t>`SalePrice`</w:t>
      </w:r>
      <w: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Nota sobre nombres de columna (importante)</w:t>
      </w:r>
    </w:p>
    <w:p>
      <w:pPr>
        <w:jc w:val="both"/>
      </w:pPr>
      <w:r>
        <w:t xml:space="preserve">Existen </w:t>
      </w:r>
      <w:r>
        <w:rPr>
          <w:b/>
        </w:rPr>
        <w:t>dos versiones</w:t>
      </w:r>
      <w:r>
        <w:t xml:space="preserve"> del mismo dataset con nombres distintos. La réplica del paper usa el conjunto completo de De Cock (nombres </w:t>
      </w:r>
      <w:r>
        <w:rPr>
          <w:b/>
        </w:rPr>
        <w:t>con espacios</w:t>
      </w:r>
      <w:r>
        <w:t xml:space="preserve">); el caso de negocio puede usar el subconjunto Kaggle (nombres </w:t>
      </w:r>
      <w:r>
        <w:rPr>
          <w:b/>
        </w:rPr>
        <w:t>sin espacios</w:t>
      </w:r>
      <w:r>
        <w:t>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`AmesHousing.csv` (De Cock, canónico)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`AmesHousing_kaggle.csv` (Kaggle)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Filas × columnas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2930 × 82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1460 × 81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Estilo de nombres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con espacios (</w:t>
            </w:r>
            <w:r>
              <w:rPr>
                <w:rFonts w:ascii="Consolas" w:hAnsi="Consolas"/>
                <w:color w:val="9B1B30"/>
                <w:sz w:val="19"/>
              </w:rPr>
              <w:t>Gr Liv Area</w:t>
            </w:r>
            <w:r>
              <w:rPr>
                <w:sz w:val="19"/>
              </w:rPr>
              <w:t>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sin espacios (</w:t>
            </w:r>
            <w:r>
              <w:rPr>
                <w:rFonts w:ascii="Consolas" w:hAnsi="Consolas"/>
                <w:color w:val="9B1B30"/>
                <w:sz w:val="19"/>
              </w:rPr>
              <w:t>GrLivArea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Rol en la sesión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replicación del paper (targets oficiales)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laboratorio / caso de negocio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Ventas atípicas mayores a 4000 pie²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 (las que fija De Cock)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 (subconjunto incompleto)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El notebook normaliza o ramifica los nombres según la fuente cargada. Para replicar a De Cock se usa </w:t>
      </w:r>
      <w:r>
        <w:rPr>
          <w:b/>
        </w:rPr>
        <w:t>siempre</w:t>
      </w:r>
      <w:r>
        <w:t xml:space="preserve"> </w:t>
      </w:r>
      <w:r>
        <w:rPr>
          <w:rFonts w:ascii="Consolas" w:hAnsi="Consolas"/>
          <w:color w:val="9B1B30"/>
          <w:sz w:val="19"/>
        </w:rPr>
        <w:t>AmesHousing.csv</w:t>
      </w:r>
      <w:r>
        <w:t xml:space="preserve"> (2930 filas).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Variables clave (significado de negocio)</w:t>
      </w:r>
    </w:p>
    <w:p>
      <w:pPr>
        <w:jc w:val="both"/>
      </w:pPr>
      <w:r>
        <w:t>Nombre canónico de De Cock a la izquierda; entre columnas, el nombre Kaggle equivalente. Los rangos marcados como "observado" se leyeron al cargar el archivo completo (2930 filas).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Variable (De Cock)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Nombre Kaggle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Significado de negocio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Rango / valores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SalePrice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SalePrice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Precio de venta de la vivienda en USD. Es lo que el modelo predice; distribución sesgada a la derecha (candidata a log/Box-Cox).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Cuantitativa continua (objetivo)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aprox. 12 789 a 755 000 USD (observado)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Gr Liv Area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GrLivArea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Área habitable sobre el nivel del suelo en pie². El predictor individual más importante del precio; ejemplo canónico de De Cock.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Cuantitativa continua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pie²; se remueven las 5 casas con más de 4000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Total Bsmt SF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TotalBsmtSF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Superficie total del sótano en pie². Aporta valor, aunque no siempre es "habitable".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Cuantitativa continua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pie² (0 si no hay sótano)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Lot Area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LotArea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Superficie del lote o terreno en pie².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Cuantitativa continua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pie²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1st Flr SF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1stFlrSF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Superficie del primer piso en pie².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Cuantitativa continua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pie²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2nd Flr SF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2ndFlrSF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Superficie del segundo piso en pie² (0 si la vivienda es de un solo piso).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Cuantitativa continua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pie²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Garage Area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GarageArea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Superficie del garaje en pie². Muy correlacionada con </w:t>
            </w:r>
            <w:r>
              <w:rPr>
                <w:rFonts w:ascii="Consolas" w:hAnsi="Consolas"/>
                <w:color w:val="9B1B30"/>
                <w:sz w:val="19"/>
              </w:rPr>
              <w:t>Garage Cars</w:t>
            </w:r>
            <w:r>
              <w:rPr>
                <w:sz w:val="19"/>
              </w:rPr>
              <w:t>: ejemplo de multicolinealidad (VIF cercano a 5).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Cuantitativa continua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pie²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Overall Qual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OverallQual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Calidad general de materiales y acabados. Segundo predictor más fuerte; se trata como numérica ordinal.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Ordinal (discreta)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escala 1 (muy pobre) a 10 (excelente)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Overall Cond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OverallCond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Estado general de conservación de la vivienda.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Ordinal (discreta)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escala 1 a 10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Garage Cars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GarageCars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Capacidad del garaje en número de autos. Colineal con </w:t>
            </w:r>
            <w:r>
              <w:rPr>
                <w:rFonts w:ascii="Consolas" w:hAnsi="Consolas"/>
                <w:color w:val="9B1B30"/>
                <w:sz w:val="19"/>
              </w:rPr>
              <w:t>Garage Area</w:t>
            </w:r>
            <w:r>
              <w:rPr>
                <w:sz w:val="19"/>
              </w:rPr>
              <w:t>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Discreta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 a 5 (observado en la base completa; el subconjunto Kaggle llega a 4)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Full Bath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FullBath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Baños completos sobre el nivel del suelo.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Discreta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número entero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Bedroom AbvGr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BedroomAbvGr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Dormitorios sobre el nivel del suelo.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Discreta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número entero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TotRms AbvGrd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TotRmsAbvGrd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Total de habitaciones sobre el nivel del suelo (sin contar baños).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Discreta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número entero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Year Built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YearBuilt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Año de construcción original. Proxy de antigüedad; a más reciente, mayor precio en promedio.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Discreta (año)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año de construcción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Year Remod/Add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YearRemodAdd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Año de la última remodelación o ampliación (igual al de construcción si no hubo).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Discreta (año)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año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Yr Sold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YrSold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Año de la venta; útil para efectos de mercado.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Discreta (año)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2006 a 2010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Mo Sold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MoSold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Mes de la venta; útil para estacionalidad.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Discreta (mes)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 a 12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Neighborhood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Neighborhood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Barrio dentro de Ames. Eje de la interacción "zona × tamaño" del laboratorio: el valor del pie² depende del barrio.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Categórica nominal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28 categorías (NridgHt, StoneBr, OldTown, etc.)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MS Zoning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MSZoning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Clasificación de zonificación (residencial de baja/alta densidad, comercial, etc.).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Categórica nominal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varias categorías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Bldg Type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BldgType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Tipo de edificación (unifamiliar, dúplex, adosada, etc.).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Categórica nominal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varias categorías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House Style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HouseStyle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Estilo o número de pisos (1Story, 2Story, etc.).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Categórica nominal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varias categorías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Central Air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CentralAir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Aire acondicionado central. Dummy binaria directa.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Categórica binaria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Y / N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Sale Condition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SaleCondition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Condición de la venta. Clave para limpiar atípicos: las ventas </w:t>
            </w:r>
            <w:r>
              <w:rPr>
                <w:rFonts w:ascii="Consolas" w:hAnsi="Consolas"/>
                <w:color w:val="9B1B30"/>
                <w:sz w:val="19"/>
              </w:rPr>
              <w:t>Partial</w:t>
            </w:r>
            <w:r>
              <w:rPr>
                <w:sz w:val="19"/>
              </w:rPr>
              <w:t xml:space="preserve"> no representan el mercado.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Categórica nominal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Normal, Abnorml, Partial, Family, Alloca, AdjLand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Nota de limpieza: las 5 ventas atípicas de De Cock</w:t>
      </w:r>
    </w:p>
    <w:p>
      <w:pPr>
        <w:jc w:val="both"/>
      </w:pPr>
      <w:r>
        <w:t xml:space="preserve">De Cock recomienda </w:t>
      </w:r>
      <w:r>
        <w:rPr>
          <w:b/>
        </w:rPr>
        <w:t>remover las viviendas con `Gr Liv Area` mayor a 4000 pie²</w:t>
      </w:r>
      <w:r>
        <w:t xml:space="preserve"> antes de modelar. En </w:t>
      </w:r>
      <w:r>
        <w:rPr>
          <w:rFonts w:ascii="Consolas" w:hAnsi="Consolas"/>
          <w:color w:val="9B1B30"/>
          <w:sz w:val="19"/>
        </w:rPr>
        <w:t>AmesHousing.csv</w:t>
      </w:r>
      <w:r>
        <w:t xml:space="preserve"> (2930) son </w:t>
      </w:r>
      <w:r>
        <w:rPr>
          <w:b/>
        </w:rPr>
        <w:t>exactamente 5</w:t>
      </w:r>
      <w:r>
        <w:t xml:space="preserve">: </w:t>
      </w:r>
      <w:r>
        <w:rPr>
          <w:b/>
        </w:rPr>
        <w:t>3 ventas `Partial`</w:t>
      </w:r>
      <w:r>
        <w:t xml:space="preserve"> (obra sin terminar, precio no de mercado = atípicos "malos") y </w:t>
      </w:r>
      <w:r>
        <w:rPr>
          <w:b/>
        </w:rPr>
        <w:t>2 mansiones</w:t>
      </w:r>
      <w:r>
        <w:t xml:space="preserve"> vendidas a precio coherente (</w:t>
      </w:r>
      <w:r>
        <w:rPr>
          <w:rFonts w:ascii="Consolas" w:hAnsi="Consolas"/>
          <w:color w:val="9B1B30"/>
          <w:sz w:val="19"/>
        </w:rPr>
        <w:t>Abnorml</w:t>
      </w:r>
      <w:r>
        <w:t xml:space="preserve"> y </w:t>
      </w:r>
      <w:r>
        <w:rPr>
          <w:rFonts w:ascii="Consolas" w:hAnsi="Consolas"/>
          <w:color w:val="9B1B30"/>
          <w:sz w:val="19"/>
        </w:rPr>
        <w:t>Normal</w:t>
      </w:r>
      <w:r>
        <w:t xml:space="preserve"> = atípicos "buenos"). Al removerlas (criterio </w:t>
      </w:r>
      <w:r>
        <w:rPr>
          <w:rFonts w:ascii="Consolas" w:hAnsi="Consolas"/>
          <w:color w:val="9B1B30"/>
          <w:sz w:val="19"/>
        </w:rPr>
        <w:t>Gr Liv Area &lt;= 4000</w:t>
      </w:r>
      <w:r>
        <w:t xml:space="preserve">), la correlación </w:t>
      </w:r>
      <w:r>
        <w:rPr>
          <w:rFonts w:ascii="Consolas" w:hAnsi="Consolas"/>
          <w:color w:val="9B1B30"/>
          <w:sz w:val="19"/>
        </w:rPr>
        <w:t>SalePrice ~ Gr Liv Area</w:t>
      </w:r>
      <w:r>
        <w:t xml:space="preserve"> sube de 0.7068 a 0.7195. El subconjunto Kaggle (1460) solo contiene 4 de las 5, por lo que la réplica se ancla en el archivo completo.</w:t>
      </w:r>
    </w:p>
    <w:p>
      <w:pPr>
        <w:jc w:val="both"/>
      </w:pPr>
      <w:r>
        <w:t xml:space="preserve">Los identificadores </w:t>
      </w:r>
      <w:r>
        <w:rPr>
          <w:rFonts w:ascii="Consolas" w:hAnsi="Consolas"/>
          <w:color w:val="9B1B30"/>
          <w:sz w:val="19"/>
        </w:rPr>
        <w:t>Order</w:t>
      </w:r>
      <w:r>
        <w:t xml:space="preserve"> y </w:t>
      </w:r>
      <w:r>
        <w:rPr>
          <w:rFonts w:ascii="Consolas" w:hAnsi="Consolas"/>
          <w:color w:val="9B1B30"/>
          <w:sz w:val="19"/>
        </w:rPr>
        <w:t>PID</w:t>
      </w:r>
      <w:r>
        <w:t xml:space="preserve"> (archivo completo) e </w:t>
      </w:r>
      <w:r>
        <w:rPr>
          <w:rFonts w:ascii="Consolas" w:hAnsi="Consolas"/>
          <w:color w:val="9B1B30"/>
          <w:sz w:val="19"/>
        </w:rPr>
        <w:t>Id</w:t>
      </w:r>
      <w:r>
        <w:t xml:space="preserve"> (Kaggle) </w:t>
      </w:r>
      <w:r>
        <w:rPr>
          <w:b/>
        </w:rPr>
        <w:t>no son predictores</w:t>
      </w:r>
      <w: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diagnósticos (dónde entran estas variables)</w:t>
      </w:r>
    </w:p>
    <w:p>
      <w:pPr>
        <w:jc w:val="both"/>
      </w:pPr>
      <w:r>
        <w:t xml:space="preserve">Este diccionario no diagnostica el modelo, pero varias de sus variables son el </w:t>
      </w:r>
      <w:r>
        <w:rPr>
          <w:b/>
        </w:rPr>
        <w:t>ejemplo canónico</w:t>
      </w:r>
      <w:r>
        <w:t xml:space="preserve"> de un supuesto del OLS múltiple; el diagnóstico operativo se hace con </w:t>
      </w:r>
      <w:r>
        <w:rPr>
          <w:rFonts w:ascii="Consolas" w:hAnsi="Consolas"/>
          <w:color w:val="9B1B30"/>
          <w:sz w:val="19"/>
        </w:rPr>
        <w:t>plantillas/checklist_diagnostico_regresion.docx</w:t>
      </w:r>
      <w:r>
        <w:t xml:space="preserve"> y el desarrollo completo (qué es, umbral y corrección de cada supuesto) es la guía de supuestos de la sesión.</w:t>
      </w:r>
    </w:p>
    <w:p>
      <w:pPr>
        <w:pStyle w:val="ListBullet"/>
        <w:spacing w:after="40"/>
      </w:pPr>
      <w:r>
        <w:rPr>
          <w:b/>
        </w:rPr>
        <w:t>Multicolinealidad (VIF).</w:t>
      </w:r>
      <w:r>
        <w:t xml:space="preserve"> </w:t>
      </w:r>
      <w:r>
        <w:rPr>
          <w:rFonts w:ascii="Consolas" w:hAnsi="Consolas"/>
          <w:color w:val="9B1B30"/>
          <w:sz w:val="19"/>
        </w:rPr>
        <w:t>Garage Cars</w:t>
      </w:r>
      <w:r>
        <w:t xml:space="preserve"> y </w:t>
      </w:r>
      <w:r>
        <w:rPr>
          <w:rFonts w:ascii="Consolas" w:hAnsi="Consolas"/>
          <w:color w:val="9B1B30"/>
          <w:sz w:val="19"/>
        </w:rPr>
        <w:t>Garage Area</w:t>
      </w:r>
      <w:r>
        <w:t xml:space="preserve"> miden casi lo mismo (capacidad del garaje): metidas juntas inflan el VIF hacia ≈ 5. El factor de inflación de la varianza, </w:t>
      </w:r>
      <m:oMath>
        <m:sSub>
          <m:e>
            <m:r>
              <m:rPr>
                <m:sty m:val="p"/>
              </m:rPr>
              <m:t>VIF</m:t>
            </m:r>
          </m:e>
          <m:sub>
            <m:r>
              <m:t>j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1−</m:t>
            </m:r>
            <m:sSubSup>
              <m:e>
                <m:r>
                  <m:t>R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, mide esa redundancia; la corrección de S04 es </w:t>
      </w:r>
      <w:r>
        <w:rPr>
          <w:b/>
        </w:rPr>
        <w:t>quitar o combinar</w:t>
      </w:r>
      <w:r>
        <w:t xml:space="preserve"> una de las dos (ver checklist, bloque 2). </w:t>
      </w:r>
      <w:r>
        <w:rPr>
          <w:rFonts w:ascii="Consolas" w:hAnsi="Consolas"/>
          <w:color w:val="9B1B30"/>
          <w:sz w:val="19"/>
        </w:rPr>
        <w:t>Overall Qual</w:t>
      </w:r>
      <w:r>
        <w:t xml:space="preserve"> y </w:t>
      </w:r>
      <w:r>
        <w:rPr>
          <w:rFonts w:ascii="Consolas" w:hAnsi="Consolas"/>
          <w:color w:val="9B1B30"/>
          <w:sz w:val="19"/>
        </w:rPr>
        <w:t>Gr Liv Area</w:t>
      </w:r>
      <w:r>
        <w:t xml:space="preserve"> son los predictores fuertes con VIF bajo (≤ 2,47).</w:t>
      </w:r>
    </w:p>
    <w:p>
      <w:pPr>
        <w:pStyle w:val="ListBullet"/>
        <w:spacing w:after="40"/>
      </w:pPr>
      <w:r>
        <w:rPr>
          <w:b/>
        </w:rPr>
        <w:t>Observaciones influyentes (Cook).</w:t>
      </w:r>
      <w:r>
        <w:t xml:space="preserve"> Las </w:t>
      </w:r>
      <w:r>
        <w:rPr>
          <w:b/>
        </w:rPr>
        <w:t>5 ventas</w:t>
      </w:r>
      <w:r>
        <w:t xml:space="preserve"> con </w:t>
      </w:r>
      <w:r>
        <w:rPr>
          <w:rFonts w:ascii="Consolas" w:hAnsi="Consolas"/>
          <w:color w:val="9B1B30"/>
          <w:sz w:val="19"/>
        </w:rPr>
        <w:t>Gr Liv Area</w:t>
      </w:r>
      <w:r>
        <w:t xml:space="preserve"> mayor a 4000 pie² (columna </w:t>
      </w:r>
      <w:r>
        <w:rPr>
          <w:rFonts w:ascii="Consolas" w:hAnsi="Consolas"/>
          <w:color w:val="9B1B30"/>
          <w:sz w:val="19"/>
        </w:rPr>
        <w:t>Sale Condition</w:t>
      </w:r>
      <w:r>
        <w:t xml:space="preserve">: 3 </w:t>
      </w:r>
      <w:r>
        <w:rPr>
          <w:rFonts w:ascii="Consolas" w:hAnsi="Consolas"/>
          <w:color w:val="9B1B30"/>
          <w:sz w:val="19"/>
        </w:rPr>
        <w:t>Partial</w:t>
      </w:r>
      <w:r>
        <w:t xml:space="preserve"> + 1 </w:t>
      </w:r>
      <w:r>
        <w:rPr>
          <w:rFonts w:ascii="Consolas" w:hAnsi="Consolas"/>
          <w:color w:val="9B1B30"/>
          <w:sz w:val="19"/>
        </w:rPr>
        <w:t>Abnorml</w:t>
      </w:r>
      <w:r>
        <w:t xml:space="preserve"> + 1 </w:t>
      </w:r>
      <w:r>
        <w:rPr>
          <w:rFonts w:ascii="Consolas" w:hAnsi="Consolas"/>
          <w:color w:val="9B1B30"/>
          <w:sz w:val="19"/>
        </w:rPr>
        <w:t>Normal</w:t>
      </w:r>
      <w:r>
        <w:t xml:space="preserve">) son el caso de remoción </w:t>
      </w:r>
      <w:r>
        <w:rPr>
          <w:b/>
        </w:rPr>
        <w:t>justificada</w:t>
      </w:r>
      <w:r>
        <w:t xml:space="preserve"> que recomienda De Cock, no un borrado ciego (ver checklist, bloque 7).</w:t>
      </w:r>
    </w:p>
    <w:p>
      <w:pPr>
        <w:pStyle w:val="ListBullet"/>
        <w:spacing w:after="40"/>
      </w:pPr>
      <w:r>
        <w:rPr>
          <w:b/>
        </w:rPr>
        <w:t>Interacciones y dummies.</w:t>
      </w:r>
      <w:r>
        <w:t xml:space="preserve"> </w:t>
      </w:r>
      <w:r>
        <w:rPr>
          <w:rFonts w:ascii="Consolas" w:hAnsi="Consolas"/>
          <w:color w:val="9B1B30"/>
          <w:sz w:val="19"/>
        </w:rPr>
        <w:t>Neighborhood</w:t>
      </w:r>
      <w:r>
        <w:t xml:space="preserve"> es el eje de la </w:t>
      </w:r>
      <w:r>
        <w:rPr>
          <w:b/>
        </w:rPr>
        <w:t>interacción zona × tamaño</w:t>
      </w:r>
      <w:r>
        <w:t xml:space="preserve"> y la fuente de una </w:t>
      </w:r>
      <w:r>
        <w:rPr>
          <w:b/>
        </w:rPr>
        <w:t>dummy</w:t>
      </w:r>
      <w:r>
        <w:t xml:space="preserve"> de barrio premium (usar </w:t>
      </w:r>
      <w:r>
        <w:rPr>
          <w:rFonts w:ascii="Consolas" w:hAnsi="Consolas"/>
          <w:color w:val="9B1B30"/>
          <w:sz w:val="19"/>
        </w:rPr>
        <w:t>drop_first</w:t>
      </w:r>
      <w:r>
        <w:t xml:space="preserve"> para evitar la dummy redundante); </w:t>
      </w:r>
      <w:r>
        <w:rPr>
          <w:rFonts w:ascii="Consolas" w:hAnsi="Consolas"/>
          <w:color w:val="9B1B30"/>
          <w:sz w:val="19"/>
        </w:rPr>
        <w:t>Central Air</w:t>
      </w:r>
      <w:r>
        <w:t xml:space="preserve"> es una dummy binaria directa (ver </w:t>
      </w:r>
      <w:r>
        <w:rPr>
          <w:rFonts w:ascii="Consolas" w:hAnsi="Consolas"/>
          <w:color w:val="9B1B30"/>
          <w:sz w:val="19"/>
        </w:rPr>
        <w:t>SUPUESTOS_S04.md</w:t>
      </w:r>
      <w:r>
        <w:t>, Parte 3).</w:t>
      </w:r>
    </w:p>
    <w:p>
      <w:pPr>
        <w:pStyle w:val="ListBullet"/>
        <w:spacing w:after="40"/>
      </w:pPr>
      <w:r>
        <w:rPr>
          <w:b/>
        </w:rPr>
        <w:t>Transformación log.</w:t>
      </w:r>
      <w:r>
        <w:t xml:space="preserve"> </w:t>
      </w:r>
      <w:r>
        <w:rPr>
          <w:rFonts w:ascii="Consolas" w:hAnsi="Consolas"/>
          <w:color w:val="9B1B30"/>
          <w:sz w:val="19"/>
        </w:rPr>
        <w:t>SalePrice</w:t>
      </w:r>
      <w:r>
        <w:t xml:space="preserve"> es asimétrica a la derecha ⇒ candidata a </w:t>
      </w:r>
      <w:r>
        <w:rPr>
          <w:rFonts w:ascii="Consolas" w:hAnsi="Consolas"/>
          <w:color w:val="9B1B30"/>
          <w:sz w:val="19"/>
        </w:rPr>
        <w:t>log(SalePrice)</w:t>
      </w:r>
      <w:r>
        <w:t>, que estabiliza la varianza y convierte los coeficientes en cambios porcentuales (ver checklist, bloques 3–4).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Este resumen acompaña la carga y limpieza de datos del cuaderno </w:t>
      </w:r>
      <w:r>
        <w:rPr>
          <w:rFonts w:ascii="Consolas" w:hAnsi="Consolas"/>
          <w:color w:val="2D2D2D"/>
          <w:sz w:val="19"/>
        </w:rPr>
        <w:t>notebook/S04_regresion_multiple.ipynb</w:t>
      </w:r>
      <w:r>
        <w:rPr>
          <w:color w:val="2D2D2D"/>
        </w:rPr>
        <w:t xml:space="preserve"> (paso de descarga y detección de atípicas) y sirve de consulta para interpretar los coeficientes en unidades de negocio en 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. Se usa junto con </w:t>
      </w:r>
      <w:r>
        <w:rPr>
          <w:rFonts w:ascii="Consolas" w:hAnsi="Consolas"/>
          <w:color w:val="2D2D2D"/>
          <w:sz w:val="19"/>
        </w:rPr>
        <w:t>plantillas/checklist_diagnostico_regresion.docx</w:t>
      </w:r>
      <w:r>
        <w:rPr>
          <w:color w:val="2D2D2D"/>
        </w:rPr>
        <w:t xml:space="preserve"> (diagnóstico de supuestos) y </w:t>
      </w:r>
      <w:r>
        <w:rPr>
          <w:rFonts w:ascii="Consolas" w:hAnsi="Consolas"/>
          <w:color w:val="2D2D2D"/>
          <w:sz w:val="19"/>
        </w:rPr>
        <w:t>plantillas/comparacion_modelos_cv.docx</w:t>
      </w:r>
      <w:r>
        <w:rPr>
          <w:color w:val="2D2D2D"/>
        </w:rPr>
        <w:t xml:space="preserve"> (elección del modelo). La referencia completa (procedencia, licencia, SHA256, viabilidad) está en </w:t>
      </w:r>
      <w:r>
        <w:rPr>
          <w:rFonts w:ascii="Consolas" w:hAnsi="Consolas"/>
          <w:color w:val="2D2D2D"/>
          <w:sz w:val="19"/>
        </w:rPr>
        <w:t>data/diccionario_datos.md</w:t>
      </w:r>
      <w:r>
        <w:rPr>
          <w:color w:val="2D2D2D"/>
        </w:rPr>
        <w:t>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</w:t>
      </w:r>
      <w:r>
        <w:rPr>
          <w:rFonts w:ascii="Consolas" w:hAnsi="Consolas"/>
          <w:color w:val="2D2D2D"/>
          <w:sz w:val="19"/>
        </w:rPr>
        <w:t>data/diccionario_datos.md</w:t>
      </w:r>
      <w:r>
        <w:rPr>
          <w:color w:val="2D2D2D"/>
        </w:rPr>
        <w:t xml:space="preserve"> (Sección 3 nombres de columna, Sección 4 variables clave, Sección 5 limpieza de atípicas) e la ficha de la sesión de réplica del paper (Sección 2 las dos versiones, Sección 3 recomendación verbatim de De Cock). Paper original almacenado en </w:t>
      </w:r>
      <w:r>
        <w:rPr>
          <w:rFonts w:ascii="Consolas" w:hAnsi="Consolas"/>
          <w:color w:val="2D2D2D"/>
          <w:sz w:val="19"/>
        </w:rPr>
        <w:t>papers/</w:t>
      </w:r>
      <w:r>
        <w:rPr>
          <w:color w:val="2D2D2D"/>
        </w:rPr>
        <w:t xml:space="preserve"> (con su </w:t>
      </w:r>
      <w:r>
        <w:rPr>
          <w:rFonts w:ascii="Consolas" w:hAnsi="Consolas"/>
          <w:color w:val="2D2D2D"/>
          <w:sz w:val="19"/>
        </w:rPr>
        <w:t>README.md</w:t>
      </w:r>
      <w:r>
        <w:rPr>
          <w:color w:val="2D2D2D"/>
        </w:rPr>
        <w:t xml:space="preserve">). Fuente: De Cock, D. (2011), </w:t>
      </w:r>
      <w:r>
        <w:rPr>
          <w:i/>
          <w:color w:val="2D2D2D"/>
        </w:rPr>
        <w:t>Ames, Iowa: Alternative to the Boston Housing Data as an End of Semester Regression Project</w:t>
      </w:r>
      <w:r>
        <w:rPr>
          <w:color w:val="2D2D2D"/>
        </w:rPr>
        <w:t>, Journal of Statistics Education 19(3), DOI 10.1080/10691898.2011.11889627.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Diccionario de variables — Ames Housing (resumen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