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spacing w:line="360" w:lineRule="auto"/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112D48" w:rsidRDefault="00863FB2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Procedimiento </w:t>
            </w:r>
            <w:r w:rsidR="00CB3A16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de 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C</w:t>
            </w:r>
            <w:r w:rsidR="00112D48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o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ntrol</w:t>
            </w:r>
            <w:r w:rsidR="00112D48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de</w:t>
            </w:r>
          </w:p>
          <w:p w:rsidR="006511AD" w:rsidRPr="00285BDC" w:rsidRDefault="00112D48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Equipos</w:t>
            </w: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de </w:t>
            </w:r>
            <w:r w:rsidR="00463D20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Medición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default" r:id="rId8"/>
          <w:footerReference w:type="even" r:id="rId9"/>
          <w:footerReference w:type="default" r:id="rId10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/>
    <w:p w:rsidR="00F32813" w:rsidRDefault="00F32813"/>
    <w:p w:rsidR="00BF3662" w:rsidRPr="00BF3662" w:rsidRDefault="00BF3662" w:rsidP="00BF3662"/>
    <w:p w:rsidR="009C3097" w:rsidRDefault="00285BDC" w:rsidP="00285BD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Objetivo</w:t>
      </w:r>
    </w:p>
    <w:p w:rsidR="00165A2B" w:rsidRPr="00BF3662" w:rsidRDefault="00165A2B" w:rsidP="00165A2B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165A2B" w:rsidRDefault="00165A2B" w:rsidP="00165A2B">
      <w:pPr>
        <w:pStyle w:val="Prrafodelista"/>
        <w:numPr>
          <w:ilvl w:val="0"/>
          <w:numId w:val="29"/>
        </w:numPr>
        <w:spacing w:line="360" w:lineRule="auto"/>
        <w:ind w:right="335"/>
        <w:jc w:val="both"/>
        <w:rPr>
          <w:rFonts w:cs="Arial"/>
          <w:sz w:val="24"/>
          <w:szCs w:val="24"/>
        </w:rPr>
      </w:pPr>
      <w:r w:rsidRPr="00165A2B">
        <w:rPr>
          <w:rFonts w:cs="Arial"/>
          <w:sz w:val="24"/>
          <w:szCs w:val="24"/>
        </w:rPr>
        <w:t>Garantizar que los equipos de medición utilizados en los servicios de diagnóstico o de capacitación que realiza el CMP+L mantienen sus características metrológicas para brindar servicios de calidad a los clientes</w:t>
      </w:r>
      <w:r>
        <w:rPr>
          <w:rFonts w:cs="Arial"/>
          <w:sz w:val="24"/>
          <w:szCs w:val="24"/>
        </w:rPr>
        <w:t>.</w:t>
      </w:r>
    </w:p>
    <w:p w:rsidR="00BF3662" w:rsidRDefault="00BF3662" w:rsidP="00BF3662">
      <w:pPr>
        <w:rPr>
          <w:color w:val="000000"/>
        </w:rPr>
      </w:pPr>
      <w:bookmarkStart w:id="2" w:name="_Toc331496441"/>
      <w:bookmarkStart w:id="3" w:name="_Toc333823422"/>
      <w:bookmarkEnd w:id="0"/>
      <w:bookmarkEnd w:id="1"/>
    </w:p>
    <w:p w:rsidR="00BF3662" w:rsidRPr="00BF3662" w:rsidRDefault="00BF3662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291D54" w:rsidRPr="00BF3662" w:rsidRDefault="00291D54" w:rsidP="00BF366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A</w:t>
      </w:r>
      <w:r w:rsidR="00285BDC" w:rsidRPr="00BF3662">
        <w:rPr>
          <w:b/>
          <w:smallCaps/>
          <w:color w:val="000000"/>
          <w:sz w:val="24"/>
          <w:u w:val="single"/>
        </w:rPr>
        <w:t>lcance</w:t>
      </w:r>
      <w:bookmarkEnd w:id="2"/>
      <w:bookmarkEnd w:id="3"/>
    </w:p>
    <w:p w:rsidR="002415AF" w:rsidRPr="00463D20" w:rsidRDefault="00285BDC" w:rsidP="00285BDC">
      <w:pPr>
        <w:spacing w:line="360" w:lineRule="auto"/>
        <w:ind w:left="709" w:right="335" w:hanging="425"/>
        <w:jc w:val="both"/>
        <w:rPr>
          <w:rFonts w:cs="Arial"/>
          <w:color w:val="FF0000"/>
          <w:sz w:val="24"/>
          <w:szCs w:val="24"/>
        </w:rPr>
      </w:pPr>
      <w:r>
        <w:rPr>
          <w:sz w:val="24"/>
          <w:szCs w:val="22"/>
        </w:rPr>
        <w:t xml:space="preserve">2.1 </w:t>
      </w:r>
      <w:r w:rsidRPr="00463D20">
        <w:rPr>
          <w:sz w:val="24"/>
          <w:szCs w:val="24"/>
        </w:rPr>
        <w:t>Este procedimiento aplica</w:t>
      </w:r>
      <w:r w:rsidR="00463D20" w:rsidRPr="00463D20">
        <w:rPr>
          <w:sz w:val="24"/>
          <w:szCs w:val="24"/>
        </w:rPr>
        <w:t xml:space="preserve"> a</w:t>
      </w:r>
      <w:r w:rsidRPr="00463D20">
        <w:rPr>
          <w:sz w:val="24"/>
          <w:szCs w:val="24"/>
        </w:rPr>
        <w:t xml:space="preserve"> </w:t>
      </w:r>
      <w:r w:rsidR="00463D20" w:rsidRPr="00463D20">
        <w:rPr>
          <w:sz w:val="24"/>
          <w:szCs w:val="24"/>
        </w:rPr>
        <w:t>todos lo</w:t>
      </w:r>
      <w:r w:rsidR="00057702">
        <w:rPr>
          <w:sz w:val="24"/>
          <w:szCs w:val="24"/>
        </w:rPr>
        <w:t>s</w:t>
      </w:r>
      <w:r w:rsidR="00463D20" w:rsidRPr="00463D20">
        <w:rPr>
          <w:sz w:val="24"/>
          <w:szCs w:val="24"/>
        </w:rPr>
        <w:t xml:space="preserve"> equipos de medición </w:t>
      </w:r>
      <w:r w:rsidR="00057702">
        <w:rPr>
          <w:sz w:val="24"/>
          <w:szCs w:val="24"/>
        </w:rPr>
        <w:t xml:space="preserve">asignados al área técnica </w:t>
      </w:r>
      <w:r w:rsidR="00463D20" w:rsidRPr="00463D20">
        <w:rPr>
          <w:sz w:val="24"/>
          <w:szCs w:val="24"/>
        </w:rPr>
        <w:t xml:space="preserve">del CMP+L usados en los </w:t>
      </w:r>
      <w:r w:rsidR="00057702">
        <w:rPr>
          <w:sz w:val="24"/>
          <w:szCs w:val="24"/>
        </w:rPr>
        <w:t>proyectos del Centro</w:t>
      </w:r>
      <w:r w:rsidRPr="00463D20">
        <w:rPr>
          <w:sz w:val="24"/>
          <w:szCs w:val="24"/>
        </w:rPr>
        <w:t>.</w:t>
      </w:r>
    </w:p>
    <w:p w:rsidR="003C7827" w:rsidRPr="003C7827" w:rsidRDefault="003C7827" w:rsidP="00834465">
      <w:pPr>
        <w:ind w:left="142" w:right="51"/>
        <w:jc w:val="both"/>
        <w:rPr>
          <w:rFonts w:cs="Arial"/>
          <w:sz w:val="24"/>
          <w:szCs w:val="24"/>
        </w:rPr>
      </w:pPr>
    </w:p>
    <w:p w:rsidR="00383D9C" w:rsidRDefault="00383D9C" w:rsidP="00CA39F7">
      <w:pPr>
        <w:ind w:left="142" w:right="335"/>
        <w:rPr>
          <w:rFonts w:cs="Arial"/>
          <w:sz w:val="24"/>
          <w:szCs w:val="24"/>
        </w:rPr>
      </w:pPr>
    </w:p>
    <w:p w:rsidR="00291D54" w:rsidRDefault="00291D54" w:rsidP="00383D9C">
      <w:pPr>
        <w:rPr>
          <w:rFonts w:cs="Arial"/>
          <w:sz w:val="24"/>
        </w:rPr>
      </w:pPr>
      <w:bookmarkStart w:id="4" w:name="_GoBack"/>
      <w:r>
        <w:rPr>
          <w:rFonts w:cs="Arial"/>
          <w:sz w:val="24"/>
        </w:rPr>
        <w:br w:type="page"/>
      </w:r>
    </w:p>
    <w:bookmarkEnd w:id="4"/>
    <w:p w:rsidR="00BF3662" w:rsidRDefault="00BF3662" w:rsidP="00383D9C">
      <w:pPr>
        <w:rPr>
          <w:rFonts w:cs="Arial"/>
          <w:sz w:val="24"/>
        </w:rPr>
      </w:pPr>
    </w:p>
    <w:p w:rsidR="008521FD" w:rsidRDefault="00285BDC" w:rsidP="00285BD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Responsabilidades</w:t>
      </w:r>
      <w:r w:rsidR="00BF3662" w:rsidRPr="00BF3662">
        <w:rPr>
          <w:b/>
          <w:smallCaps/>
          <w:color w:val="000000"/>
          <w:sz w:val="24"/>
          <w:u w:val="single"/>
        </w:rPr>
        <w:t>:</w:t>
      </w:r>
    </w:p>
    <w:p w:rsidR="00731AD0" w:rsidRDefault="00731AD0" w:rsidP="00731AD0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4"/>
        </w:rPr>
      </w:pPr>
    </w:p>
    <w:p w:rsidR="00731AD0" w:rsidRDefault="00731AD0" w:rsidP="00731AD0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63D20" w:rsidRPr="00731AD0">
        <w:rPr>
          <w:sz w:val="24"/>
          <w:szCs w:val="24"/>
        </w:rPr>
        <w:t xml:space="preserve">La Subdirección </w:t>
      </w:r>
      <w:r w:rsidR="00057702" w:rsidRPr="00731AD0">
        <w:rPr>
          <w:sz w:val="24"/>
          <w:szCs w:val="24"/>
        </w:rPr>
        <w:t>Técnica y</w:t>
      </w:r>
      <w:r w:rsidR="00463D20" w:rsidRPr="00731AD0">
        <w:rPr>
          <w:sz w:val="24"/>
          <w:szCs w:val="24"/>
        </w:rPr>
        <w:t xml:space="preserve"> la </w:t>
      </w:r>
      <w:r w:rsidR="00165A2B">
        <w:rPr>
          <w:sz w:val="24"/>
          <w:szCs w:val="24"/>
        </w:rPr>
        <w:t>persona e</w:t>
      </w:r>
      <w:r w:rsidR="00057702" w:rsidRPr="00731AD0">
        <w:rPr>
          <w:sz w:val="24"/>
          <w:szCs w:val="24"/>
        </w:rPr>
        <w:t>ncargada de Laboratorio</w:t>
      </w:r>
      <w:r w:rsidR="00463D20" w:rsidRPr="00731AD0">
        <w:rPr>
          <w:sz w:val="24"/>
          <w:szCs w:val="24"/>
        </w:rPr>
        <w:t xml:space="preserve"> son los responsables de elaborar, actualizar, divulgar y vigilar el cumplimiento del presente procedimiento.</w:t>
      </w:r>
    </w:p>
    <w:p w:rsidR="003650FC" w:rsidRDefault="003650FC" w:rsidP="003650FC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4"/>
        </w:rPr>
      </w:pPr>
    </w:p>
    <w:p w:rsidR="00731AD0" w:rsidRDefault="00731AD0" w:rsidP="00731AD0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63D20" w:rsidRPr="00731AD0">
        <w:rPr>
          <w:sz w:val="24"/>
          <w:szCs w:val="24"/>
        </w:rPr>
        <w:t>Toda persona que requiera utilizar un equipo de medición deberá apegarse a éste procedimiento.</w:t>
      </w:r>
    </w:p>
    <w:p w:rsidR="003650FC" w:rsidRPr="00731AD0" w:rsidRDefault="003650FC" w:rsidP="003650FC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4"/>
        </w:rPr>
      </w:pPr>
    </w:p>
    <w:p w:rsidR="00731AD0" w:rsidRDefault="003650FC" w:rsidP="00165A2B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63D20" w:rsidRPr="003650FC">
        <w:rPr>
          <w:sz w:val="24"/>
          <w:szCs w:val="24"/>
        </w:rPr>
        <w:t>La Jefatura de Servicios Administrativos y Técnicos es la responsable de registrar el equipo nuevo en el programa de cómputo (software), denominado “Sistema Institucional de Control Patrimonial” (SICPAT) en el cual se registran y controlan todos aquellos movimientos del inventario de activos fijos propiedad del CMP+L</w:t>
      </w:r>
      <w:r w:rsidR="00731AD0" w:rsidRPr="003650FC">
        <w:rPr>
          <w:sz w:val="24"/>
          <w:szCs w:val="24"/>
        </w:rPr>
        <w:t>.</w:t>
      </w:r>
    </w:p>
    <w:p w:rsidR="001D49F4" w:rsidRPr="001D49F4" w:rsidRDefault="001D49F4" w:rsidP="001D49F4">
      <w:pPr>
        <w:pStyle w:val="Prrafodelista"/>
        <w:rPr>
          <w:sz w:val="24"/>
          <w:szCs w:val="24"/>
        </w:rPr>
      </w:pPr>
    </w:p>
    <w:p w:rsidR="00604393" w:rsidRPr="00785B9E" w:rsidRDefault="001D49F4" w:rsidP="00660993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sz w:val="24"/>
          <w:szCs w:val="22"/>
        </w:rPr>
      </w:pPr>
      <w:r w:rsidRPr="001D49F4">
        <w:rPr>
          <w:sz w:val="24"/>
          <w:szCs w:val="24"/>
        </w:rPr>
        <w:t xml:space="preserve">   E</w:t>
      </w:r>
      <w:r w:rsidRPr="001D49F4">
        <w:rPr>
          <w:sz w:val="24"/>
          <w:szCs w:val="24"/>
          <w:lang w:eastAsia="es-MX"/>
        </w:rPr>
        <w:t>l Director de Proyecto y la persona encargada de Laboratorio, según corresponda, son los encargados de coordinar el control, buen funcionamiento y cuidado de los equipos de medición durante su uso.</w:t>
      </w:r>
    </w:p>
    <w:p w:rsidR="00785B9E" w:rsidRPr="00785B9E" w:rsidRDefault="00785B9E" w:rsidP="00785B9E">
      <w:pPr>
        <w:pStyle w:val="Prrafodelista"/>
        <w:rPr>
          <w:sz w:val="24"/>
          <w:szCs w:val="22"/>
        </w:rPr>
      </w:pPr>
    </w:p>
    <w:p w:rsidR="00BD405D" w:rsidRPr="00BD405D" w:rsidRDefault="00785B9E" w:rsidP="00785B9E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  E</w:t>
      </w:r>
      <w:r w:rsidRPr="00785B9E">
        <w:rPr>
          <w:sz w:val="24"/>
          <w:szCs w:val="22"/>
        </w:rPr>
        <w:t xml:space="preserve">s responsabilidad de la Subdirección Técnica y de la </w:t>
      </w:r>
      <w:r>
        <w:rPr>
          <w:sz w:val="24"/>
          <w:szCs w:val="22"/>
        </w:rPr>
        <w:t>persona Encargada de Laboratorio</w:t>
      </w:r>
      <w:r w:rsidRPr="00785B9E">
        <w:rPr>
          <w:sz w:val="24"/>
          <w:szCs w:val="22"/>
        </w:rPr>
        <w:t>, según corresponda, llevar un control de la utilización de los equipos de medición en los proyectos, registrar equipo en el programa de calibración o verificación y en el programa de mantenimiento.</w:t>
      </w:r>
      <w:r w:rsidR="00BD405D" w:rsidRPr="00BD405D">
        <w:rPr>
          <w:sz w:val="24"/>
          <w:szCs w:val="24"/>
        </w:rPr>
        <w:t xml:space="preserve"> </w:t>
      </w:r>
    </w:p>
    <w:p w:rsidR="00BD405D" w:rsidRPr="00BD405D" w:rsidRDefault="00BD405D" w:rsidP="00BD405D">
      <w:pPr>
        <w:pStyle w:val="Prrafodelista"/>
        <w:rPr>
          <w:sz w:val="24"/>
          <w:szCs w:val="24"/>
        </w:rPr>
      </w:pPr>
    </w:p>
    <w:p w:rsidR="00BF3662" w:rsidRPr="00BD405D" w:rsidRDefault="00BD405D" w:rsidP="00BD405D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sz w:val="24"/>
          <w:szCs w:val="22"/>
        </w:rPr>
      </w:pPr>
      <w:r>
        <w:rPr>
          <w:sz w:val="24"/>
          <w:szCs w:val="24"/>
        </w:rPr>
        <w:t xml:space="preserve">  Es responsabilidad de la Subdirección Técnica reunirse anualmente con la </w:t>
      </w:r>
      <w:r w:rsidRPr="009607E2">
        <w:rPr>
          <w:sz w:val="24"/>
          <w:szCs w:val="24"/>
        </w:rPr>
        <w:t>Dirección</w:t>
      </w:r>
      <w:r>
        <w:rPr>
          <w:sz w:val="24"/>
          <w:szCs w:val="24"/>
        </w:rPr>
        <w:t xml:space="preserve"> del CMP+L para </w:t>
      </w:r>
      <w:r w:rsidRPr="009607E2">
        <w:rPr>
          <w:sz w:val="24"/>
          <w:szCs w:val="24"/>
        </w:rPr>
        <w:t>prever un presupuesto para los servicios de calibración</w:t>
      </w:r>
      <w:r>
        <w:rPr>
          <w:sz w:val="24"/>
          <w:szCs w:val="24"/>
        </w:rPr>
        <w:t xml:space="preserve"> de los equipos de medición.</w:t>
      </w:r>
    </w:p>
    <w:p w:rsidR="00BD405D" w:rsidRPr="00BD405D" w:rsidRDefault="00BD405D" w:rsidP="00BD405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604393" w:rsidRDefault="00604393" w:rsidP="00604393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Definiciones</w:t>
      </w:r>
    </w:p>
    <w:p w:rsidR="003650FC" w:rsidRPr="00BF3662" w:rsidRDefault="003650FC" w:rsidP="003650FC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604393" w:rsidRPr="00BF3662" w:rsidRDefault="00604393" w:rsidP="00604393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Observaciones Generales</w:t>
      </w:r>
    </w:p>
    <w:p w:rsidR="00774B15" w:rsidRPr="001D49F4" w:rsidRDefault="001D49F4" w:rsidP="001D49F4">
      <w:pPr>
        <w:pStyle w:val="Prrafodelista"/>
        <w:numPr>
          <w:ilvl w:val="1"/>
          <w:numId w:val="17"/>
        </w:numPr>
        <w:spacing w:before="100" w:beforeAutospacing="1" w:after="100" w:afterAutospacing="1"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63D20" w:rsidRPr="00774B15">
        <w:rPr>
          <w:sz w:val="24"/>
          <w:szCs w:val="24"/>
        </w:rPr>
        <w:t>Toda persona que requiera usar el equipo fuera</w:t>
      </w:r>
      <w:r>
        <w:rPr>
          <w:sz w:val="24"/>
          <w:szCs w:val="24"/>
        </w:rPr>
        <w:t xml:space="preserve"> de las instalaciones del CMP+L </w:t>
      </w:r>
      <w:r w:rsidR="00463D20" w:rsidRPr="001D49F4">
        <w:rPr>
          <w:sz w:val="24"/>
          <w:szCs w:val="24"/>
        </w:rPr>
        <w:t xml:space="preserve">deberá llenar un </w:t>
      </w:r>
      <w:r w:rsidR="00463D20" w:rsidRPr="001D49F4">
        <w:rPr>
          <w:sz w:val="24"/>
          <w:szCs w:val="24"/>
          <w:u w:val="single"/>
        </w:rPr>
        <w:t>vale de resguardo,</w:t>
      </w:r>
      <w:r w:rsidR="00463D20" w:rsidRPr="001D49F4">
        <w:rPr>
          <w:sz w:val="24"/>
          <w:szCs w:val="24"/>
        </w:rPr>
        <w:t xml:space="preserve"> solicitar autorización de la Subdirección Técnica </w:t>
      </w:r>
      <w:r w:rsidR="00774B15" w:rsidRPr="001D49F4">
        <w:rPr>
          <w:sz w:val="24"/>
          <w:szCs w:val="24"/>
        </w:rPr>
        <w:t>y notificar</w:t>
      </w:r>
      <w:r w:rsidR="00463D20" w:rsidRPr="001D49F4">
        <w:rPr>
          <w:sz w:val="24"/>
          <w:szCs w:val="24"/>
        </w:rPr>
        <w:t xml:space="preserve"> al </w:t>
      </w:r>
      <w:r w:rsidR="00774B15" w:rsidRPr="001D49F4">
        <w:rPr>
          <w:sz w:val="24"/>
          <w:szCs w:val="24"/>
        </w:rPr>
        <w:t xml:space="preserve">Departamento de Servicios Administrativos y Técnicos </w:t>
      </w:r>
      <w:r w:rsidR="003713EB">
        <w:rPr>
          <w:sz w:val="24"/>
          <w:szCs w:val="24"/>
        </w:rPr>
        <w:t>conforme se indica en el Instructivo de Entradas y salidas de Control de Equipos</w:t>
      </w:r>
      <w:r w:rsidR="00463D20" w:rsidRPr="001D49F4">
        <w:rPr>
          <w:sz w:val="24"/>
          <w:szCs w:val="24"/>
        </w:rPr>
        <w:t>. También deberá verificar la funcionalidad del equipo para su adecuado uso</w:t>
      </w:r>
      <w:r w:rsidR="00CF1816" w:rsidRPr="001D49F4">
        <w:rPr>
          <w:sz w:val="24"/>
          <w:szCs w:val="24"/>
        </w:rPr>
        <w:t>.</w:t>
      </w:r>
    </w:p>
    <w:p w:rsidR="00CF1816" w:rsidRDefault="001D49F4" w:rsidP="001D49F4">
      <w:pPr>
        <w:pStyle w:val="Prrafodelista"/>
        <w:numPr>
          <w:ilvl w:val="1"/>
          <w:numId w:val="17"/>
        </w:numPr>
        <w:spacing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F1816" w:rsidRPr="00774B15">
        <w:rPr>
          <w:sz w:val="24"/>
          <w:szCs w:val="24"/>
        </w:rPr>
        <w:t xml:space="preserve">Cuando se requiera un equipo de medición especial para el desarrollo de un proyecto y que el CMP+L no cuente con </w:t>
      </w:r>
      <w:r w:rsidR="005452D2" w:rsidRPr="00774B15">
        <w:rPr>
          <w:sz w:val="24"/>
          <w:szCs w:val="24"/>
        </w:rPr>
        <w:t>él</w:t>
      </w:r>
      <w:r w:rsidR="00CF1816" w:rsidRPr="00774B15">
        <w:rPr>
          <w:sz w:val="24"/>
          <w:szCs w:val="24"/>
        </w:rPr>
        <w:t>, se pu</w:t>
      </w:r>
      <w:r w:rsidR="00774B15" w:rsidRPr="00774B15">
        <w:rPr>
          <w:sz w:val="24"/>
          <w:szCs w:val="24"/>
        </w:rPr>
        <w:t>e</w:t>
      </w:r>
      <w:r w:rsidR="00CF1816" w:rsidRPr="00774B15">
        <w:rPr>
          <w:sz w:val="24"/>
          <w:szCs w:val="24"/>
        </w:rPr>
        <w:t>de convenir un préstamo o arrendamiento con otras organizaciones, para lo cual debe solicitarse también copia del certificado de calibración del equipo.</w:t>
      </w:r>
      <w:r w:rsidR="00774B15" w:rsidRPr="00774B15">
        <w:rPr>
          <w:sz w:val="24"/>
          <w:szCs w:val="24"/>
        </w:rPr>
        <w:t xml:space="preserve"> Si no se </w:t>
      </w:r>
      <w:r>
        <w:rPr>
          <w:sz w:val="24"/>
          <w:szCs w:val="24"/>
        </w:rPr>
        <w:t xml:space="preserve">tiene </w:t>
      </w:r>
      <w:r w:rsidR="00774B15" w:rsidRPr="00774B15">
        <w:rPr>
          <w:sz w:val="24"/>
          <w:szCs w:val="24"/>
        </w:rPr>
        <w:t>el certificado,</w:t>
      </w:r>
      <w:r w:rsidR="00774B15">
        <w:rPr>
          <w:sz w:val="24"/>
          <w:szCs w:val="24"/>
        </w:rPr>
        <w:t xml:space="preserve"> utilizar un equipo calibrado como patrón y re</w:t>
      </w:r>
      <w:r w:rsidR="00774B15" w:rsidRPr="00774B15">
        <w:rPr>
          <w:sz w:val="24"/>
          <w:szCs w:val="24"/>
        </w:rPr>
        <w:t>alizar una calibración por comparaci</w:t>
      </w:r>
      <w:r>
        <w:rPr>
          <w:sz w:val="24"/>
          <w:szCs w:val="24"/>
        </w:rPr>
        <w:t>ón.</w:t>
      </w:r>
    </w:p>
    <w:p w:rsidR="00BD405D" w:rsidRDefault="00785B9E" w:rsidP="001D49F4">
      <w:pPr>
        <w:pStyle w:val="Prrafodelista"/>
        <w:numPr>
          <w:ilvl w:val="1"/>
          <w:numId w:val="17"/>
        </w:numPr>
        <w:spacing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82034">
        <w:rPr>
          <w:sz w:val="24"/>
          <w:szCs w:val="24"/>
        </w:rPr>
        <w:t xml:space="preserve">En el procedimiento de adquisiciones indica que el área administrativa con el apoyo de la persona solicitante, recibirán el pedido para inspección </w:t>
      </w:r>
      <w:r w:rsidR="005538EE">
        <w:rPr>
          <w:sz w:val="24"/>
          <w:szCs w:val="24"/>
        </w:rPr>
        <w:t xml:space="preserve">del estado físico del material y así dar el </w:t>
      </w:r>
      <w:proofErr w:type="spellStart"/>
      <w:r w:rsidR="005538EE">
        <w:rPr>
          <w:sz w:val="24"/>
          <w:szCs w:val="24"/>
        </w:rPr>
        <w:t>Vo.B</w:t>
      </w:r>
      <w:proofErr w:type="spellEnd"/>
      <w:r w:rsidR="005538EE">
        <w:rPr>
          <w:sz w:val="24"/>
          <w:szCs w:val="24"/>
        </w:rPr>
        <w:t>. de pago.</w:t>
      </w:r>
      <w:r w:rsidR="00582034">
        <w:rPr>
          <w:sz w:val="24"/>
          <w:szCs w:val="24"/>
        </w:rPr>
        <w:t xml:space="preserve"> </w:t>
      </w:r>
    </w:p>
    <w:p w:rsidR="0029002D" w:rsidRDefault="00BD405D" w:rsidP="0029002D">
      <w:pPr>
        <w:pStyle w:val="Prrafodelista"/>
        <w:numPr>
          <w:ilvl w:val="1"/>
          <w:numId w:val="17"/>
        </w:numPr>
        <w:spacing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El responsable del programa de calibración debe verificar la disponibilidad de equipos calibrados y el buen funcionamiento. Para ello, tiene que estar antes</w:t>
      </w:r>
      <w:r w:rsidR="00781C18">
        <w:rPr>
          <w:sz w:val="24"/>
          <w:szCs w:val="24"/>
        </w:rPr>
        <w:t>,</w:t>
      </w:r>
      <w:r>
        <w:rPr>
          <w:sz w:val="24"/>
          <w:szCs w:val="24"/>
        </w:rPr>
        <w:t xml:space="preserve"> en coordinación con el área de Vinculación</w:t>
      </w:r>
      <w:r w:rsidR="0029002D">
        <w:rPr>
          <w:sz w:val="24"/>
          <w:szCs w:val="24"/>
        </w:rPr>
        <w:t>.</w:t>
      </w:r>
      <w:r w:rsidR="00781C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785B9E">
        <w:rPr>
          <w:sz w:val="24"/>
          <w:szCs w:val="24"/>
        </w:rPr>
        <w:t xml:space="preserve"> </w:t>
      </w:r>
    </w:p>
    <w:p w:rsidR="00604393" w:rsidRDefault="0029002D" w:rsidP="0029002D">
      <w:pPr>
        <w:pStyle w:val="Prrafodelista"/>
        <w:numPr>
          <w:ilvl w:val="1"/>
          <w:numId w:val="17"/>
        </w:numPr>
        <w:spacing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81C18" w:rsidRPr="0029002D">
        <w:rPr>
          <w:sz w:val="24"/>
          <w:szCs w:val="24"/>
        </w:rPr>
        <w:t xml:space="preserve">La </w:t>
      </w:r>
      <w:r w:rsidR="00BD405D" w:rsidRPr="0029002D">
        <w:rPr>
          <w:sz w:val="24"/>
          <w:szCs w:val="24"/>
        </w:rPr>
        <w:t>Subdirección Técnica</w:t>
      </w:r>
      <w:r w:rsidR="00781C18" w:rsidRPr="0029002D">
        <w:rPr>
          <w:sz w:val="24"/>
          <w:szCs w:val="24"/>
        </w:rPr>
        <w:t xml:space="preserve"> deberá estar en coordinación con la Subdirección de Vinculación para que en forma anticipada informe</w:t>
      </w:r>
      <w:r w:rsidR="00BD405D" w:rsidRPr="0029002D">
        <w:rPr>
          <w:sz w:val="24"/>
          <w:szCs w:val="24"/>
        </w:rPr>
        <w:t xml:space="preserve">, si se encuentra en proceso de concretar algún </w:t>
      </w:r>
      <w:r w:rsidR="00781C18" w:rsidRPr="0029002D">
        <w:rPr>
          <w:sz w:val="24"/>
          <w:szCs w:val="24"/>
        </w:rPr>
        <w:t xml:space="preserve">diagnóstico </w:t>
      </w:r>
      <w:r w:rsidR="00BD405D" w:rsidRPr="0029002D">
        <w:rPr>
          <w:sz w:val="24"/>
          <w:szCs w:val="24"/>
        </w:rPr>
        <w:t>para que el Responsable del Programa de Calibración verifique la disponibilidad de equipos calibrados, según el tipo de servicio a brindar.</w:t>
      </w:r>
      <w:r w:rsidR="00781C18" w:rsidRPr="0029002D">
        <w:rPr>
          <w:sz w:val="24"/>
          <w:szCs w:val="24"/>
        </w:rPr>
        <w:t xml:space="preserve"> Es</w:t>
      </w:r>
      <w:r w:rsidR="00BD405D" w:rsidRPr="0029002D">
        <w:rPr>
          <w:sz w:val="24"/>
          <w:szCs w:val="24"/>
        </w:rPr>
        <w:t>ta información deberá constar por escrito</w:t>
      </w:r>
      <w:r w:rsidR="00781C18" w:rsidRPr="0029002D">
        <w:rPr>
          <w:sz w:val="24"/>
          <w:szCs w:val="24"/>
        </w:rPr>
        <w:t xml:space="preserve"> en cualquier medio de comunicación.</w:t>
      </w:r>
    </w:p>
    <w:p w:rsidR="0029002D" w:rsidRPr="0029002D" w:rsidRDefault="0029002D" w:rsidP="0029002D">
      <w:pPr>
        <w:pStyle w:val="Prrafodelista"/>
        <w:numPr>
          <w:ilvl w:val="1"/>
          <w:numId w:val="17"/>
        </w:numPr>
        <w:spacing w:line="360" w:lineRule="auto"/>
        <w:ind w:right="2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Para dar de baja un equipo dañado</w:t>
      </w:r>
      <w:r w:rsidR="003713EB">
        <w:rPr>
          <w:sz w:val="24"/>
          <w:szCs w:val="24"/>
        </w:rPr>
        <w:t xml:space="preserve"> es necesario notificar al departamento de Servicios Administrativos y Técnicos por medio de un memorándum interno y entrega física del equipo, con copia a la Dirección, para que posteriormente el Responsable de activo fijo realice la documentación correspondiente en el sistema.  </w:t>
      </w:r>
      <w:r>
        <w:rPr>
          <w:sz w:val="24"/>
          <w:szCs w:val="24"/>
        </w:rPr>
        <w:t xml:space="preserve"> </w:t>
      </w:r>
    </w:p>
    <w:p w:rsidR="00781C18" w:rsidRDefault="00781C18" w:rsidP="00781C18">
      <w:pPr>
        <w:pStyle w:val="Prrafodelista"/>
        <w:spacing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DD60AA" w:rsidRPr="00B66C68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lastRenderedPageBreak/>
        <w:t>Desarrollo</w:t>
      </w:r>
    </w:p>
    <w:p w:rsidR="00B66C68" w:rsidRDefault="00B66C68">
      <w:pPr>
        <w:rPr>
          <w:rFonts w:eastAsia="Arial" w:cs="Arial"/>
          <w:spacing w:val="1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5"/>
        <w:gridCol w:w="2104"/>
        <w:gridCol w:w="1825"/>
      </w:tblGrid>
      <w:tr w:rsidR="006C5379" w:rsidRPr="00814C4C" w:rsidTr="004A5A61">
        <w:trPr>
          <w:cantSplit/>
          <w:trHeight w:val="817"/>
          <w:tblHeader/>
        </w:trPr>
        <w:tc>
          <w:tcPr>
            <w:tcW w:w="3028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105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91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D225E6" w:rsidRPr="00814C4C" w:rsidTr="00B57A1B">
        <w:trPr>
          <w:cantSplit/>
          <w:trHeight w:val="20"/>
        </w:trPr>
        <w:tc>
          <w:tcPr>
            <w:tcW w:w="3028" w:type="pct"/>
          </w:tcPr>
          <w:p w:rsidR="00D225E6" w:rsidRPr="003B3A0F" w:rsidRDefault="00CF1816" w:rsidP="004E294B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>Cuando se determine la necesidad de adquirir equipo</w:t>
            </w:r>
            <w:r w:rsidR="00104E24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nuevo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de medición, la Subdirección</w:t>
            </w:r>
            <w:r w:rsidR="001D49F4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Técnica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</w:t>
            </w:r>
            <w:r w:rsidR="001D49F4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debe 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definir </w:t>
            </w:r>
            <w:r w:rsidR="001D49F4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los requerimientos técnicos del equipo como son la 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>exactitud e intervalos de medición, para ello deberá a</w:t>
            </w:r>
            <w:r w:rsidR="004E294B" w:rsidRPr="003B3A0F">
              <w:rPr>
                <w:rFonts w:cs="Arial"/>
                <w:sz w:val="22"/>
                <w:szCs w:val="22"/>
                <w:lang w:val="es-ES" w:eastAsia="es-MX"/>
              </w:rPr>
              <w:t>nexar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la información necesaria </w:t>
            </w:r>
            <w:r w:rsidR="004E294B" w:rsidRPr="003B3A0F">
              <w:rPr>
                <w:rFonts w:cs="Arial"/>
                <w:sz w:val="22"/>
                <w:szCs w:val="22"/>
                <w:lang w:val="es-ES" w:eastAsia="es-MX"/>
              </w:rPr>
              <w:t>en la cotización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. </w:t>
            </w:r>
          </w:p>
        </w:tc>
        <w:tc>
          <w:tcPr>
            <w:tcW w:w="1056" w:type="pct"/>
          </w:tcPr>
          <w:p w:rsidR="00D225E6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 w:rsidRPr="00942362">
              <w:rPr>
                <w:rFonts w:cs="Arial"/>
                <w:sz w:val="22"/>
                <w:szCs w:val="22"/>
              </w:rPr>
              <w:t xml:space="preserve">Subdirección </w:t>
            </w:r>
            <w:r>
              <w:rPr>
                <w:rFonts w:cs="Arial"/>
                <w:sz w:val="22"/>
                <w:szCs w:val="22"/>
              </w:rPr>
              <w:t>Técnica</w:t>
            </w:r>
          </w:p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D225E6" w:rsidRPr="00942362" w:rsidRDefault="004E294B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Solicitud de cotización</w:t>
            </w:r>
          </w:p>
        </w:tc>
      </w:tr>
      <w:tr w:rsidR="001D49F4" w:rsidRPr="00814C4C" w:rsidTr="00B57A1B">
        <w:trPr>
          <w:cantSplit/>
          <w:trHeight w:val="20"/>
        </w:trPr>
        <w:tc>
          <w:tcPr>
            <w:tcW w:w="3028" w:type="pct"/>
          </w:tcPr>
          <w:p w:rsidR="001D49F4" w:rsidRPr="003B3A0F" w:rsidRDefault="001D49F4" w:rsidP="001D49F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  <w:lang w:val="es-ES" w:eastAsia="es-MX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La adquisición del equipo se realizará con base al </w:t>
            </w:r>
            <w:hyperlink r:id="rId11" w:history="1">
              <w:r w:rsidRPr="003B3A0F">
                <w:rPr>
                  <w:rFonts w:cs="Arial"/>
                  <w:sz w:val="22"/>
                  <w:szCs w:val="22"/>
                  <w:u w:val="single"/>
                  <w:lang w:val="es-ES" w:eastAsia="es-MX"/>
                </w:rPr>
                <w:t>Procedimiento de Adquisiciones</w:t>
              </w:r>
            </w:hyperlink>
            <w:r w:rsidRPr="003B3A0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1D49F4" w:rsidRPr="00942362" w:rsidRDefault="001D49F4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Jefatura de Servicios Administrativos</w:t>
            </w:r>
          </w:p>
        </w:tc>
        <w:tc>
          <w:tcPr>
            <w:tcW w:w="916" w:type="pct"/>
          </w:tcPr>
          <w:p w:rsidR="001D49F4" w:rsidRDefault="001D49F4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IPN compra de equipos</w:t>
            </w:r>
          </w:p>
        </w:tc>
      </w:tr>
      <w:tr w:rsidR="00D225E6" w:rsidRPr="00814C4C" w:rsidTr="00B57A1B">
        <w:trPr>
          <w:cantSplit/>
          <w:trHeight w:val="20"/>
        </w:trPr>
        <w:tc>
          <w:tcPr>
            <w:tcW w:w="3028" w:type="pct"/>
          </w:tcPr>
          <w:p w:rsidR="00D225E6" w:rsidRPr="003B3A0F" w:rsidRDefault="00CF1816" w:rsidP="00991342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Todo equipo que sea adquirido, deberá ser registrado </w:t>
            </w:r>
            <w:r w:rsidR="00991342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por la persona responsable asignada 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 xml:space="preserve">en la </w:t>
            </w:r>
            <w:hyperlink r:id="rId12" w:history="1">
              <w:r w:rsidRPr="003B3A0F">
                <w:rPr>
                  <w:rFonts w:cs="Arial"/>
                  <w:sz w:val="22"/>
                  <w:szCs w:val="22"/>
                  <w:u w:val="single"/>
                  <w:lang w:eastAsia="es-MX"/>
                </w:rPr>
                <w:t>lista de equipos de medición</w:t>
              </w:r>
            </w:hyperlink>
            <w:r w:rsidR="00991342" w:rsidRPr="003B3A0F">
              <w:rPr>
                <w:rFonts w:cs="Arial"/>
                <w:sz w:val="22"/>
                <w:szCs w:val="22"/>
                <w:lang w:eastAsia="es-MX"/>
              </w:rPr>
              <w:t xml:space="preserve">, </w:t>
            </w:r>
            <w:r w:rsidR="00991342" w:rsidRPr="003B3A0F">
              <w:rPr>
                <w:rFonts w:cs="Arial"/>
                <w:sz w:val="22"/>
                <w:szCs w:val="22"/>
                <w:lang w:val="es-ES" w:eastAsia="es-MX"/>
              </w:rPr>
              <w:t>se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le dará un número de control consecutivo y se identificará con una etiqueta </w:t>
            </w:r>
            <w:r w:rsidR="005452D2" w:rsidRPr="003B3A0F">
              <w:rPr>
                <w:rFonts w:cs="Arial"/>
                <w:sz w:val="22"/>
                <w:szCs w:val="22"/>
                <w:lang w:val="es-ES" w:eastAsia="es-MX"/>
              </w:rPr>
              <w:t>de acuerdo a los protocolos de identificación de Activo Fijo del Instituto Politécnico Nacional y/o una etiqueta con identificación interna de la Subdirección Técnica.</w:t>
            </w:r>
          </w:p>
        </w:tc>
        <w:tc>
          <w:tcPr>
            <w:tcW w:w="1056" w:type="pct"/>
          </w:tcPr>
          <w:p w:rsidR="008947A0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104E24" w:rsidRPr="00942362" w:rsidRDefault="00104E24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Jefatura de Servicios Administrativos</w:t>
            </w:r>
          </w:p>
        </w:tc>
        <w:tc>
          <w:tcPr>
            <w:tcW w:w="916" w:type="pct"/>
          </w:tcPr>
          <w:p w:rsidR="00D225E6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Lista de equipos de medición</w:t>
            </w:r>
          </w:p>
        </w:tc>
      </w:tr>
      <w:tr w:rsidR="00942362" w:rsidRPr="00814C4C" w:rsidTr="00B57A1B">
        <w:trPr>
          <w:cantSplit/>
          <w:trHeight w:val="20"/>
        </w:trPr>
        <w:tc>
          <w:tcPr>
            <w:tcW w:w="3028" w:type="pct"/>
          </w:tcPr>
          <w:p w:rsidR="00785B9E" w:rsidRPr="003B3A0F" w:rsidRDefault="005452D2" w:rsidP="00785B9E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eastAsia="es-MX"/>
              </w:rPr>
              <w:t>El equipo nuevo s</w:t>
            </w:r>
            <w:r w:rsidR="00942362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e integrará 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>e</w:t>
            </w:r>
            <w:r w:rsidR="00942362" w:rsidRPr="003B3A0F">
              <w:rPr>
                <w:rFonts w:cs="Arial"/>
                <w:sz w:val="22"/>
                <w:szCs w:val="22"/>
                <w:lang w:val="es-ES" w:eastAsia="es-MX"/>
              </w:rPr>
              <w:t>l programa de calibración y se establecerá un plazo de calibración o verificación considerando las recomendaciones del proveedor y la experiencia en el uso de equipos similares, los intervalos de calibración se ajustarán a la frecuencia de utilización, esto es, cada 10 frecuencias deberá enviarse a calibrar o después de 4 años si no</w:t>
            </w:r>
            <w:r w:rsidR="00785B9E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se han obtenido 10 frecuencias.</w:t>
            </w:r>
          </w:p>
        </w:tc>
        <w:tc>
          <w:tcPr>
            <w:tcW w:w="1056" w:type="pct"/>
          </w:tcPr>
          <w:p w:rsidR="00942362" w:rsidRDefault="00942362" w:rsidP="00C551EF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 de Calibración</w:t>
            </w:r>
          </w:p>
          <w:p w:rsidR="00942362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Certificados de Calibración</w:t>
            </w:r>
          </w:p>
        </w:tc>
      </w:tr>
      <w:tr w:rsidR="00785B9E" w:rsidRPr="00814C4C" w:rsidTr="00B57A1B">
        <w:trPr>
          <w:cantSplit/>
          <w:trHeight w:val="20"/>
        </w:trPr>
        <w:tc>
          <w:tcPr>
            <w:tcW w:w="3028" w:type="pct"/>
          </w:tcPr>
          <w:p w:rsidR="00785B9E" w:rsidRPr="003B3A0F" w:rsidRDefault="00785B9E" w:rsidP="00785B9E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  <w:lang w:eastAsia="es-MX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>En el caso de los equipos de laboratorio, existe programa anual de calibración y verificación la cual deberá realizarse por parte de un laboratorio externo.</w:t>
            </w:r>
          </w:p>
        </w:tc>
        <w:tc>
          <w:tcPr>
            <w:tcW w:w="1056" w:type="pct"/>
          </w:tcPr>
          <w:p w:rsidR="00785B9E" w:rsidRDefault="00785B9E" w:rsidP="00C551EF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Persona encargada del Laboratorio</w:t>
            </w:r>
          </w:p>
        </w:tc>
        <w:tc>
          <w:tcPr>
            <w:tcW w:w="916" w:type="pct"/>
          </w:tcPr>
          <w:p w:rsidR="00785B9E" w:rsidRDefault="00785B9E" w:rsidP="00785B9E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 de Calibración</w:t>
            </w:r>
          </w:p>
          <w:p w:rsidR="00785B9E" w:rsidRDefault="00785B9E" w:rsidP="00785B9E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Certificados de Calibración</w:t>
            </w:r>
          </w:p>
        </w:tc>
      </w:tr>
      <w:tr w:rsidR="00942362" w:rsidRPr="00814C4C" w:rsidTr="00B57A1B">
        <w:trPr>
          <w:cantSplit/>
          <w:trHeight w:val="20"/>
        </w:trPr>
        <w:tc>
          <w:tcPr>
            <w:tcW w:w="3028" w:type="pct"/>
          </w:tcPr>
          <w:p w:rsidR="00942362" w:rsidRPr="003B3A0F" w:rsidRDefault="00942362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>Cuando se requiera, se solicitará al proveedor del equipo la capacitación para su uso y cuidados</w:t>
            </w:r>
            <w:r w:rsidRPr="003B3A0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Subdirector Técnico</w:t>
            </w:r>
          </w:p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Jefe de Departamento</w:t>
            </w:r>
          </w:p>
        </w:tc>
        <w:tc>
          <w:tcPr>
            <w:tcW w:w="916" w:type="pct"/>
          </w:tcPr>
          <w:p w:rsidR="00942362" w:rsidRPr="00942362" w:rsidRDefault="00942362" w:rsidP="00C66D8A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</w:t>
            </w:r>
            <w:r w:rsidR="00C66D8A">
              <w:rPr>
                <w:rFonts w:cs="Arial"/>
                <w:sz w:val="22"/>
                <w:szCs w:val="22"/>
              </w:rPr>
              <w:t>os</w:t>
            </w:r>
            <w:r>
              <w:rPr>
                <w:rFonts w:cs="Arial"/>
                <w:sz w:val="22"/>
                <w:szCs w:val="22"/>
              </w:rPr>
              <w:t xml:space="preserve"> generad</w:t>
            </w:r>
            <w:r w:rsidR="00C66D8A">
              <w:rPr>
                <w:rFonts w:cs="Arial"/>
                <w:sz w:val="22"/>
                <w:szCs w:val="22"/>
              </w:rPr>
              <w:t>os</w:t>
            </w:r>
          </w:p>
        </w:tc>
      </w:tr>
      <w:tr w:rsidR="00942362" w:rsidRPr="00814C4C" w:rsidTr="00B57A1B">
        <w:trPr>
          <w:cantSplit/>
          <w:trHeight w:val="20"/>
        </w:trPr>
        <w:tc>
          <w:tcPr>
            <w:tcW w:w="3028" w:type="pct"/>
          </w:tcPr>
          <w:p w:rsidR="00942362" w:rsidRPr="003B3A0F" w:rsidRDefault="00942362" w:rsidP="005538EE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lastRenderedPageBreak/>
              <w:t>Para identificar el estado de calibración (equipos de medición para diagnósticos) y mantenimiento (equipos de medición del laboratorio) se</w:t>
            </w:r>
            <w:r w:rsidR="005538EE" w:rsidRPr="003B3A0F">
              <w:rPr>
                <w:rFonts w:cs="Arial"/>
                <w:sz w:val="22"/>
                <w:szCs w:val="22"/>
                <w:lang w:val="es-ES" w:eastAsia="es-MX"/>
              </w:rPr>
              <w:t> tendrá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un 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>registro en el SIG (</w:t>
            </w:r>
            <w:hyperlink r:id="rId13" w:history="1">
              <w:r w:rsidRPr="003B3A0F">
                <w:rPr>
                  <w:rFonts w:cs="Arial"/>
                  <w:sz w:val="22"/>
                  <w:szCs w:val="22"/>
                  <w:u w:val="single"/>
                  <w:lang w:eastAsia="es-MX"/>
                </w:rPr>
                <w:t>lista de equipos</w:t>
              </w:r>
            </w:hyperlink>
            <w:r w:rsidRPr="003B3A0F">
              <w:rPr>
                <w:rFonts w:cs="Arial"/>
                <w:sz w:val="22"/>
                <w:szCs w:val="22"/>
                <w:lang w:eastAsia="es-MX"/>
              </w:rPr>
              <w:t xml:space="preserve">) de la </w:t>
            </w:r>
            <w:r w:rsidR="005538EE" w:rsidRPr="003B3A0F">
              <w:rPr>
                <w:rFonts w:cs="Arial"/>
                <w:sz w:val="22"/>
                <w:szCs w:val="22"/>
                <w:lang w:eastAsia="es-MX"/>
              </w:rPr>
              <w:t>red y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 xml:space="preserve"> cuando sea posible, una etiqueta pegada en el equipo</w:t>
            </w:r>
            <w:r w:rsidRPr="003B3A0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942362" w:rsidRPr="00942362" w:rsidRDefault="00942362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Lista de equipos</w:t>
            </w:r>
          </w:p>
          <w:p w:rsidR="00942362" w:rsidRPr="00942362" w:rsidRDefault="00942362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Expedientes de equipo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3B3A0F" w:rsidRDefault="00C66D8A" w:rsidP="00A73CD6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>Si se identifica</w:t>
            </w:r>
            <w:r w:rsidR="005538EE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algún daño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por mal uso o </w:t>
            </w:r>
            <w:r w:rsidR="00244768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mal 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>manejo del equipo</w:t>
            </w:r>
            <w:r w:rsidR="00A73CD6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durante el proyecto en sitio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>, deberá efectuarse</w:t>
            </w:r>
            <w:r w:rsidR="00A73CD6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 una nueva 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>verificación, calibración o mantenimiento para asegurar la calidad de sus mediciones</w:t>
            </w:r>
            <w:r w:rsidRPr="003B3A0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Documentos generados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3B3A0F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eastAsia="es-MX"/>
              </w:rPr>
              <w:t>Si se detecta que durante un servicio se usó un equipo en mal estado o sospechoso, deberán repetirse las mediciones para verificar su exactitud</w:t>
            </w:r>
            <w:r w:rsidRPr="003B3A0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C66D8A" w:rsidRPr="00942362" w:rsidRDefault="00C66D8A" w:rsidP="00C551EF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Documentos generados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3B3A0F" w:rsidRDefault="00C66D8A" w:rsidP="00A73CD6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Se 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>debe</w:t>
            </w:r>
            <w:r w:rsidR="00244768" w:rsidRPr="003B3A0F">
              <w:rPr>
                <w:rFonts w:cs="Arial"/>
                <w:sz w:val="22"/>
                <w:szCs w:val="22"/>
                <w:lang w:eastAsia="es-MX"/>
              </w:rPr>
              <w:t>n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 xml:space="preserve"> solicitar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los servicios de laboratorios acreditados para la calibración de los equipos de medición usados en los diagnósticos, en caso de no haber, se deberá tener la trazabilidad y conocer los procedimientos de calibración</w:t>
            </w:r>
            <w:r w:rsidR="00A73CD6" w:rsidRPr="003B3A0F">
              <w:rPr>
                <w:rFonts w:cs="Arial"/>
                <w:sz w:val="22"/>
                <w:szCs w:val="22"/>
                <w:lang w:val="es-ES" w:eastAsia="es-MX"/>
              </w:rPr>
              <w:t> y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patrones usados. En el caso de los equipos de medición del laboratorio, deberá solicitarse la póliza</w:t>
            </w:r>
            <w:r w:rsidR="00A73CD6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>de mantenimiento directamente con el proveedor del equipo.</w:t>
            </w:r>
          </w:p>
        </w:tc>
        <w:tc>
          <w:tcPr>
            <w:tcW w:w="1056" w:type="pct"/>
          </w:tcPr>
          <w:p w:rsidR="00C66D8A" w:rsidRPr="00942362" w:rsidRDefault="00C66D8A" w:rsidP="00C551EF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Programa de Calibración y Seguimiento</w:t>
            </w: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Documentos generados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3B3A0F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>Deberá usarse y almacenarse el equipo de manera que se proteja de daños y se mantengan sus condiciones metrológicas</w:t>
            </w:r>
            <w:r w:rsidRPr="003B3A0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56" w:type="pct"/>
          </w:tcPr>
          <w:p w:rsidR="00C66D8A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Equipo</w:t>
            </w:r>
          </w:p>
        </w:tc>
        <w:tc>
          <w:tcPr>
            <w:tcW w:w="916" w:type="pct"/>
          </w:tcPr>
          <w:p w:rsidR="00C66D8A" w:rsidRPr="00942362" w:rsidRDefault="00C66D8A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3B3A0F" w:rsidRDefault="00C66D8A" w:rsidP="0029002D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  <w:lang w:val="es-ES" w:eastAsia="es-MX"/>
              </w:rPr>
            </w:pPr>
            <w:r w:rsidRPr="003B3A0F">
              <w:rPr>
                <w:rFonts w:cs="Arial"/>
                <w:sz w:val="22"/>
                <w:szCs w:val="22"/>
                <w:lang w:val="es-ES" w:eastAsia="es-MX"/>
              </w:rPr>
              <w:t>Antes de usar cualquier equipo, el usuario deberá asegurarse de su fecha de calibración o mantenimiento y evitará usarlo si no</w:t>
            </w:r>
            <w:r w:rsidR="0029002D" w:rsidRPr="003B3A0F">
              <w:rPr>
                <w:rFonts w:cs="Arial"/>
                <w:sz w:val="22"/>
                <w:szCs w:val="22"/>
                <w:lang w:val="es-ES" w:eastAsia="es-MX"/>
              </w:rPr>
              <w:t> está</w:t>
            </w:r>
            <w:r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seguro de su estado</w:t>
            </w:r>
            <w:r w:rsidR="0029002D" w:rsidRPr="003B3A0F">
              <w:rPr>
                <w:rFonts w:cs="Arial"/>
                <w:sz w:val="22"/>
                <w:szCs w:val="22"/>
                <w:lang w:val="es-ES" w:eastAsia="es-MX"/>
              </w:rPr>
              <w:t xml:space="preserve"> físico y de funcionalidad.</w:t>
            </w:r>
          </w:p>
        </w:tc>
        <w:tc>
          <w:tcPr>
            <w:tcW w:w="1056" w:type="pct"/>
          </w:tcPr>
          <w:p w:rsidR="00C66D8A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Responsable Técnico de Equipo</w:t>
            </w:r>
          </w:p>
          <w:p w:rsidR="00C66D8A" w:rsidRPr="00942362" w:rsidRDefault="00C66D8A" w:rsidP="00942362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Usuario</w:t>
            </w:r>
          </w:p>
        </w:tc>
        <w:tc>
          <w:tcPr>
            <w:tcW w:w="916" w:type="pct"/>
          </w:tcPr>
          <w:p w:rsidR="00C66D8A" w:rsidRPr="00942362" w:rsidRDefault="00C66D8A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 de equipo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3B3A0F" w:rsidRDefault="00C66D8A" w:rsidP="00104E24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  <w:lang w:val="es-ES" w:eastAsia="es-MX"/>
              </w:rPr>
            </w:pPr>
            <w:r w:rsidRPr="003B3A0F">
              <w:rPr>
                <w:rFonts w:cs="Arial"/>
                <w:sz w:val="22"/>
                <w:szCs w:val="22"/>
                <w:lang w:eastAsia="es-MX"/>
              </w:rPr>
              <w:t>Si se encuentra un equipo fuera de su período de calibración o sospechoso de daño o mal uso, deberá colocársele una etiqueta roja y separarse de los equipos en buen estado para evitar su uso</w:t>
            </w:r>
          </w:p>
        </w:tc>
        <w:tc>
          <w:tcPr>
            <w:tcW w:w="1056" w:type="pct"/>
          </w:tcPr>
          <w:p w:rsidR="00781C18" w:rsidRDefault="00781C18" w:rsidP="00781C18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C66D8A" w:rsidRPr="00942362" w:rsidRDefault="00C66D8A" w:rsidP="00781C18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16" w:type="pct"/>
          </w:tcPr>
          <w:p w:rsidR="00C66D8A" w:rsidRPr="00942362" w:rsidRDefault="00C66D8A" w:rsidP="00C551EF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 de equipo</w:t>
            </w:r>
          </w:p>
        </w:tc>
      </w:tr>
      <w:tr w:rsidR="00C66D8A" w:rsidRPr="00814C4C" w:rsidTr="00B57A1B">
        <w:trPr>
          <w:cantSplit/>
          <w:trHeight w:val="20"/>
        </w:trPr>
        <w:tc>
          <w:tcPr>
            <w:tcW w:w="3028" w:type="pct"/>
          </w:tcPr>
          <w:p w:rsidR="00C66D8A" w:rsidRPr="003B3A0F" w:rsidRDefault="00C66D8A" w:rsidP="00A73CD6">
            <w:pPr>
              <w:pStyle w:val="Encabezado"/>
              <w:numPr>
                <w:ilvl w:val="1"/>
                <w:numId w:val="17"/>
              </w:numPr>
              <w:tabs>
                <w:tab w:val="clear" w:pos="4252"/>
                <w:tab w:val="clear" w:pos="8504"/>
                <w:tab w:val="right" w:pos="8838"/>
              </w:tabs>
              <w:spacing w:after="120"/>
              <w:ind w:left="567" w:right="113" w:hanging="567"/>
              <w:jc w:val="both"/>
              <w:rPr>
                <w:rFonts w:cs="Arial"/>
                <w:sz w:val="22"/>
                <w:szCs w:val="22"/>
                <w:lang w:val="es-ES" w:eastAsia="es-MX"/>
              </w:rPr>
            </w:pPr>
            <w:r w:rsidRPr="003B3A0F">
              <w:rPr>
                <w:rFonts w:cs="Arial"/>
                <w:sz w:val="22"/>
                <w:szCs w:val="22"/>
                <w:lang w:eastAsia="es-MX"/>
              </w:rPr>
              <w:lastRenderedPageBreak/>
              <w:t xml:space="preserve">En la </w:t>
            </w:r>
            <w:r w:rsidR="00A73CD6" w:rsidRPr="003B3A0F">
              <w:rPr>
                <w:rFonts w:cs="Arial"/>
                <w:sz w:val="22"/>
                <w:szCs w:val="22"/>
                <w:lang w:eastAsia="es-MX"/>
              </w:rPr>
              <w:t>S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 xml:space="preserve">ubdirección </w:t>
            </w:r>
            <w:r w:rsidR="00A73CD6" w:rsidRPr="003B3A0F">
              <w:rPr>
                <w:rFonts w:cs="Arial"/>
                <w:sz w:val="22"/>
                <w:szCs w:val="22"/>
                <w:lang w:eastAsia="es-MX"/>
              </w:rPr>
              <w:t>T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 xml:space="preserve">écnica y la </w:t>
            </w:r>
            <w:r w:rsidR="00A73CD6" w:rsidRPr="003B3A0F">
              <w:rPr>
                <w:rFonts w:cs="Arial"/>
                <w:sz w:val="22"/>
                <w:szCs w:val="22"/>
                <w:lang w:eastAsia="es-MX"/>
              </w:rPr>
              <w:t>persona Encargada de La</w:t>
            </w:r>
            <w:r w:rsidRPr="003B3A0F">
              <w:rPr>
                <w:rFonts w:cs="Arial"/>
                <w:sz w:val="22"/>
                <w:szCs w:val="22"/>
                <w:lang w:eastAsia="es-MX"/>
              </w:rPr>
              <w:t>boratorio, se mantendrán registros de los resultados de las pruebas de certificación, verificación y mantenimiento en los expedientes de los equipos</w:t>
            </w:r>
          </w:p>
        </w:tc>
        <w:tc>
          <w:tcPr>
            <w:tcW w:w="1056" w:type="pct"/>
          </w:tcPr>
          <w:p w:rsidR="00C66D8A" w:rsidRDefault="00C66D8A" w:rsidP="00A73CD6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Subdirección Técnica</w:t>
            </w:r>
          </w:p>
          <w:p w:rsidR="00C66D8A" w:rsidRPr="00942362" w:rsidRDefault="00A73CD6" w:rsidP="00A73CD6">
            <w:pPr>
              <w:pStyle w:val="Encabezado"/>
              <w:spacing w:after="120"/>
              <w:ind w:right="125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Encargada de Laboratorio</w:t>
            </w:r>
          </w:p>
        </w:tc>
        <w:tc>
          <w:tcPr>
            <w:tcW w:w="916" w:type="pct"/>
          </w:tcPr>
          <w:p w:rsidR="00C66D8A" w:rsidRPr="00942362" w:rsidRDefault="00C66D8A" w:rsidP="00942362">
            <w:pPr>
              <w:pStyle w:val="Encabezado"/>
              <w:spacing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Expedientes de equ</w:t>
            </w:r>
            <w:r w:rsidR="00104E24">
              <w:rPr>
                <w:rFonts w:cs="Arial"/>
                <w:sz w:val="22"/>
                <w:szCs w:val="22"/>
              </w:rPr>
              <w:t>i</w:t>
            </w:r>
            <w:r>
              <w:rPr>
                <w:rFonts w:cs="Arial"/>
                <w:sz w:val="22"/>
                <w:szCs w:val="22"/>
              </w:rPr>
              <w:t>po</w:t>
            </w:r>
          </w:p>
        </w:tc>
      </w:tr>
    </w:tbl>
    <w:p w:rsidR="00D8481F" w:rsidRDefault="00D8481F">
      <w:pPr>
        <w:rPr>
          <w:rFonts w:eastAsia="Arial" w:cs="Arial"/>
          <w:spacing w:val="1"/>
          <w:sz w:val="24"/>
          <w:szCs w:val="24"/>
        </w:rPr>
      </w:pPr>
    </w:p>
    <w:p w:rsidR="003B3A0F" w:rsidRDefault="003B3A0F">
      <w:pPr>
        <w:rPr>
          <w:rFonts w:eastAsia="Arial" w:cs="Arial"/>
          <w:spacing w:val="1"/>
          <w:sz w:val="24"/>
          <w:szCs w:val="24"/>
        </w:rPr>
      </w:pPr>
    </w:p>
    <w:p w:rsidR="003B3A0F" w:rsidRDefault="003B3A0F">
      <w:pPr>
        <w:rPr>
          <w:rFonts w:eastAsia="Arial" w:cs="Arial"/>
          <w:spacing w:val="1"/>
          <w:sz w:val="24"/>
          <w:szCs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Documentos asociados</w:t>
      </w:r>
    </w:p>
    <w:p w:rsidR="00CF1816" w:rsidRPr="003B3A0F" w:rsidRDefault="00CF1816" w:rsidP="003B3A0F">
      <w:pPr>
        <w:pStyle w:val="Prrafodelista"/>
        <w:numPr>
          <w:ilvl w:val="0"/>
          <w:numId w:val="30"/>
        </w:numPr>
        <w:rPr>
          <w:rFonts w:cs="Arial"/>
          <w:color w:val="000000"/>
          <w:sz w:val="24"/>
          <w:szCs w:val="24"/>
          <w:u w:val="single"/>
          <w:lang w:eastAsia="es-MX"/>
        </w:rPr>
      </w:pPr>
      <w:r w:rsidRPr="003B3A0F">
        <w:rPr>
          <w:rFonts w:cs="Arial"/>
          <w:color w:val="000000"/>
          <w:sz w:val="24"/>
          <w:szCs w:val="24"/>
          <w:u w:val="single"/>
          <w:lang w:eastAsia="es-MX"/>
        </w:rPr>
        <w:t>Procedimiento del área administrativa</w:t>
      </w:r>
    </w:p>
    <w:p w:rsidR="001C1295" w:rsidRPr="003B3A0F" w:rsidRDefault="001C1295" w:rsidP="003B3A0F">
      <w:pPr>
        <w:pStyle w:val="Prrafodelista"/>
        <w:numPr>
          <w:ilvl w:val="0"/>
          <w:numId w:val="30"/>
        </w:numPr>
        <w:rPr>
          <w:rFonts w:cs="Arial"/>
          <w:color w:val="000000"/>
          <w:sz w:val="24"/>
          <w:szCs w:val="24"/>
          <w:u w:val="single"/>
          <w:lang w:eastAsia="es-MX"/>
        </w:rPr>
      </w:pPr>
      <w:r w:rsidRPr="003B3A0F">
        <w:rPr>
          <w:rFonts w:cs="Arial"/>
          <w:color w:val="000000"/>
          <w:sz w:val="24"/>
          <w:szCs w:val="24"/>
          <w:u w:val="single"/>
          <w:lang w:eastAsia="es-MX"/>
        </w:rPr>
        <w:t xml:space="preserve">Procedimiento de Adquisiciones </w:t>
      </w:r>
    </w:p>
    <w:p w:rsidR="00CA1C5A" w:rsidRPr="00CA1C5A" w:rsidRDefault="00CF1816" w:rsidP="003B3A0F">
      <w:pPr>
        <w:pStyle w:val="Prrafodelista"/>
        <w:numPr>
          <w:ilvl w:val="0"/>
          <w:numId w:val="30"/>
        </w:numPr>
        <w:ind w:right="210"/>
        <w:jc w:val="both"/>
        <w:rPr>
          <w:b/>
          <w:color w:val="000000"/>
          <w:sz w:val="24"/>
          <w:szCs w:val="24"/>
        </w:rPr>
      </w:pPr>
      <w:r w:rsidRPr="003B3A0F">
        <w:rPr>
          <w:rFonts w:cs="Arial"/>
          <w:color w:val="000000"/>
          <w:sz w:val="24"/>
          <w:szCs w:val="24"/>
          <w:u w:val="single"/>
          <w:lang w:eastAsia="es-MX"/>
        </w:rPr>
        <w:t>Lista de equipos de medición</w:t>
      </w:r>
    </w:p>
    <w:p w:rsidR="00566E12" w:rsidRPr="003B3A0F" w:rsidRDefault="00CA1C5A" w:rsidP="003B3A0F">
      <w:pPr>
        <w:pStyle w:val="Prrafodelista"/>
        <w:numPr>
          <w:ilvl w:val="0"/>
          <w:numId w:val="30"/>
        </w:numPr>
        <w:ind w:right="210"/>
        <w:jc w:val="both"/>
        <w:rPr>
          <w:b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  <w:u w:val="single"/>
          <w:lang w:eastAsia="es-MX"/>
        </w:rPr>
        <w:t>Manual integrado</w:t>
      </w:r>
      <w:r w:rsidR="00CF1816" w:rsidRPr="003B3A0F">
        <w:rPr>
          <w:rFonts w:cs="Arial"/>
          <w:color w:val="000000"/>
          <w:sz w:val="24"/>
          <w:szCs w:val="24"/>
          <w:lang w:eastAsia="es-MX"/>
        </w:rPr>
        <w:cr/>
      </w:r>
    </w:p>
    <w:p w:rsidR="005367D1" w:rsidRPr="001C1295" w:rsidRDefault="00566E12" w:rsidP="001C1295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Registros requeridos</w:t>
      </w:r>
    </w:p>
    <w:p w:rsidR="005367D1" w:rsidRPr="003B3A0F" w:rsidRDefault="005367D1" w:rsidP="003B3A0F">
      <w:pPr>
        <w:pStyle w:val="Prrafodelista"/>
        <w:ind w:left="0"/>
        <w:rPr>
          <w:rFonts w:cs="Arial"/>
          <w:color w:val="000000"/>
          <w:sz w:val="24"/>
          <w:szCs w:val="24"/>
          <w:u w:val="single"/>
          <w:lang w:eastAsia="es-MX"/>
        </w:rPr>
      </w:pPr>
    </w:p>
    <w:p w:rsidR="00BF3662" w:rsidRPr="003B3A0F" w:rsidRDefault="005367D1" w:rsidP="003B3A0F">
      <w:pPr>
        <w:pStyle w:val="Prrafodelista"/>
        <w:numPr>
          <w:ilvl w:val="0"/>
          <w:numId w:val="31"/>
        </w:numPr>
        <w:ind w:left="720" w:right="210"/>
        <w:jc w:val="both"/>
        <w:rPr>
          <w:rFonts w:cs="Arial"/>
          <w:color w:val="000000"/>
          <w:sz w:val="24"/>
          <w:szCs w:val="24"/>
          <w:u w:val="single"/>
          <w:lang w:eastAsia="es-MX"/>
        </w:rPr>
      </w:pPr>
      <w:r w:rsidRPr="003B3A0F">
        <w:rPr>
          <w:rFonts w:cs="Arial"/>
          <w:color w:val="000000"/>
          <w:sz w:val="24"/>
          <w:szCs w:val="24"/>
          <w:u w:val="single"/>
          <w:lang w:eastAsia="es-MX"/>
        </w:rPr>
        <w:t>Lista de equipos de medición</w:t>
      </w:r>
    </w:p>
    <w:p w:rsidR="00854E5F" w:rsidRPr="003B3A0F" w:rsidRDefault="00854E5F" w:rsidP="003B3A0F">
      <w:pPr>
        <w:pStyle w:val="Prrafodelista"/>
        <w:numPr>
          <w:ilvl w:val="0"/>
          <w:numId w:val="31"/>
        </w:numPr>
        <w:ind w:left="720" w:right="210"/>
        <w:jc w:val="both"/>
        <w:rPr>
          <w:b/>
          <w:smallCaps/>
          <w:color w:val="000000"/>
          <w:sz w:val="24"/>
          <w:szCs w:val="24"/>
        </w:rPr>
      </w:pPr>
      <w:r w:rsidRPr="003B3A0F">
        <w:rPr>
          <w:rFonts w:cs="Arial"/>
          <w:color w:val="000000"/>
          <w:sz w:val="24"/>
          <w:szCs w:val="24"/>
          <w:u w:val="single"/>
          <w:lang w:eastAsia="es-MX"/>
        </w:rPr>
        <w:t>Instructivo de Entradas y Salidas de Control de Equipos</w:t>
      </w:r>
    </w:p>
    <w:p w:rsidR="00BF3662" w:rsidRDefault="00BF3662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3B3A0F" w:rsidRDefault="003B3A0F" w:rsidP="003B3A0F">
      <w:pPr>
        <w:pStyle w:val="Prrafodelista"/>
        <w:ind w:left="0" w:right="210"/>
        <w:jc w:val="both"/>
        <w:rPr>
          <w:b/>
          <w:smallCaps/>
          <w:color w:val="000000"/>
          <w:sz w:val="24"/>
          <w:szCs w:val="24"/>
        </w:rPr>
      </w:pPr>
    </w:p>
    <w:p w:rsidR="00566E12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54"/>
        <w:gridCol w:w="1361"/>
        <w:gridCol w:w="4999"/>
        <w:gridCol w:w="2240"/>
      </w:tblGrid>
      <w:tr w:rsidR="009271B4" w:rsidRPr="00566E12" w:rsidTr="0030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36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585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Descripción de cambios con respeto a la última revisión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Persona que realizó los cambios</w:t>
            </w:r>
          </w:p>
        </w:tc>
      </w:tr>
      <w:tr w:rsidR="009271B4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1361" w:type="dxa"/>
            <w:vAlign w:val="center"/>
          </w:tcPr>
          <w:p w:rsidR="00566E12" w:rsidRPr="00566E12" w:rsidRDefault="0034340A" w:rsidP="0034340A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11</w:t>
            </w:r>
            <w:r w:rsidR="00566E12">
              <w:rPr>
                <w:smallCaps/>
                <w:color w:val="000000" w:themeColor="text1"/>
                <w:sz w:val="24"/>
              </w:rPr>
              <w:t>/</w:t>
            </w:r>
            <w:r>
              <w:rPr>
                <w:smallCaps/>
                <w:color w:val="000000" w:themeColor="text1"/>
                <w:sz w:val="24"/>
              </w:rPr>
              <w:t>10</w:t>
            </w:r>
            <w:r w:rsidR="00566E12">
              <w:rPr>
                <w:smallCaps/>
                <w:color w:val="000000" w:themeColor="text1"/>
                <w:sz w:val="24"/>
              </w:rPr>
              <w:t>/</w:t>
            </w:r>
            <w:r>
              <w:rPr>
                <w:smallCaps/>
                <w:color w:val="000000" w:themeColor="text1"/>
                <w:sz w:val="24"/>
              </w:rPr>
              <w:t>04</w:t>
            </w:r>
          </w:p>
        </w:tc>
        <w:tc>
          <w:tcPr>
            <w:tcW w:w="5585" w:type="dxa"/>
          </w:tcPr>
          <w:p w:rsidR="00566E12" w:rsidRPr="004A5A61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4A5A61">
              <w:rPr>
                <w:color w:val="000000"/>
                <w:sz w:val="24"/>
              </w:rPr>
              <w:t>Emisión</w:t>
            </w:r>
            <w:r w:rsidR="006A5E70">
              <w:rPr>
                <w:color w:val="000000"/>
                <w:sz w:val="24"/>
              </w:rPr>
              <w:t xml:space="preserve">                                                                         </w:t>
            </w:r>
          </w:p>
        </w:tc>
        <w:tc>
          <w:tcPr>
            <w:tcW w:w="1811" w:type="dxa"/>
            <w:vAlign w:val="center"/>
          </w:tcPr>
          <w:p w:rsidR="00566E12" w:rsidRPr="00566E12" w:rsidRDefault="0034340A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PSV</w:t>
            </w:r>
          </w:p>
        </w:tc>
      </w:tr>
      <w:tr w:rsidR="009271B4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4340A" w:rsidRPr="0034340A" w:rsidRDefault="0034340A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34340A">
              <w:rPr>
                <w:b w:val="0"/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34340A" w:rsidRPr="0034340A" w:rsidRDefault="0034340A" w:rsidP="006A5E70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34340A">
              <w:rPr>
                <w:smallCaps/>
                <w:color w:val="000000" w:themeColor="text1"/>
                <w:sz w:val="24"/>
              </w:rPr>
              <w:t>08/04/08</w:t>
            </w:r>
          </w:p>
        </w:tc>
        <w:tc>
          <w:tcPr>
            <w:tcW w:w="5585" w:type="dxa"/>
          </w:tcPr>
          <w:p w:rsidR="0034340A" w:rsidRPr="004A5A61" w:rsidRDefault="0034340A" w:rsidP="00566E12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Sustituye a los procedimientos de acciones correctivas y preventivas, se integra al SIG</w:t>
            </w:r>
          </w:p>
        </w:tc>
        <w:tc>
          <w:tcPr>
            <w:tcW w:w="1811" w:type="dxa"/>
            <w:vAlign w:val="center"/>
          </w:tcPr>
          <w:p w:rsidR="0034340A" w:rsidRDefault="0034340A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34340A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4340A" w:rsidRPr="0034340A" w:rsidRDefault="0034340A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34340A">
              <w:rPr>
                <w:b w:val="0"/>
                <w:smallCaps/>
                <w:color w:val="000000" w:themeColor="text1"/>
                <w:sz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34340A" w:rsidRPr="0034340A" w:rsidRDefault="0034340A" w:rsidP="006A5E70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34340A">
              <w:rPr>
                <w:smallCaps/>
                <w:color w:val="000000" w:themeColor="text1"/>
                <w:sz w:val="24"/>
              </w:rPr>
              <w:t>04/08/08</w:t>
            </w:r>
          </w:p>
        </w:tc>
        <w:tc>
          <w:tcPr>
            <w:tcW w:w="5585" w:type="dxa"/>
          </w:tcPr>
          <w:p w:rsidR="0034340A" w:rsidRPr="0034340A" w:rsidRDefault="0034340A" w:rsidP="0034340A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4340A">
              <w:rPr>
                <w:color w:val="000000"/>
                <w:sz w:val="24"/>
              </w:rPr>
              <w:t xml:space="preserve">Se incluyó la sección 5 del formato de Solicitud de Acciones modificados los párrafos 6.2 y 6.10; y se incluyeron los párrafos 6.5 y 6.9 </w:t>
            </w:r>
          </w:p>
        </w:tc>
        <w:tc>
          <w:tcPr>
            <w:tcW w:w="1811" w:type="dxa"/>
            <w:vAlign w:val="center"/>
          </w:tcPr>
          <w:p w:rsidR="0034340A" w:rsidRDefault="0034340A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34340A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4340A" w:rsidRPr="009271B4" w:rsidRDefault="0034340A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9271B4">
              <w:rPr>
                <w:b w:val="0"/>
                <w:smallCaps/>
                <w:color w:val="000000" w:themeColor="text1"/>
                <w:sz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34340A" w:rsidRPr="0034340A" w:rsidRDefault="0034340A" w:rsidP="006A5E70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08/02/11</w:t>
            </w:r>
          </w:p>
        </w:tc>
        <w:tc>
          <w:tcPr>
            <w:tcW w:w="5585" w:type="dxa"/>
          </w:tcPr>
          <w:p w:rsidR="0034340A" w:rsidRPr="0034340A" w:rsidRDefault="0034340A" w:rsidP="0034340A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El dueño de proceso fue cambiado </w:t>
            </w:r>
          </w:p>
        </w:tc>
        <w:tc>
          <w:tcPr>
            <w:tcW w:w="1811" w:type="dxa"/>
            <w:vAlign w:val="center"/>
          </w:tcPr>
          <w:p w:rsidR="0034340A" w:rsidRDefault="0034340A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34340A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4340A" w:rsidRPr="009271B4" w:rsidRDefault="009271B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9271B4">
              <w:rPr>
                <w:b w:val="0"/>
                <w:smallCaps/>
                <w:color w:val="000000" w:themeColor="text1"/>
                <w:sz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34340A" w:rsidRPr="009271B4" w:rsidRDefault="009271B4" w:rsidP="006A5E70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02/06/11</w:t>
            </w:r>
          </w:p>
        </w:tc>
        <w:tc>
          <w:tcPr>
            <w:tcW w:w="5585" w:type="dxa"/>
          </w:tcPr>
          <w:p w:rsidR="0034340A" w:rsidRPr="009271B4" w:rsidRDefault="009271B4" w:rsidP="0034340A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9271B4">
              <w:rPr>
                <w:color w:val="000000"/>
                <w:sz w:val="24"/>
              </w:rPr>
              <w:t>Se reestructuró el procedimiento</w:t>
            </w:r>
          </w:p>
        </w:tc>
        <w:tc>
          <w:tcPr>
            <w:tcW w:w="1811" w:type="dxa"/>
            <w:vAlign w:val="center"/>
          </w:tcPr>
          <w:p w:rsidR="0034340A" w:rsidRPr="009271B4" w:rsidRDefault="0034340A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9271B4" w:rsidRPr="009271B4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271B4" w:rsidRPr="009271B4" w:rsidRDefault="009271B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9271B4">
              <w:rPr>
                <w:b w:val="0"/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1361" w:type="dxa"/>
            <w:vAlign w:val="center"/>
          </w:tcPr>
          <w:p w:rsidR="009271B4" w:rsidRPr="009271B4" w:rsidRDefault="009271B4" w:rsidP="006A5E70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26/06/13</w:t>
            </w:r>
          </w:p>
        </w:tc>
        <w:tc>
          <w:tcPr>
            <w:tcW w:w="5585" w:type="dxa"/>
          </w:tcPr>
          <w:p w:rsidR="009271B4" w:rsidRPr="009271B4" w:rsidRDefault="009271B4" w:rsidP="0034340A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9271B4">
              <w:rPr>
                <w:color w:val="000000"/>
                <w:sz w:val="24"/>
              </w:rPr>
              <w:t>Se agregaron los puntos 5.9,5.10 y 5.11, se cambió el párrafo 6.9</w:t>
            </w:r>
          </w:p>
        </w:tc>
        <w:tc>
          <w:tcPr>
            <w:tcW w:w="1811" w:type="dxa"/>
            <w:vAlign w:val="center"/>
          </w:tcPr>
          <w:p w:rsidR="009271B4" w:rsidRPr="009271B4" w:rsidRDefault="009271B4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EAV</w:t>
            </w:r>
          </w:p>
        </w:tc>
      </w:tr>
      <w:tr w:rsidR="009271B4" w:rsidRPr="009271B4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271B4" w:rsidRPr="009271B4" w:rsidRDefault="009271B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9271B4">
              <w:rPr>
                <w:b w:val="0"/>
                <w:smallCaps/>
                <w:color w:val="000000" w:themeColor="text1"/>
                <w:sz w:val="24"/>
              </w:rPr>
              <w:t>6</w:t>
            </w:r>
          </w:p>
        </w:tc>
        <w:tc>
          <w:tcPr>
            <w:tcW w:w="1361" w:type="dxa"/>
            <w:vAlign w:val="center"/>
          </w:tcPr>
          <w:p w:rsidR="009271B4" w:rsidRPr="009271B4" w:rsidRDefault="009271B4" w:rsidP="006A5E70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10/09/14</w:t>
            </w:r>
          </w:p>
        </w:tc>
        <w:tc>
          <w:tcPr>
            <w:tcW w:w="5585" w:type="dxa"/>
          </w:tcPr>
          <w:p w:rsidR="009271B4" w:rsidRPr="009271B4" w:rsidRDefault="009271B4" w:rsidP="0034340A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9271B4">
              <w:rPr>
                <w:color w:val="000000"/>
                <w:sz w:val="24"/>
              </w:rPr>
              <w:t>Revisión general a todo el documento</w:t>
            </w:r>
          </w:p>
        </w:tc>
        <w:tc>
          <w:tcPr>
            <w:tcW w:w="1811" w:type="dxa"/>
            <w:vAlign w:val="center"/>
          </w:tcPr>
          <w:p w:rsidR="009271B4" w:rsidRPr="009271B4" w:rsidRDefault="009271B4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PSV,SSMG</w:t>
            </w:r>
          </w:p>
        </w:tc>
      </w:tr>
      <w:tr w:rsidR="009271B4" w:rsidRPr="009271B4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271B4" w:rsidRPr="009271B4" w:rsidRDefault="009271B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9271B4">
              <w:rPr>
                <w:b w:val="0"/>
                <w:smallCaps/>
                <w:color w:val="000000" w:themeColor="text1"/>
                <w:sz w:val="24"/>
              </w:rPr>
              <w:t>7</w:t>
            </w:r>
          </w:p>
        </w:tc>
        <w:tc>
          <w:tcPr>
            <w:tcW w:w="1361" w:type="dxa"/>
            <w:vAlign w:val="center"/>
          </w:tcPr>
          <w:p w:rsidR="009271B4" w:rsidRPr="009271B4" w:rsidRDefault="009271B4" w:rsidP="006A5E70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09/01/15</w:t>
            </w:r>
          </w:p>
        </w:tc>
        <w:tc>
          <w:tcPr>
            <w:tcW w:w="5585" w:type="dxa"/>
          </w:tcPr>
          <w:p w:rsidR="009271B4" w:rsidRPr="009271B4" w:rsidRDefault="009271B4" w:rsidP="0034340A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9271B4">
              <w:rPr>
                <w:color w:val="000000"/>
                <w:sz w:val="24"/>
              </w:rPr>
              <w:t>El CMP+L tuvo cambios administrativos a partir de diciembre de 2013, por lo que se llevó acabo recuperación de archivos digitales y paralelamente se efectuaron e hicieron mejoras al procedimiento</w:t>
            </w:r>
          </w:p>
        </w:tc>
        <w:tc>
          <w:tcPr>
            <w:tcW w:w="1811" w:type="dxa"/>
            <w:vAlign w:val="center"/>
          </w:tcPr>
          <w:p w:rsidR="009271B4" w:rsidRPr="009271B4" w:rsidRDefault="009271B4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SSMG,PSV,BBD</w:t>
            </w:r>
          </w:p>
        </w:tc>
      </w:tr>
      <w:tr w:rsidR="009271B4" w:rsidRPr="009271B4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271B4" w:rsidRPr="009271B4" w:rsidRDefault="009271B4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9271B4">
              <w:rPr>
                <w:b w:val="0"/>
                <w:smallCaps/>
                <w:color w:val="000000" w:themeColor="text1"/>
                <w:sz w:val="24"/>
              </w:rPr>
              <w:t>8</w:t>
            </w:r>
          </w:p>
        </w:tc>
        <w:tc>
          <w:tcPr>
            <w:tcW w:w="1361" w:type="dxa"/>
            <w:vAlign w:val="center"/>
          </w:tcPr>
          <w:p w:rsidR="009271B4" w:rsidRPr="009271B4" w:rsidRDefault="009271B4" w:rsidP="003A677D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2</w:t>
            </w:r>
            <w:r w:rsidR="003A677D">
              <w:rPr>
                <w:smallCaps/>
                <w:color w:val="000000" w:themeColor="text1"/>
                <w:sz w:val="24"/>
              </w:rPr>
              <w:t>5</w:t>
            </w:r>
            <w:r w:rsidRPr="009271B4">
              <w:rPr>
                <w:smallCaps/>
                <w:color w:val="000000" w:themeColor="text1"/>
                <w:sz w:val="24"/>
              </w:rPr>
              <w:t>/02/16</w:t>
            </w:r>
          </w:p>
        </w:tc>
        <w:tc>
          <w:tcPr>
            <w:tcW w:w="5585" w:type="dxa"/>
          </w:tcPr>
          <w:p w:rsidR="009271B4" w:rsidRPr="009271B4" w:rsidRDefault="009271B4" w:rsidP="0034340A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9271B4">
              <w:rPr>
                <w:color w:val="000000"/>
                <w:sz w:val="24"/>
              </w:rPr>
              <w:t>Se reestructuró el procedimiento</w:t>
            </w:r>
          </w:p>
        </w:tc>
        <w:tc>
          <w:tcPr>
            <w:tcW w:w="1811" w:type="dxa"/>
            <w:vAlign w:val="center"/>
          </w:tcPr>
          <w:p w:rsidR="009271B4" w:rsidRPr="009271B4" w:rsidRDefault="009271B4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 w:rsidRPr="009271B4">
              <w:rPr>
                <w:smallCaps/>
                <w:color w:val="000000" w:themeColor="text1"/>
                <w:sz w:val="24"/>
              </w:rPr>
              <w:t>TODO EL GRUPO DEL ÁREA TÉCNICA.</w:t>
            </w:r>
          </w:p>
        </w:tc>
      </w:tr>
    </w:tbl>
    <w:p w:rsidR="00BF3662" w:rsidRDefault="00BF3662" w:rsidP="00765F9A">
      <w:pPr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AA5C1F" w:rsidRPr="00854E5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highlight w:val="yellow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Pr="00BF3662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sectPr w:rsidR="0030594E" w:rsidRPr="00BF3662" w:rsidSect="006A5668">
      <w:footerReference w:type="default" r:id="rId14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7D3" w:rsidRDefault="002A67D3">
      <w:r>
        <w:separator/>
      </w:r>
    </w:p>
  </w:endnote>
  <w:endnote w:type="continuationSeparator" w:id="0">
    <w:p w:rsidR="002A67D3" w:rsidRDefault="002A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Default="00D5661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764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7642" w:rsidRDefault="000776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Pr="00AB023F" w:rsidRDefault="0006371D" w:rsidP="0006371D">
    <w:pPr>
      <w:pStyle w:val="Piedepgina"/>
      <w:tabs>
        <w:tab w:val="clear" w:pos="4252"/>
        <w:tab w:val="clear" w:pos="8504"/>
        <w:tab w:val="left" w:pos="8789"/>
      </w:tabs>
      <w:ind w:right="-375"/>
      <w:jc w:val="both"/>
      <w:rPr>
        <w:lang w:val="es-ES"/>
      </w:rPr>
    </w:pPr>
    <w:r>
      <w:rPr>
        <w:lang w:val="es-E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097" w:rsidRPr="0034148F" w:rsidRDefault="00097A17">
    <w:pPr>
      <w:pStyle w:val="Piedepgina"/>
      <w:tabs>
        <w:tab w:val="clear" w:pos="8504"/>
        <w:tab w:val="right" w:pos="9639"/>
      </w:tabs>
      <w:ind w:right="360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7D3" w:rsidRDefault="002A67D3">
      <w:r>
        <w:separator/>
      </w:r>
    </w:p>
  </w:footnote>
  <w:footnote w:type="continuationSeparator" w:id="0">
    <w:p w:rsidR="002A67D3" w:rsidRDefault="002A6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1604D8" w:rsidRPr="00C07145" w:rsidTr="00991342">
      <w:trPr>
        <w:trHeight w:val="1691"/>
        <w:jc w:val="center"/>
      </w:trPr>
      <w:tc>
        <w:tcPr>
          <w:tcW w:w="2268" w:type="dxa"/>
        </w:tcPr>
        <w:p w:rsidR="001604D8" w:rsidRPr="00C07145" w:rsidRDefault="001604D8" w:rsidP="0077652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68B2BF1E" wp14:editId="2C5AC568">
                <wp:simplePos x="0" y="0"/>
                <wp:positionH relativeFrom="column">
                  <wp:posOffset>279222</wp:posOffset>
                </wp:positionH>
                <wp:positionV relativeFrom="paragraph">
                  <wp:posOffset>101778</wp:posOffset>
                </wp:positionV>
                <wp:extent cx="446930" cy="760781"/>
                <wp:effectExtent l="0" t="0" r="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443" cy="7752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69" w:type="dxa"/>
          <w:gridSpan w:val="4"/>
        </w:tcPr>
        <w:p w:rsidR="006F07C8" w:rsidRPr="00972EDF" w:rsidRDefault="006F07C8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6F07C8" w:rsidRDefault="006F07C8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1604D8" w:rsidRPr="00B21F3A" w:rsidRDefault="006F07C8" w:rsidP="000079F0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MEXICANO PARA LA PRODUCCIÓN MÁS LIMPIA</w:t>
          </w:r>
        </w:p>
      </w:tc>
      <w:tc>
        <w:tcPr>
          <w:tcW w:w="2268" w:type="dxa"/>
          <w:vAlign w:val="center"/>
        </w:tcPr>
        <w:p w:rsidR="001604D8" w:rsidRPr="00B21F3A" w:rsidRDefault="007B23D3" w:rsidP="00123E5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153E2A6" wp14:editId="7A2AD929">
                <wp:simplePos x="0" y="0"/>
                <wp:positionH relativeFrom="column">
                  <wp:posOffset>149225</wp:posOffset>
                </wp:positionH>
                <wp:positionV relativeFrom="paragraph">
                  <wp:posOffset>56515</wp:posOffset>
                </wp:positionV>
                <wp:extent cx="842010" cy="577850"/>
                <wp:effectExtent l="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10" cy="57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A5668" w:rsidRPr="006E66C6" w:rsidTr="0077652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6A5668" w:rsidRPr="0036059A" w:rsidRDefault="006A5668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36059A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6A5668" w:rsidRPr="007724E2" w:rsidRDefault="0034340A" w:rsidP="0034340A">
          <w:pPr>
            <w:jc w:val="center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 w:themeColor="text1"/>
              <w:sz w:val="20"/>
              <w:szCs w:val="20"/>
            </w:rPr>
            <w:t>P</w:t>
          </w:r>
          <w:r w:rsidR="007C1FA6" w:rsidRPr="007724E2">
            <w:rPr>
              <w:rFonts w:cs="Arial"/>
              <w:color w:val="000000" w:themeColor="text1"/>
              <w:sz w:val="20"/>
              <w:szCs w:val="20"/>
            </w:rPr>
            <w:t>-</w:t>
          </w:r>
          <w:r>
            <w:rPr>
              <w:rFonts w:cs="Arial"/>
              <w:color w:val="000000" w:themeColor="text1"/>
              <w:sz w:val="20"/>
              <w:szCs w:val="20"/>
            </w:rPr>
            <w:t>TE</w:t>
          </w:r>
          <w:r w:rsidR="006511AD" w:rsidRPr="007724E2">
            <w:rPr>
              <w:rFonts w:cs="Arial"/>
              <w:color w:val="000000" w:themeColor="text1"/>
              <w:sz w:val="20"/>
              <w:szCs w:val="20"/>
            </w:rPr>
            <w:t>-</w:t>
          </w:r>
          <w:r w:rsidR="006A5E70" w:rsidRPr="007724E2">
            <w:rPr>
              <w:rFonts w:cs="Arial"/>
              <w:color w:val="000000" w:themeColor="text1"/>
              <w:sz w:val="20"/>
              <w:szCs w:val="20"/>
            </w:rPr>
            <w:t>C</w:t>
          </w:r>
          <w:r w:rsidR="007724E2" w:rsidRPr="007724E2">
            <w:rPr>
              <w:rFonts w:cs="Arial"/>
              <w:color w:val="000000" w:themeColor="text1"/>
              <w:sz w:val="20"/>
              <w:szCs w:val="20"/>
            </w:rPr>
            <w:t xml:space="preserve"> </w:t>
          </w:r>
          <w:r w:rsidR="006A5E70" w:rsidRPr="007724E2">
            <w:rPr>
              <w:rFonts w:cs="Arial"/>
              <w:color w:val="000000" w:themeColor="text1"/>
              <w:sz w:val="20"/>
              <w:szCs w:val="20"/>
            </w:rPr>
            <w:t>E</w:t>
          </w:r>
          <w:r w:rsidR="007724E2" w:rsidRPr="007724E2">
            <w:rPr>
              <w:rFonts w:cs="Arial"/>
              <w:color w:val="000000" w:themeColor="text1"/>
              <w:sz w:val="20"/>
              <w:szCs w:val="20"/>
            </w:rPr>
            <w:t xml:space="preserve"> </w:t>
          </w:r>
          <w:r w:rsidR="006A5E70" w:rsidRPr="007724E2">
            <w:rPr>
              <w:rFonts w:cs="Arial"/>
              <w:color w:val="000000" w:themeColor="text1"/>
              <w:sz w:val="20"/>
              <w:szCs w:val="20"/>
            </w:rPr>
            <w:t>M</w:t>
          </w:r>
          <w:r>
            <w:rPr>
              <w:rFonts w:cs="Arial"/>
              <w:color w:val="000000" w:themeColor="text1"/>
              <w:sz w:val="20"/>
              <w:szCs w:val="20"/>
            </w:rPr>
            <w:t>ED</w:t>
          </w:r>
        </w:p>
      </w:tc>
      <w:tc>
        <w:tcPr>
          <w:tcW w:w="2551" w:type="dxa"/>
          <w:vAlign w:val="center"/>
        </w:tcPr>
        <w:p w:rsidR="006A5668" w:rsidRPr="006E66C6" w:rsidRDefault="006A5668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 w:rsidRPr="006E66C6">
            <w:rPr>
              <w:rFonts w:cs="Arial"/>
              <w:sz w:val="20"/>
              <w:szCs w:val="20"/>
              <w:lang w:eastAsia="en-US"/>
            </w:rPr>
            <w:t>Fecha</w:t>
          </w:r>
          <w:proofErr w:type="spellEnd"/>
          <w:r w:rsidRPr="006E66C6"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 w:rsidR="0034340A">
            <w:rPr>
              <w:rFonts w:cs="Arial"/>
              <w:sz w:val="20"/>
              <w:szCs w:val="20"/>
              <w:lang w:eastAsia="en-US"/>
            </w:rPr>
            <w:t>publicación</w:t>
          </w:r>
          <w:proofErr w:type="spellEnd"/>
          <w:r w:rsidRPr="006E66C6">
            <w:rPr>
              <w:rFonts w:cs="Arial"/>
              <w:sz w:val="20"/>
              <w:szCs w:val="20"/>
              <w:lang w:eastAsia="en-US"/>
            </w:rPr>
            <w:t>:</w:t>
          </w:r>
        </w:p>
        <w:p w:rsidR="006A5668" w:rsidRPr="00AC2DE7" w:rsidRDefault="0034340A" w:rsidP="003A677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</w:t>
          </w:r>
          <w:r w:rsidR="003A677D">
            <w:rPr>
              <w:rFonts w:cs="Arial"/>
              <w:sz w:val="20"/>
              <w:szCs w:val="20"/>
              <w:lang w:eastAsia="en-US"/>
            </w:rPr>
            <w:t>7</w:t>
          </w:r>
          <w:r>
            <w:rPr>
              <w:rFonts w:cs="Arial"/>
              <w:sz w:val="20"/>
              <w:szCs w:val="20"/>
              <w:lang w:eastAsia="en-US"/>
            </w:rPr>
            <w:t>/02</w:t>
          </w:r>
          <w:r w:rsidR="00AC2DE7" w:rsidRPr="00AC2DE7">
            <w:rPr>
              <w:rFonts w:cs="Arial"/>
              <w:sz w:val="20"/>
              <w:szCs w:val="20"/>
              <w:lang w:eastAsia="en-US"/>
            </w:rPr>
            <w:t>/20</w:t>
          </w:r>
          <w:r w:rsidR="007C1FA6">
            <w:rPr>
              <w:rFonts w:cs="Arial"/>
              <w:sz w:val="20"/>
              <w:szCs w:val="20"/>
              <w:lang w:eastAsia="en-US"/>
            </w:rPr>
            <w:t>1</w:t>
          </w:r>
          <w:r>
            <w:rPr>
              <w:rFonts w:cs="Arial"/>
              <w:sz w:val="20"/>
              <w:szCs w:val="20"/>
              <w:lang w:eastAsia="en-US"/>
            </w:rPr>
            <w:t>6</w:t>
          </w:r>
        </w:p>
      </w:tc>
      <w:tc>
        <w:tcPr>
          <w:tcW w:w="2551" w:type="dxa"/>
          <w:vAlign w:val="center"/>
        </w:tcPr>
        <w:p w:rsidR="006A5668" w:rsidRPr="006E66C6" w:rsidRDefault="0034340A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>
            <w:rPr>
              <w:rFonts w:cs="Arial"/>
              <w:sz w:val="20"/>
              <w:szCs w:val="20"/>
              <w:lang w:eastAsia="en-US"/>
            </w:rPr>
            <w:t>Número</w:t>
          </w:r>
          <w:proofErr w:type="spellEnd"/>
          <w:r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>
            <w:rPr>
              <w:rFonts w:cs="Arial"/>
              <w:sz w:val="20"/>
              <w:szCs w:val="20"/>
              <w:lang w:eastAsia="en-US"/>
            </w:rPr>
            <w:t>revisión</w:t>
          </w:r>
          <w:proofErr w:type="spellEnd"/>
          <w:r w:rsidR="006A5668" w:rsidRPr="006E66C6">
            <w:rPr>
              <w:rFonts w:cs="Arial"/>
              <w:sz w:val="20"/>
              <w:szCs w:val="20"/>
              <w:lang w:eastAsia="en-US"/>
            </w:rPr>
            <w:t>:</w:t>
          </w:r>
        </w:p>
        <w:p w:rsidR="006A5668" w:rsidRPr="006E66C6" w:rsidRDefault="005D0225" w:rsidP="0034340A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0</w:t>
          </w:r>
          <w:r w:rsidR="0034340A">
            <w:rPr>
              <w:rFonts w:cs="Arial"/>
              <w:sz w:val="20"/>
              <w:szCs w:val="20"/>
              <w:lang w:eastAsia="en-US"/>
            </w:rPr>
            <w:t>8</w:t>
          </w:r>
        </w:p>
      </w:tc>
      <w:tc>
        <w:tcPr>
          <w:tcW w:w="2552" w:type="dxa"/>
          <w:gridSpan w:val="2"/>
          <w:vAlign w:val="center"/>
        </w:tcPr>
        <w:p w:rsidR="006A5668" w:rsidRPr="006E66C6" w:rsidRDefault="006A5668" w:rsidP="002924FC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="00D56612" w:rsidRPr="00B67E9A">
            <w:rPr>
              <w:rFonts w:cs="Arial"/>
              <w:lang w:eastAsia="en-US"/>
            </w:rPr>
            <w:fldChar w:fldCharType="begin"/>
          </w:r>
          <w:r w:rsidRPr="00B67E9A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="00D56612" w:rsidRPr="00B67E9A">
            <w:rPr>
              <w:rFonts w:cs="Arial"/>
              <w:lang w:eastAsia="en-US"/>
            </w:rPr>
            <w:fldChar w:fldCharType="separate"/>
          </w:r>
          <w:r w:rsidR="003A677D">
            <w:rPr>
              <w:rFonts w:cs="Arial"/>
              <w:noProof/>
              <w:sz w:val="20"/>
              <w:szCs w:val="20"/>
              <w:lang w:val="es-MX" w:eastAsia="en-US"/>
            </w:rPr>
            <w:t>8</w:t>
          </w:r>
          <w:r w:rsidR="00D56612" w:rsidRPr="00B67E9A">
            <w:rPr>
              <w:rFonts w:cs="Arial"/>
              <w:lang w:eastAsia="en-US"/>
            </w:rPr>
            <w:fldChar w:fldCharType="end"/>
          </w: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244768">
            <w:rPr>
              <w:rFonts w:cs="Arial"/>
              <w:sz w:val="20"/>
              <w:szCs w:val="20"/>
              <w:lang w:val="es-MX" w:eastAsia="en-US"/>
            </w:rPr>
            <w:t>8</w:t>
          </w:r>
        </w:p>
      </w:tc>
    </w:tr>
  </w:tbl>
  <w:p w:rsidR="008D275E" w:rsidRDefault="008D275E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0D0E0524"/>
    <w:multiLevelType w:val="hybridMultilevel"/>
    <w:tmpl w:val="E4649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C54104"/>
    <w:multiLevelType w:val="hybridMultilevel"/>
    <w:tmpl w:val="E5DCB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32162B9"/>
    <w:multiLevelType w:val="hybridMultilevel"/>
    <w:tmpl w:val="35CC4586"/>
    <w:lvl w:ilvl="0" w:tplc="7E447C80">
      <w:start w:val="1"/>
      <w:numFmt w:val="decimal"/>
      <w:lvlText w:val="%1.1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C074E6"/>
    <w:multiLevelType w:val="multilevel"/>
    <w:tmpl w:val="F9F4CD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5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86CDB"/>
    <w:multiLevelType w:val="hybridMultilevel"/>
    <w:tmpl w:val="996C3D08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A58A7"/>
    <w:multiLevelType w:val="multilevel"/>
    <w:tmpl w:val="956E45A0"/>
    <w:lvl w:ilvl="0">
      <w:start w:val="3"/>
      <w:numFmt w:val="decimal"/>
      <w:lvlText w:val="%1.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0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F66EC"/>
    <w:multiLevelType w:val="multilevel"/>
    <w:tmpl w:val="F09E8900"/>
    <w:lvl w:ilvl="0">
      <w:start w:val="3"/>
      <w:numFmt w:val="decimal"/>
      <w:lvlText w:val="%1.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7" w15:restartNumberingAfterBreak="0">
    <w:nsid w:val="71C317ED"/>
    <w:multiLevelType w:val="multilevel"/>
    <w:tmpl w:val="1C5097C4"/>
    <w:lvl w:ilvl="0">
      <w:start w:val="3"/>
      <w:numFmt w:val="decimal"/>
      <w:lvlText w:val="%1.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lvl w:ilvl="0">
        <w:start w:val="7"/>
        <w:numFmt w:val="upperRoman"/>
        <w:pStyle w:val="Ttulo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2"/>
  </w:num>
  <w:num w:numId="3">
    <w:abstractNumId w:val="24"/>
  </w:num>
  <w:num w:numId="4">
    <w:abstractNumId w:val="28"/>
  </w:num>
  <w:num w:numId="5">
    <w:abstractNumId w:val="5"/>
  </w:num>
  <w:num w:numId="6">
    <w:abstractNumId w:val="11"/>
  </w:num>
  <w:num w:numId="7">
    <w:abstractNumId w:val="25"/>
  </w:num>
  <w:num w:numId="8">
    <w:abstractNumId w:val="16"/>
  </w:num>
  <w:num w:numId="9">
    <w:abstractNumId w:val="18"/>
  </w:num>
  <w:num w:numId="10">
    <w:abstractNumId w:val="30"/>
  </w:num>
  <w:num w:numId="11">
    <w:abstractNumId w:val="7"/>
  </w:num>
  <w:num w:numId="12">
    <w:abstractNumId w:val="22"/>
  </w:num>
  <w:num w:numId="13">
    <w:abstractNumId w:val="8"/>
  </w:num>
  <w:num w:numId="14">
    <w:abstractNumId w:val="20"/>
  </w:num>
  <w:num w:numId="15">
    <w:abstractNumId w:val="15"/>
  </w:num>
  <w:num w:numId="16">
    <w:abstractNumId w:val="29"/>
  </w:num>
  <w:num w:numId="17">
    <w:abstractNumId w:val="21"/>
  </w:num>
  <w:num w:numId="18">
    <w:abstractNumId w:val="0"/>
  </w:num>
  <w:num w:numId="19">
    <w:abstractNumId w:val="9"/>
  </w:num>
  <w:num w:numId="20">
    <w:abstractNumId w:val="23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26"/>
  </w:num>
  <w:num w:numId="26">
    <w:abstractNumId w:val="19"/>
  </w:num>
  <w:num w:numId="27">
    <w:abstractNumId w:val="27"/>
  </w:num>
  <w:num w:numId="28">
    <w:abstractNumId w:val="13"/>
  </w:num>
  <w:num w:numId="29">
    <w:abstractNumId w:val="10"/>
  </w:num>
  <w:num w:numId="30">
    <w:abstractNumId w:val="6"/>
  </w:num>
  <w:num w:numId="3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4095"/>
    <w:rsid w:val="000062C0"/>
    <w:rsid w:val="00006536"/>
    <w:rsid w:val="000079F0"/>
    <w:rsid w:val="000101BC"/>
    <w:rsid w:val="00011E0A"/>
    <w:rsid w:val="00013510"/>
    <w:rsid w:val="0001391C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57702"/>
    <w:rsid w:val="00062F87"/>
    <w:rsid w:val="0006371D"/>
    <w:rsid w:val="0007725E"/>
    <w:rsid w:val="00077642"/>
    <w:rsid w:val="00081B06"/>
    <w:rsid w:val="000863CD"/>
    <w:rsid w:val="00096B36"/>
    <w:rsid w:val="00097A17"/>
    <w:rsid w:val="000A1B0A"/>
    <w:rsid w:val="000B2963"/>
    <w:rsid w:val="000B6AC9"/>
    <w:rsid w:val="000C661F"/>
    <w:rsid w:val="000D638A"/>
    <w:rsid w:val="000D75AC"/>
    <w:rsid w:val="000E3386"/>
    <w:rsid w:val="000E3E7D"/>
    <w:rsid w:val="000E4BF6"/>
    <w:rsid w:val="000E6A47"/>
    <w:rsid w:val="00103141"/>
    <w:rsid w:val="0010399B"/>
    <w:rsid w:val="00104E24"/>
    <w:rsid w:val="00105F35"/>
    <w:rsid w:val="00110644"/>
    <w:rsid w:val="00112D48"/>
    <w:rsid w:val="001443A7"/>
    <w:rsid w:val="00145315"/>
    <w:rsid w:val="00157B6A"/>
    <w:rsid w:val="001604D8"/>
    <w:rsid w:val="0016491B"/>
    <w:rsid w:val="00164B22"/>
    <w:rsid w:val="00165A2B"/>
    <w:rsid w:val="00175E81"/>
    <w:rsid w:val="00185193"/>
    <w:rsid w:val="001908CD"/>
    <w:rsid w:val="00191621"/>
    <w:rsid w:val="001975BB"/>
    <w:rsid w:val="001A23AA"/>
    <w:rsid w:val="001A5D7C"/>
    <w:rsid w:val="001B23FD"/>
    <w:rsid w:val="001B7FBE"/>
    <w:rsid w:val="001C1295"/>
    <w:rsid w:val="001C3E39"/>
    <w:rsid w:val="001D1CE3"/>
    <w:rsid w:val="001D334E"/>
    <w:rsid w:val="001D35E7"/>
    <w:rsid w:val="001D49F4"/>
    <w:rsid w:val="001D6AAC"/>
    <w:rsid w:val="001D7A46"/>
    <w:rsid w:val="001E5183"/>
    <w:rsid w:val="001F6F72"/>
    <w:rsid w:val="0021053A"/>
    <w:rsid w:val="00224E0D"/>
    <w:rsid w:val="00237A1B"/>
    <w:rsid w:val="002415AF"/>
    <w:rsid w:val="002431CC"/>
    <w:rsid w:val="00244768"/>
    <w:rsid w:val="00254109"/>
    <w:rsid w:val="002641DC"/>
    <w:rsid w:val="00274BD6"/>
    <w:rsid w:val="00276A9E"/>
    <w:rsid w:val="00285BDC"/>
    <w:rsid w:val="0029002D"/>
    <w:rsid w:val="00291D54"/>
    <w:rsid w:val="002924FC"/>
    <w:rsid w:val="0029475F"/>
    <w:rsid w:val="002A15E8"/>
    <w:rsid w:val="002A67D3"/>
    <w:rsid w:val="002A690E"/>
    <w:rsid w:val="002B5398"/>
    <w:rsid w:val="002C36C4"/>
    <w:rsid w:val="002D51B1"/>
    <w:rsid w:val="002E5200"/>
    <w:rsid w:val="002F22DD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4340A"/>
    <w:rsid w:val="00352069"/>
    <w:rsid w:val="00355C6B"/>
    <w:rsid w:val="0036059A"/>
    <w:rsid w:val="00360E4E"/>
    <w:rsid w:val="00361C65"/>
    <w:rsid w:val="003650FC"/>
    <w:rsid w:val="003713EB"/>
    <w:rsid w:val="003753A4"/>
    <w:rsid w:val="00375D34"/>
    <w:rsid w:val="00383D9C"/>
    <w:rsid w:val="00397DE5"/>
    <w:rsid w:val="003A1217"/>
    <w:rsid w:val="003A5E84"/>
    <w:rsid w:val="003A677D"/>
    <w:rsid w:val="003B3A0F"/>
    <w:rsid w:val="003B3E9D"/>
    <w:rsid w:val="003B41FB"/>
    <w:rsid w:val="003B5DDA"/>
    <w:rsid w:val="003C4680"/>
    <w:rsid w:val="003C7827"/>
    <w:rsid w:val="003D1B1C"/>
    <w:rsid w:val="003D49BA"/>
    <w:rsid w:val="003D4C58"/>
    <w:rsid w:val="003E000E"/>
    <w:rsid w:val="003E706D"/>
    <w:rsid w:val="004038F6"/>
    <w:rsid w:val="00407363"/>
    <w:rsid w:val="00427F6D"/>
    <w:rsid w:val="00437E50"/>
    <w:rsid w:val="00440B9E"/>
    <w:rsid w:val="00446C1C"/>
    <w:rsid w:val="00463D20"/>
    <w:rsid w:val="00464AA5"/>
    <w:rsid w:val="00471D08"/>
    <w:rsid w:val="0048530E"/>
    <w:rsid w:val="004877B5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294B"/>
    <w:rsid w:val="004E36C4"/>
    <w:rsid w:val="004E3D81"/>
    <w:rsid w:val="00502116"/>
    <w:rsid w:val="00507612"/>
    <w:rsid w:val="005222F0"/>
    <w:rsid w:val="00524057"/>
    <w:rsid w:val="005367D1"/>
    <w:rsid w:val="00540A03"/>
    <w:rsid w:val="005452D2"/>
    <w:rsid w:val="0054726D"/>
    <w:rsid w:val="00552BE5"/>
    <w:rsid w:val="005538EE"/>
    <w:rsid w:val="00555AAF"/>
    <w:rsid w:val="00557132"/>
    <w:rsid w:val="00566E12"/>
    <w:rsid w:val="005672AD"/>
    <w:rsid w:val="00572881"/>
    <w:rsid w:val="005733AC"/>
    <w:rsid w:val="00580AD3"/>
    <w:rsid w:val="00582034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61885"/>
    <w:rsid w:val="0066426E"/>
    <w:rsid w:val="00667459"/>
    <w:rsid w:val="0068443A"/>
    <w:rsid w:val="0068578C"/>
    <w:rsid w:val="006906DD"/>
    <w:rsid w:val="00695819"/>
    <w:rsid w:val="00695A8D"/>
    <w:rsid w:val="006A460C"/>
    <w:rsid w:val="006A5668"/>
    <w:rsid w:val="006A5E70"/>
    <w:rsid w:val="006B3C98"/>
    <w:rsid w:val="006B3D67"/>
    <w:rsid w:val="006B692F"/>
    <w:rsid w:val="006C5379"/>
    <w:rsid w:val="006C7D62"/>
    <w:rsid w:val="006D4842"/>
    <w:rsid w:val="006E5FAF"/>
    <w:rsid w:val="006E66C6"/>
    <w:rsid w:val="006F07C8"/>
    <w:rsid w:val="00703C0C"/>
    <w:rsid w:val="00704FC8"/>
    <w:rsid w:val="00706A2F"/>
    <w:rsid w:val="00713B2C"/>
    <w:rsid w:val="00713B65"/>
    <w:rsid w:val="007201AD"/>
    <w:rsid w:val="00731AD0"/>
    <w:rsid w:val="007347AE"/>
    <w:rsid w:val="007368CF"/>
    <w:rsid w:val="00747924"/>
    <w:rsid w:val="00760A36"/>
    <w:rsid w:val="00761781"/>
    <w:rsid w:val="00765C12"/>
    <w:rsid w:val="00765F9A"/>
    <w:rsid w:val="007724E2"/>
    <w:rsid w:val="00774B15"/>
    <w:rsid w:val="00781C18"/>
    <w:rsid w:val="00782A94"/>
    <w:rsid w:val="007832A5"/>
    <w:rsid w:val="00785B9E"/>
    <w:rsid w:val="0079107A"/>
    <w:rsid w:val="00795235"/>
    <w:rsid w:val="0079595A"/>
    <w:rsid w:val="007A3BBA"/>
    <w:rsid w:val="007B03B7"/>
    <w:rsid w:val="007B23D3"/>
    <w:rsid w:val="007B30E0"/>
    <w:rsid w:val="007C03C5"/>
    <w:rsid w:val="007C1FA6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274B9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4E5F"/>
    <w:rsid w:val="008557A0"/>
    <w:rsid w:val="00863FB2"/>
    <w:rsid w:val="00865D72"/>
    <w:rsid w:val="00866DD0"/>
    <w:rsid w:val="00870E6E"/>
    <w:rsid w:val="008734A4"/>
    <w:rsid w:val="00883636"/>
    <w:rsid w:val="0088532E"/>
    <w:rsid w:val="00891322"/>
    <w:rsid w:val="008947A0"/>
    <w:rsid w:val="008A3AF7"/>
    <w:rsid w:val="008B05E6"/>
    <w:rsid w:val="008B43DC"/>
    <w:rsid w:val="008B702C"/>
    <w:rsid w:val="008C05E0"/>
    <w:rsid w:val="008C3DFB"/>
    <w:rsid w:val="008D00BA"/>
    <w:rsid w:val="008D275E"/>
    <w:rsid w:val="008D279C"/>
    <w:rsid w:val="008D2AAB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271B4"/>
    <w:rsid w:val="00931BCE"/>
    <w:rsid w:val="00932FBA"/>
    <w:rsid w:val="00940F8B"/>
    <w:rsid w:val="00942362"/>
    <w:rsid w:val="00942E7B"/>
    <w:rsid w:val="00946D10"/>
    <w:rsid w:val="009535EE"/>
    <w:rsid w:val="00957C62"/>
    <w:rsid w:val="009607E2"/>
    <w:rsid w:val="0097413F"/>
    <w:rsid w:val="009838F2"/>
    <w:rsid w:val="00986AFA"/>
    <w:rsid w:val="00991342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D05A5"/>
    <w:rsid w:val="009E1873"/>
    <w:rsid w:val="009E5745"/>
    <w:rsid w:val="009E6C8D"/>
    <w:rsid w:val="009F3079"/>
    <w:rsid w:val="00A0200B"/>
    <w:rsid w:val="00A13C1E"/>
    <w:rsid w:val="00A244BE"/>
    <w:rsid w:val="00A25089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3CD6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150A"/>
    <w:rsid w:val="00AF712D"/>
    <w:rsid w:val="00B00B96"/>
    <w:rsid w:val="00B07B49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D405D"/>
    <w:rsid w:val="00BE5A41"/>
    <w:rsid w:val="00BF3662"/>
    <w:rsid w:val="00BF5FE7"/>
    <w:rsid w:val="00C0619B"/>
    <w:rsid w:val="00C0695D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6D8A"/>
    <w:rsid w:val="00C679DA"/>
    <w:rsid w:val="00C70E0D"/>
    <w:rsid w:val="00C733E0"/>
    <w:rsid w:val="00C74D38"/>
    <w:rsid w:val="00C766AF"/>
    <w:rsid w:val="00C90D8A"/>
    <w:rsid w:val="00CA1C5A"/>
    <w:rsid w:val="00CA39F7"/>
    <w:rsid w:val="00CA6584"/>
    <w:rsid w:val="00CB3A16"/>
    <w:rsid w:val="00CC073F"/>
    <w:rsid w:val="00CC37EE"/>
    <w:rsid w:val="00CC663E"/>
    <w:rsid w:val="00CD2411"/>
    <w:rsid w:val="00CD3382"/>
    <w:rsid w:val="00CD3B94"/>
    <w:rsid w:val="00CD4481"/>
    <w:rsid w:val="00CD6DAE"/>
    <w:rsid w:val="00CE4C1C"/>
    <w:rsid w:val="00CE6C04"/>
    <w:rsid w:val="00CF1816"/>
    <w:rsid w:val="00CF5B58"/>
    <w:rsid w:val="00D011FB"/>
    <w:rsid w:val="00D068E0"/>
    <w:rsid w:val="00D10068"/>
    <w:rsid w:val="00D11EF3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6612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A1EF5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E02007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73C3"/>
    <w:rsid w:val="00EC3C49"/>
    <w:rsid w:val="00EE2F11"/>
    <w:rsid w:val="00EE360F"/>
    <w:rsid w:val="00EF448A"/>
    <w:rsid w:val="00EF6471"/>
    <w:rsid w:val="00EF7A4E"/>
    <w:rsid w:val="00F055AC"/>
    <w:rsid w:val="00F10E16"/>
    <w:rsid w:val="00F16D78"/>
    <w:rsid w:val="00F32813"/>
    <w:rsid w:val="00F337BA"/>
    <w:rsid w:val="00F36691"/>
    <w:rsid w:val="00F36849"/>
    <w:rsid w:val="00F37E41"/>
    <w:rsid w:val="00F44778"/>
    <w:rsid w:val="00F44D20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5B2B04-D426-45C7-BDEB-DD1359F8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63D20"/>
    <w:rPr>
      <w:rFonts w:ascii="Arial" w:hAnsi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ntranetcmpl/SIG/RegistrosCMPL/Tecnica/EquiposDeMedicion/Relaci&#243;n%20de%20equipos%20CMPL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tranetcmpl/SIG/RegistrosCMPL/Tecnica/EquiposDeMedicion/Relaci&#243;n%20de%20equipos%20CMPL.do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tranetcmpl/SIG/Administrativa/Procedimiento%20&#225;rea%20administrativa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994A0-4742-4527-AA49-2CA17983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333</TotalTime>
  <Pages>8</Pages>
  <Words>1448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PSebastián</cp:lastModifiedBy>
  <cp:revision>11</cp:revision>
  <cp:lastPrinted>2014-02-24T19:09:00Z</cp:lastPrinted>
  <dcterms:created xsi:type="dcterms:W3CDTF">2016-02-18T16:35:00Z</dcterms:created>
  <dcterms:modified xsi:type="dcterms:W3CDTF">2016-02-25T17:43:00Z</dcterms:modified>
</cp:coreProperties>
</file>