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A77859" w:rsidRDefault="008F31D6" w:rsidP="006A5668">
            <w:pPr>
              <w:spacing w:line="360" w:lineRule="auto"/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u w:val="single"/>
                <w:lang w:val="es-MX"/>
              </w:rPr>
            </w:pPr>
            <w:bookmarkStart w:id="0" w:name="OLE_LINK1"/>
            <w:bookmarkStart w:id="1" w:name="OLE_LINK2"/>
            <w:bookmarkStart w:id="2" w:name="_GoBack"/>
            <w:bookmarkEnd w:id="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112D48" w:rsidRDefault="00863FB2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Procedimiento </w:t>
            </w:r>
            <w:r w:rsidR="00CB3A16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de </w:t>
            </w:r>
            <w:r w:rsidR="00463D2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C</w:t>
            </w:r>
            <w:r w:rsidR="00112D48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o</w:t>
            </w:r>
            <w:r w:rsidR="00463D2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ntrol</w:t>
            </w:r>
            <w:r w:rsidR="00112D48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de</w:t>
            </w:r>
          </w:p>
          <w:p w:rsidR="006511AD" w:rsidRPr="00285BDC" w:rsidRDefault="00112D48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</w:t>
            </w:r>
            <w:r w:rsidR="00463D2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Equipos</w:t>
            </w: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de </w:t>
            </w:r>
            <w:r w:rsidR="00463D2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Medición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default" r:id="rId8"/>
          <w:footerReference w:type="even" r:id="rId9"/>
          <w:footerReference w:type="default" r:id="rId10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/>
    <w:p w:rsidR="00F32813" w:rsidRDefault="00F32813"/>
    <w:p w:rsidR="00BF3662" w:rsidRPr="00BF3662" w:rsidRDefault="00BF3662" w:rsidP="00BF3662"/>
    <w:p w:rsidR="009C3097" w:rsidRPr="00BF3662" w:rsidRDefault="00285BDC" w:rsidP="00285BD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Objetivo</w:t>
      </w:r>
    </w:p>
    <w:p w:rsidR="00CC073F" w:rsidRPr="00463D20" w:rsidRDefault="00285BDC" w:rsidP="00285BDC">
      <w:pPr>
        <w:spacing w:line="360" w:lineRule="auto"/>
        <w:ind w:left="709" w:right="335" w:hanging="425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1.</w:t>
      </w:r>
      <w:r w:rsidRPr="00463D20">
        <w:rPr>
          <w:rFonts w:cs="Arial"/>
          <w:sz w:val="24"/>
          <w:szCs w:val="24"/>
        </w:rPr>
        <w:t xml:space="preserve">1 </w:t>
      </w:r>
      <w:r w:rsidR="00463D20" w:rsidRPr="00463D20">
        <w:rPr>
          <w:sz w:val="24"/>
          <w:szCs w:val="24"/>
        </w:rPr>
        <w:t>Definir los mecanismos para garantizar que todos los equipos de medición y de laboratorio usado en el CMPL+L tienen la conformidad a los requerimientos del producto o proceso y son controlados manteniendo sus características metrológicas</w:t>
      </w:r>
      <w:r w:rsidRPr="00463D20">
        <w:rPr>
          <w:rFonts w:cs="Arial"/>
          <w:sz w:val="24"/>
          <w:szCs w:val="24"/>
        </w:rPr>
        <w:t>.</w:t>
      </w:r>
    </w:p>
    <w:p w:rsidR="00BF3662" w:rsidRDefault="00BF3662" w:rsidP="00BF3662">
      <w:pPr>
        <w:rPr>
          <w:color w:val="000000"/>
        </w:rPr>
      </w:pPr>
      <w:bookmarkStart w:id="3" w:name="_Toc331496441"/>
      <w:bookmarkStart w:id="4" w:name="_Toc333823422"/>
      <w:bookmarkEnd w:id="0"/>
      <w:bookmarkEnd w:id="1"/>
    </w:p>
    <w:p w:rsidR="00BF3662" w:rsidRPr="00BF3662" w:rsidRDefault="00BF3662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291D54" w:rsidRPr="00BF3662" w:rsidRDefault="00291D54" w:rsidP="00BF366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A</w:t>
      </w:r>
      <w:r w:rsidR="00285BDC" w:rsidRPr="00BF3662">
        <w:rPr>
          <w:b/>
          <w:smallCaps/>
          <w:color w:val="000000"/>
          <w:sz w:val="24"/>
          <w:u w:val="single"/>
        </w:rPr>
        <w:t>lcance</w:t>
      </w:r>
      <w:bookmarkEnd w:id="3"/>
      <w:bookmarkEnd w:id="4"/>
    </w:p>
    <w:p w:rsidR="002415AF" w:rsidRPr="00463D20" w:rsidRDefault="00285BDC" w:rsidP="00285BDC">
      <w:pPr>
        <w:spacing w:line="360" w:lineRule="auto"/>
        <w:ind w:left="709" w:right="335" w:hanging="425"/>
        <w:jc w:val="both"/>
        <w:rPr>
          <w:rFonts w:cs="Arial"/>
          <w:color w:val="FF0000"/>
          <w:sz w:val="24"/>
          <w:szCs w:val="24"/>
        </w:rPr>
      </w:pPr>
      <w:r>
        <w:rPr>
          <w:sz w:val="24"/>
          <w:szCs w:val="22"/>
        </w:rPr>
        <w:t xml:space="preserve">2.1 </w:t>
      </w:r>
      <w:r w:rsidRPr="00463D20">
        <w:rPr>
          <w:sz w:val="24"/>
          <w:szCs w:val="24"/>
        </w:rPr>
        <w:t>Este procedimiento aplica</w:t>
      </w:r>
      <w:r w:rsidR="00463D20" w:rsidRPr="00463D20">
        <w:rPr>
          <w:sz w:val="24"/>
          <w:szCs w:val="24"/>
        </w:rPr>
        <w:t xml:space="preserve"> a</w:t>
      </w:r>
      <w:r w:rsidRPr="00463D20">
        <w:rPr>
          <w:sz w:val="24"/>
          <w:szCs w:val="24"/>
        </w:rPr>
        <w:t xml:space="preserve"> </w:t>
      </w:r>
      <w:r w:rsidR="00463D20" w:rsidRPr="00463D20">
        <w:rPr>
          <w:sz w:val="24"/>
          <w:szCs w:val="24"/>
        </w:rPr>
        <w:t>todos lo equipos de medición del CMP+L usados en los diagnósticos de producción más limpia, eficiencia energética y servicios de laboratorio</w:t>
      </w:r>
      <w:r w:rsidRPr="00463D20">
        <w:rPr>
          <w:sz w:val="24"/>
          <w:szCs w:val="24"/>
        </w:rPr>
        <w:t>.</w:t>
      </w:r>
    </w:p>
    <w:p w:rsidR="003C7827" w:rsidRPr="003C7827" w:rsidRDefault="003C7827" w:rsidP="00834465">
      <w:pPr>
        <w:ind w:left="142" w:right="51"/>
        <w:jc w:val="both"/>
        <w:rPr>
          <w:rFonts w:cs="Arial"/>
          <w:sz w:val="24"/>
          <w:szCs w:val="24"/>
        </w:rPr>
      </w:pPr>
    </w:p>
    <w:p w:rsidR="00383D9C" w:rsidRDefault="00383D9C" w:rsidP="00CA39F7">
      <w:pPr>
        <w:ind w:left="142" w:right="335"/>
        <w:rPr>
          <w:rFonts w:cs="Arial"/>
          <w:sz w:val="24"/>
          <w:szCs w:val="24"/>
        </w:rPr>
      </w:pPr>
    </w:p>
    <w:p w:rsidR="00291D54" w:rsidRDefault="00291D54" w:rsidP="00383D9C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BF3662" w:rsidRDefault="00BF3662" w:rsidP="00383D9C">
      <w:pPr>
        <w:rPr>
          <w:rFonts w:cs="Arial"/>
          <w:sz w:val="24"/>
        </w:rPr>
      </w:pPr>
    </w:p>
    <w:p w:rsidR="008521FD" w:rsidRDefault="00285BDC" w:rsidP="00285BD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Responsabilidades</w:t>
      </w:r>
      <w:r w:rsidR="00BF3662" w:rsidRPr="00BF3662">
        <w:rPr>
          <w:b/>
          <w:smallCaps/>
          <w:color w:val="000000"/>
          <w:sz w:val="24"/>
          <w:u w:val="single"/>
        </w:rPr>
        <w:t>:</w:t>
      </w:r>
    </w:p>
    <w:p w:rsidR="00463D20" w:rsidRDefault="00463D20" w:rsidP="00463D20">
      <w:pPr>
        <w:spacing w:before="100" w:beforeAutospacing="1" w:after="100" w:afterAutospacing="1" w:line="360" w:lineRule="auto"/>
        <w:ind w:left="704" w:right="210" w:hanging="420"/>
        <w:jc w:val="both"/>
        <w:rPr>
          <w:sz w:val="24"/>
          <w:szCs w:val="24"/>
        </w:rPr>
      </w:pPr>
      <w:r w:rsidRPr="00463D20">
        <w:rPr>
          <w:smallCaps/>
          <w:color w:val="000000"/>
          <w:sz w:val="24"/>
        </w:rPr>
        <w:t>3.1</w:t>
      </w:r>
      <w:r>
        <w:rPr>
          <w:smallCaps/>
          <w:color w:val="000000"/>
          <w:sz w:val="24"/>
        </w:rPr>
        <w:tab/>
      </w:r>
      <w:r>
        <w:rPr>
          <w:smallCaps/>
          <w:color w:val="000000"/>
          <w:sz w:val="24"/>
        </w:rPr>
        <w:tab/>
      </w:r>
      <w:r w:rsidRPr="00463D20">
        <w:rPr>
          <w:sz w:val="24"/>
          <w:szCs w:val="24"/>
        </w:rPr>
        <w:t>La Subdirección Técnica  y la Jefatura de Laboratorio son los responsables de elaborar, actualizar, divulgar y vigilar el cumplimiento del presente procedimiento.</w:t>
      </w:r>
    </w:p>
    <w:p w:rsidR="00463D20" w:rsidRDefault="00463D20" w:rsidP="00463D20">
      <w:pPr>
        <w:spacing w:before="100" w:beforeAutospacing="1" w:after="100" w:afterAutospacing="1" w:line="360" w:lineRule="auto"/>
        <w:ind w:left="704" w:right="210" w:hanging="420"/>
        <w:jc w:val="both"/>
        <w:rPr>
          <w:sz w:val="24"/>
          <w:szCs w:val="24"/>
        </w:rPr>
      </w:pPr>
      <w:r>
        <w:rPr>
          <w:sz w:val="24"/>
          <w:szCs w:val="24"/>
        </w:rPr>
        <w:t>3.2</w:t>
      </w:r>
      <w:r>
        <w:rPr>
          <w:sz w:val="24"/>
          <w:szCs w:val="24"/>
        </w:rPr>
        <w:tab/>
      </w:r>
      <w:r w:rsidRPr="00463D20">
        <w:rPr>
          <w:sz w:val="24"/>
          <w:szCs w:val="24"/>
        </w:rPr>
        <w:t>Toda persona que requiera utilizar un equipo de medición deberá apegarse a éste procedimiento</w:t>
      </w:r>
      <w:r>
        <w:rPr>
          <w:sz w:val="24"/>
          <w:szCs w:val="24"/>
        </w:rPr>
        <w:t>.</w:t>
      </w:r>
    </w:p>
    <w:p w:rsidR="001D1CE3" w:rsidRPr="00463D20" w:rsidRDefault="00463D20" w:rsidP="00463D20">
      <w:pPr>
        <w:spacing w:before="100" w:beforeAutospacing="1" w:after="100" w:afterAutospacing="1" w:line="360" w:lineRule="auto"/>
        <w:ind w:left="704" w:right="210" w:hanging="420"/>
        <w:jc w:val="both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</w:r>
      <w:r w:rsidRPr="00463D20">
        <w:rPr>
          <w:sz w:val="24"/>
          <w:szCs w:val="24"/>
        </w:rPr>
        <w:t>La Jefatura de Servicios Administrativos y Técnicos es la responsable de registrar el equipo nuevo en el programa de cómputo (software), denominado “Sistema Institucional de Control Patrimonial” (SICPAT) en el cual se registran y controlan todos aquellos movimientos del inventario de activos fijos propiedad del CMP+L</w:t>
      </w:r>
    </w:p>
    <w:p w:rsidR="00604393" w:rsidRDefault="00604393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604393" w:rsidRPr="00BF3662" w:rsidRDefault="00604393" w:rsidP="00604393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Definiciones</w:t>
      </w:r>
    </w:p>
    <w:p w:rsidR="00463D20" w:rsidRPr="00463D20" w:rsidRDefault="00211521" w:rsidP="00463D20">
      <w:pPr>
        <w:pStyle w:val="Prrafodelista"/>
        <w:spacing w:before="100" w:beforeAutospacing="1" w:after="100" w:afterAutospacing="1"/>
        <w:ind w:left="644"/>
        <w:jc w:val="both"/>
        <w:rPr>
          <w:sz w:val="24"/>
          <w:szCs w:val="24"/>
        </w:rPr>
      </w:pPr>
      <w:hyperlink r:id="rId11" w:anchor="PROCESO DE MEDICIÓN" w:history="1">
        <w:r w:rsidR="00463D20" w:rsidRPr="00463D20">
          <w:rPr>
            <w:rFonts w:cs="Arial"/>
            <w:sz w:val="24"/>
            <w:szCs w:val="24"/>
            <w:u w:val="single"/>
            <w:lang w:eastAsia="es-MX"/>
          </w:rPr>
          <w:t>Proceso de medición</w:t>
        </w:r>
      </w:hyperlink>
      <w:r w:rsidR="00463D20" w:rsidRPr="00463D20">
        <w:rPr>
          <w:rFonts w:cs="Arial"/>
          <w:sz w:val="24"/>
          <w:szCs w:val="24"/>
          <w:lang w:eastAsia="es-MX"/>
        </w:rPr>
        <w:t xml:space="preserve">, </w:t>
      </w:r>
      <w:hyperlink r:id="rId12" w:anchor="EQUIPO DE MEDICIÓN" w:history="1">
        <w:r w:rsidR="00463D20" w:rsidRPr="00463D20">
          <w:rPr>
            <w:rFonts w:cs="Arial"/>
            <w:sz w:val="24"/>
            <w:szCs w:val="24"/>
            <w:u w:val="single"/>
            <w:lang w:eastAsia="es-MX"/>
          </w:rPr>
          <w:t>equipo de medición</w:t>
        </w:r>
      </w:hyperlink>
      <w:r w:rsidR="00463D20" w:rsidRPr="00463D20">
        <w:rPr>
          <w:rFonts w:cs="Arial"/>
          <w:sz w:val="24"/>
          <w:szCs w:val="24"/>
          <w:lang w:eastAsia="es-MX"/>
        </w:rPr>
        <w:t xml:space="preserve">, </w:t>
      </w:r>
      <w:hyperlink r:id="rId13" w:anchor="CARACTERÍSTICA METROLÓGICA" w:history="1">
        <w:r w:rsidR="00463D20" w:rsidRPr="00463D20">
          <w:rPr>
            <w:rFonts w:cs="Arial"/>
            <w:sz w:val="24"/>
            <w:szCs w:val="24"/>
            <w:u w:val="single"/>
            <w:lang w:eastAsia="es-MX"/>
          </w:rPr>
          <w:t>característica metrológica</w:t>
        </w:r>
      </w:hyperlink>
      <w:r w:rsidR="00463D20" w:rsidRPr="00463D20">
        <w:rPr>
          <w:rFonts w:cs="Arial"/>
          <w:sz w:val="24"/>
          <w:szCs w:val="24"/>
          <w:lang w:eastAsia="es-MX"/>
        </w:rPr>
        <w:t xml:space="preserve">, </w:t>
      </w:r>
      <w:hyperlink r:id="rId14" w:anchor="VERIFICACIÓN" w:history="1">
        <w:r w:rsidR="00463D20" w:rsidRPr="00463D20">
          <w:rPr>
            <w:rFonts w:cs="Arial"/>
            <w:sz w:val="24"/>
            <w:szCs w:val="24"/>
            <w:u w:val="single"/>
            <w:lang w:eastAsia="es-MX"/>
          </w:rPr>
          <w:t>verificación</w:t>
        </w:r>
      </w:hyperlink>
      <w:r w:rsidR="00463D20" w:rsidRPr="00463D20">
        <w:rPr>
          <w:rFonts w:cs="Arial"/>
          <w:sz w:val="24"/>
          <w:szCs w:val="24"/>
          <w:lang w:eastAsia="es-MX"/>
        </w:rPr>
        <w:t xml:space="preserve">, </w:t>
      </w:r>
      <w:hyperlink r:id="rId15" w:anchor="VALIDACIÓN" w:history="1">
        <w:r w:rsidR="00463D20" w:rsidRPr="00463D20">
          <w:rPr>
            <w:rFonts w:cs="Arial"/>
            <w:sz w:val="24"/>
            <w:szCs w:val="24"/>
            <w:u w:val="single"/>
            <w:lang w:eastAsia="es-MX"/>
          </w:rPr>
          <w:t>validación</w:t>
        </w:r>
      </w:hyperlink>
    </w:p>
    <w:p w:rsidR="00EF7A4E" w:rsidRPr="008521FD" w:rsidRDefault="00EF7A4E" w:rsidP="00EF7A4E">
      <w:pPr>
        <w:pStyle w:val="Prrafodelista"/>
        <w:ind w:left="426"/>
        <w:jc w:val="both"/>
        <w:rPr>
          <w:rFonts w:cs="Arial"/>
          <w:sz w:val="24"/>
          <w:szCs w:val="24"/>
        </w:rPr>
      </w:pPr>
    </w:p>
    <w:p w:rsidR="00050107" w:rsidRDefault="00050107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BF3662" w:rsidRDefault="00BF3662">
      <w:pPr>
        <w:rPr>
          <w:rFonts w:cs="Arial"/>
          <w:b/>
          <w:sz w:val="24"/>
          <w:szCs w:val="24"/>
        </w:rPr>
      </w:pPr>
    </w:p>
    <w:p w:rsidR="00604393" w:rsidRPr="00BF3662" w:rsidRDefault="00604393" w:rsidP="00604393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Observaciones Generales</w:t>
      </w:r>
    </w:p>
    <w:p w:rsidR="00B66C68" w:rsidRDefault="00B66C68" w:rsidP="00B66C68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lang w:val="es-ES"/>
        </w:rPr>
      </w:pPr>
    </w:p>
    <w:p w:rsidR="00463D20" w:rsidRPr="00CF1816" w:rsidRDefault="00CF1816" w:rsidP="00CF1816">
      <w:pPr>
        <w:spacing w:before="100" w:beforeAutospacing="1" w:after="100" w:afterAutospacing="1" w:line="360" w:lineRule="auto"/>
        <w:ind w:left="644" w:right="210" w:hanging="360"/>
        <w:jc w:val="both"/>
        <w:rPr>
          <w:sz w:val="24"/>
          <w:szCs w:val="24"/>
        </w:rPr>
      </w:pPr>
      <w:r>
        <w:t>5.1</w:t>
      </w:r>
      <w:r>
        <w:tab/>
      </w:r>
      <w:r>
        <w:tab/>
      </w:r>
      <w:r w:rsidR="00463D20" w:rsidRPr="00CF1816">
        <w:rPr>
          <w:sz w:val="24"/>
          <w:szCs w:val="24"/>
        </w:rPr>
        <w:t xml:space="preserve">Toda persona que requiera usar el equipo fuera de las instalaciones del CMP+L deberá llenar un </w:t>
      </w:r>
      <w:r w:rsidR="00463D20" w:rsidRPr="00CF1816">
        <w:rPr>
          <w:sz w:val="24"/>
          <w:szCs w:val="24"/>
          <w:u w:val="single"/>
        </w:rPr>
        <w:t>vale de resguardo,</w:t>
      </w:r>
      <w:r w:rsidR="00463D20" w:rsidRPr="00CF1816">
        <w:rPr>
          <w:sz w:val="24"/>
          <w:szCs w:val="24"/>
        </w:rPr>
        <w:t xml:space="preserve"> solicitar autorización de la Subdirección Técnica y  notificar al área administrativa. También deberá verificar la funcionalidad del equipo para su adecuado uso</w:t>
      </w:r>
      <w:r w:rsidRPr="00CF1816">
        <w:rPr>
          <w:sz w:val="24"/>
          <w:szCs w:val="24"/>
        </w:rPr>
        <w:t>.</w:t>
      </w:r>
    </w:p>
    <w:p w:rsidR="00CF1816" w:rsidRPr="00CF1816" w:rsidRDefault="00CF1816" w:rsidP="00CF1816">
      <w:pPr>
        <w:spacing w:before="100" w:beforeAutospacing="1" w:after="100" w:afterAutospacing="1" w:line="360" w:lineRule="auto"/>
        <w:ind w:left="704" w:right="210" w:hanging="360"/>
        <w:jc w:val="both"/>
        <w:rPr>
          <w:sz w:val="24"/>
          <w:szCs w:val="24"/>
        </w:rPr>
      </w:pPr>
      <w:r w:rsidRPr="00CF1816">
        <w:rPr>
          <w:sz w:val="24"/>
          <w:szCs w:val="24"/>
        </w:rPr>
        <w:t xml:space="preserve">5.2 Cuando se requiera un equipo de medición especial para el desarrollo de un proyecto y que el CMP+L no cuente con </w:t>
      </w:r>
      <w:r w:rsidR="005452D2" w:rsidRPr="00CF1816">
        <w:rPr>
          <w:sz w:val="24"/>
          <w:szCs w:val="24"/>
        </w:rPr>
        <w:t>él</w:t>
      </w:r>
      <w:r w:rsidRPr="00CF1816">
        <w:rPr>
          <w:sz w:val="24"/>
          <w:szCs w:val="24"/>
        </w:rPr>
        <w:t>, se pude convenir un préstamo o arrendamiento con otras organizaciones, para lo cual debe solicitarse también copia del certificado de calibración del equipo.</w:t>
      </w:r>
    </w:p>
    <w:p w:rsidR="00CF1816" w:rsidRPr="00CF1816" w:rsidRDefault="00CF1816" w:rsidP="00CF1816">
      <w:pPr>
        <w:spacing w:before="100" w:beforeAutospacing="1" w:after="100" w:afterAutospacing="1" w:line="360" w:lineRule="auto"/>
        <w:ind w:left="704" w:right="210" w:hanging="420"/>
        <w:jc w:val="both"/>
        <w:rPr>
          <w:sz w:val="24"/>
          <w:szCs w:val="24"/>
          <w:lang w:eastAsia="es-MX"/>
        </w:rPr>
      </w:pPr>
      <w:r w:rsidRPr="00CF1816">
        <w:rPr>
          <w:sz w:val="24"/>
          <w:szCs w:val="24"/>
        </w:rPr>
        <w:t>5.3</w:t>
      </w:r>
      <w:r w:rsidRPr="00CF1816">
        <w:rPr>
          <w:sz w:val="24"/>
          <w:szCs w:val="24"/>
        </w:rPr>
        <w:tab/>
      </w:r>
      <w:r w:rsidRPr="00CF1816">
        <w:rPr>
          <w:sz w:val="24"/>
          <w:szCs w:val="24"/>
        </w:rPr>
        <w:tab/>
      </w:r>
      <w:r w:rsidR="00104E24">
        <w:rPr>
          <w:sz w:val="24"/>
          <w:szCs w:val="24"/>
          <w:lang w:eastAsia="es-MX"/>
        </w:rPr>
        <w:t>El Responsable o Jefe</w:t>
      </w:r>
      <w:r w:rsidRPr="00CF1816">
        <w:rPr>
          <w:sz w:val="24"/>
          <w:szCs w:val="24"/>
          <w:lang w:eastAsia="es-MX"/>
        </w:rPr>
        <w:t xml:space="preserve"> del Proyecto y la Jefatura del Laboratorio, según corresponda, son los encargados de coordinar el control, buen funcionamiento y cuidado de los equipos de medición durante su uso.</w:t>
      </w:r>
    </w:p>
    <w:p w:rsidR="00CF1816" w:rsidRDefault="00CF1816" w:rsidP="00CF1816">
      <w:pPr>
        <w:spacing w:before="100" w:beforeAutospacing="1" w:after="100" w:afterAutospacing="1" w:line="360" w:lineRule="auto"/>
        <w:ind w:right="210"/>
        <w:jc w:val="both"/>
      </w:pPr>
    </w:p>
    <w:p w:rsidR="005452D2" w:rsidRDefault="005452D2" w:rsidP="00CF1816">
      <w:pPr>
        <w:spacing w:before="100" w:beforeAutospacing="1" w:after="100" w:afterAutospacing="1" w:line="360" w:lineRule="auto"/>
        <w:ind w:right="210"/>
        <w:jc w:val="both"/>
      </w:pPr>
    </w:p>
    <w:p w:rsidR="00CF1816" w:rsidRPr="00463D20" w:rsidRDefault="00CF1816" w:rsidP="00B66C68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lang w:val="es-ES"/>
        </w:rPr>
      </w:pPr>
    </w:p>
    <w:p w:rsidR="00604393" w:rsidRDefault="00604393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604393" w:rsidRDefault="00604393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604393" w:rsidRDefault="00604393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DD60AA" w:rsidRPr="00B66C68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lastRenderedPageBreak/>
        <w:t>Desarrollo</w:t>
      </w:r>
    </w:p>
    <w:p w:rsidR="00B66C68" w:rsidRDefault="00B66C68">
      <w:pPr>
        <w:rPr>
          <w:rFonts w:eastAsia="Arial" w:cs="Arial"/>
          <w:spacing w:val="1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5"/>
        <w:gridCol w:w="2104"/>
        <w:gridCol w:w="1825"/>
      </w:tblGrid>
      <w:tr w:rsidR="006C5379" w:rsidRPr="00814C4C" w:rsidTr="004A5A61">
        <w:trPr>
          <w:cantSplit/>
          <w:trHeight w:val="817"/>
          <w:tblHeader/>
        </w:trPr>
        <w:tc>
          <w:tcPr>
            <w:tcW w:w="3028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1056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916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D225E6" w:rsidRPr="00814C4C" w:rsidTr="00B57A1B">
        <w:trPr>
          <w:cantSplit/>
          <w:trHeight w:val="20"/>
        </w:trPr>
        <w:tc>
          <w:tcPr>
            <w:tcW w:w="3028" w:type="pct"/>
          </w:tcPr>
          <w:p w:rsidR="00D225E6" w:rsidRPr="005452D2" w:rsidRDefault="00CF1816" w:rsidP="005452D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5452D2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>Cuando se determine la necesidad de adquirir equipo</w:t>
            </w:r>
            <w:r w:rsidR="00104E24" w:rsidRPr="005452D2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 nuevo</w:t>
            </w:r>
            <w:r w:rsidRPr="005452D2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 de medición, la Subdirección </w:t>
            </w:r>
            <w:r w:rsidRPr="005452D2">
              <w:rPr>
                <w:rFonts w:cs="Arial"/>
                <w:color w:val="000000"/>
                <w:sz w:val="22"/>
                <w:szCs w:val="22"/>
                <w:lang w:eastAsia="es-MX"/>
              </w:rPr>
              <w:t>T</w:t>
            </w:r>
            <w:r w:rsidRPr="005452D2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écnica definir claramente la exactitud e intervalos de medición requeridos, para ello deberá acopiar la información necesaria y consultar las fuentes convenientes. La adquisición del equipo se realizará con base al </w:t>
            </w:r>
            <w:hyperlink r:id="rId16" w:history="1">
              <w:r w:rsidRPr="005452D2">
                <w:rPr>
                  <w:rFonts w:cs="Arial"/>
                  <w:color w:val="000080"/>
                  <w:sz w:val="22"/>
                  <w:szCs w:val="22"/>
                  <w:u w:val="single"/>
                  <w:lang w:val="es-ES" w:eastAsia="es-MX"/>
                </w:rPr>
                <w:t xml:space="preserve">Procedimiento del </w:t>
              </w:r>
              <w:r w:rsidR="005452D2">
                <w:rPr>
                  <w:rFonts w:cs="Arial"/>
                  <w:color w:val="000080"/>
                  <w:sz w:val="22"/>
                  <w:szCs w:val="22"/>
                  <w:u w:val="single"/>
                  <w:lang w:val="es-ES" w:eastAsia="es-MX"/>
                </w:rPr>
                <w:t>Adquisiciones</w:t>
              </w:r>
            </w:hyperlink>
            <w:r w:rsidR="00DD60AA" w:rsidRPr="005452D2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D225E6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 w:rsidRPr="00942362">
              <w:rPr>
                <w:rFonts w:cs="Arial"/>
                <w:sz w:val="22"/>
                <w:szCs w:val="22"/>
              </w:rPr>
              <w:t xml:space="preserve">Subdirección </w:t>
            </w:r>
            <w:r>
              <w:rPr>
                <w:rFonts w:cs="Arial"/>
                <w:sz w:val="22"/>
                <w:szCs w:val="22"/>
              </w:rPr>
              <w:t>Técnica</w:t>
            </w:r>
          </w:p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Jefatura de Servicios Administrativos</w:t>
            </w:r>
          </w:p>
        </w:tc>
        <w:tc>
          <w:tcPr>
            <w:tcW w:w="916" w:type="pct"/>
          </w:tcPr>
          <w:p w:rsidR="00D225E6" w:rsidRP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IPN compra de equipos</w:t>
            </w:r>
          </w:p>
        </w:tc>
      </w:tr>
      <w:tr w:rsidR="00D225E6" w:rsidRPr="00814C4C" w:rsidTr="00B57A1B">
        <w:trPr>
          <w:cantSplit/>
          <w:trHeight w:val="20"/>
        </w:trPr>
        <w:tc>
          <w:tcPr>
            <w:tcW w:w="3028" w:type="pct"/>
          </w:tcPr>
          <w:p w:rsidR="00D225E6" w:rsidRPr="00CF1816" w:rsidRDefault="00CF1816" w:rsidP="005452D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Todo equipo que sea adquirido, deberá ser registrado </w:t>
            </w:r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 xml:space="preserve">en la </w:t>
            </w:r>
            <w:hyperlink r:id="rId17" w:history="1">
              <w:r w:rsidRPr="00CF1816">
                <w:rPr>
                  <w:rFonts w:cs="Arial"/>
                  <w:color w:val="000080"/>
                  <w:sz w:val="22"/>
                  <w:szCs w:val="22"/>
                  <w:u w:val="single"/>
                  <w:lang w:eastAsia="es-MX"/>
                </w:rPr>
                <w:t>lista de equipos de medición</w:t>
              </w:r>
            </w:hyperlink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 xml:space="preserve">, </w:t>
            </w: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 se le dará un número de control consecutivo y se identificará con una etiqueta </w:t>
            </w:r>
            <w:r w:rsidR="005452D2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>de acuerdo a los protocolos de identificación de Activo Fijo del Instituto Politécnico Nacional y/o una etiqueta con identificación interna de la Subdirección Técnica.</w:t>
            </w:r>
          </w:p>
        </w:tc>
        <w:tc>
          <w:tcPr>
            <w:tcW w:w="1056" w:type="pct"/>
          </w:tcPr>
          <w:p w:rsidR="008947A0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Equipo</w:t>
            </w:r>
          </w:p>
          <w:p w:rsidR="00104E24" w:rsidRPr="00942362" w:rsidRDefault="00104E24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Jefatura de Servicios Administrativos</w:t>
            </w:r>
          </w:p>
        </w:tc>
        <w:tc>
          <w:tcPr>
            <w:tcW w:w="916" w:type="pct"/>
          </w:tcPr>
          <w:p w:rsidR="00D225E6" w:rsidRP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Lista de equipos de medición</w:t>
            </w:r>
          </w:p>
        </w:tc>
      </w:tr>
      <w:tr w:rsidR="00942362" w:rsidRPr="00814C4C" w:rsidTr="00B57A1B">
        <w:trPr>
          <w:cantSplit/>
          <w:trHeight w:val="20"/>
        </w:trPr>
        <w:tc>
          <w:tcPr>
            <w:tcW w:w="3028" w:type="pct"/>
          </w:tcPr>
          <w:p w:rsidR="00942362" w:rsidRPr="00CF1816" w:rsidRDefault="005452D2" w:rsidP="005452D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eastAsia="es-MX"/>
              </w:rPr>
              <w:t>El equipo nuevo s</w:t>
            </w:r>
            <w:r w:rsidR="00942362"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e </w:t>
            </w:r>
            <w:r w:rsidR="00942362" w:rsidRPr="005452D2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>integrará</w:t>
            </w:r>
            <w:r w:rsidR="00942362"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es-ES" w:eastAsia="es-MX"/>
              </w:rPr>
              <w:t>e</w:t>
            </w:r>
            <w:r w:rsidR="00942362"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l programa de calibración y se establecerá un plazo de calibración o verificación considerando las recomendaciones del proveedor y la experiencia en el uso de equipos similares, los intervalos de calibración se ajustarán a la frecuencia de utilización, esto es, cada 10 frecuencias deberá enviarse a calibrar o después de 4 años si no se han obtenido 10 frecuencias, todo esto de acuerdo a la experiencia del área técnica obtenida hasta el momento. En el caso de los equipos de laboratorio, existe programa anual de calibración y verificación </w:t>
            </w:r>
            <w:r w:rsidR="00104E24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la cual </w:t>
            </w:r>
            <w:r w:rsidR="00942362"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>deberá realizarse por parte de un laboratorio externo.</w:t>
            </w:r>
          </w:p>
        </w:tc>
        <w:tc>
          <w:tcPr>
            <w:tcW w:w="1056" w:type="pct"/>
          </w:tcPr>
          <w:p w:rsidR="00942362" w:rsidRDefault="00942362" w:rsidP="00C551EF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 de Calibración</w:t>
            </w:r>
          </w:p>
          <w:p w:rsidR="00942362" w:rsidRP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Certificados de Calibración</w:t>
            </w:r>
          </w:p>
        </w:tc>
      </w:tr>
      <w:tr w:rsidR="00942362" w:rsidRPr="00814C4C" w:rsidTr="00B57A1B">
        <w:trPr>
          <w:cantSplit/>
          <w:trHeight w:val="20"/>
        </w:trPr>
        <w:tc>
          <w:tcPr>
            <w:tcW w:w="3028" w:type="pct"/>
          </w:tcPr>
          <w:p w:rsidR="00942362" w:rsidRPr="00CF1816" w:rsidRDefault="00942362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lastRenderedPageBreak/>
              <w:t>Es responsabilidad de la Subdirección Técnica y de la Jefatura de laboratorio, según corresponda, llevar un control de la utilización de los equipos de medición en los proyectos, registrar equipo en el programa de calibración o verificación y en el programa de mantenimiento</w:t>
            </w:r>
            <w:r w:rsidRPr="00CF1816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 de Verificación y Mantenimiento</w:t>
            </w:r>
          </w:p>
          <w:p w:rsidR="00942362" w:rsidRP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Documentos generados</w:t>
            </w:r>
          </w:p>
        </w:tc>
      </w:tr>
      <w:tr w:rsidR="00942362" w:rsidRPr="00814C4C" w:rsidTr="00B57A1B">
        <w:trPr>
          <w:cantSplit/>
          <w:trHeight w:val="20"/>
        </w:trPr>
        <w:tc>
          <w:tcPr>
            <w:tcW w:w="3028" w:type="pct"/>
          </w:tcPr>
          <w:p w:rsidR="00942362" w:rsidRPr="00CF1816" w:rsidRDefault="00942362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>Cuando se requiera, se solicitará al proveedor del equipo la capacitación para su uso y cuidados</w:t>
            </w:r>
            <w:r w:rsidRPr="00CF1816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Subdirector Técnico</w:t>
            </w:r>
          </w:p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Jefe de Departamento</w:t>
            </w:r>
          </w:p>
        </w:tc>
        <w:tc>
          <w:tcPr>
            <w:tcW w:w="916" w:type="pct"/>
          </w:tcPr>
          <w:p w:rsidR="00942362" w:rsidRPr="00942362" w:rsidRDefault="00942362" w:rsidP="00C66D8A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</w:t>
            </w:r>
            <w:r w:rsidR="00C66D8A">
              <w:rPr>
                <w:rFonts w:cs="Arial"/>
                <w:sz w:val="22"/>
                <w:szCs w:val="22"/>
              </w:rPr>
              <w:t>os</w:t>
            </w:r>
            <w:r>
              <w:rPr>
                <w:rFonts w:cs="Arial"/>
                <w:sz w:val="22"/>
                <w:szCs w:val="22"/>
              </w:rPr>
              <w:t xml:space="preserve"> generad</w:t>
            </w:r>
            <w:r w:rsidR="00C66D8A">
              <w:rPr>
                <w:rFonts w:cs="Arial"/>
                <w:sz w:val="22"/>
                <w:szCs w:val="22"/>
              </w:rPr>
              <w:t>os</w:t>
            </w:r>
          </w:p>
        </w:tc>
      </w:tr>
      <w:tr w:rsidR="00942362" w:rsidRPr="00814C4C" w:rsidTr="00B57A1B">
        <w:trPr>
          <w:cantSplit/>
          <w:trHeight w:val="20"/>
        </w:trPr>
        <w:tc>
          <w:tcPr>
            <w:tcW w:w="3028" w:type="pct"/>
          </w:tcPr>
          <w:p w:rsidR="00942362" w:rsidRPr="00CF1816" w:rsidRDefault="00942362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Para identificar el estado de calibración  (equipos de medición para diagnósticos) y mantenimiento (equipos de medición del laboratorio) se  tendrá un </w:t>
            </w:r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>registro en el SIG (</w:t>
            </w:r>
            <w:hyperlink r:id="rId18" w:history="1">
              <w:r w:rsidRPr="00CF1816">
                <w:rPr>
                  <w:rFonts w:cs="Arial"/>
                  <w:color w:val="000080"/>
                  <w:sz w:val="22"/>
                  <w:szCs w:val="22"/>
                  <w:u w:val="single"/>
                  <w:lang w:eastAsia="es-MX"/>
                </w:rPr>
                <w:t>lista de equipos</w:t>
              </w:r>
            </w:hyperlink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>) de la red  y cuando sea posible, una etiqueta pegada en el equipo</w:t>
            </w:r>
            <w:r w:rsidRPr="00CF1816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Lista de equipos</w:t>
            </w:r>
          </w:p>
          <w:p w:rsidR="00942362" w:rsidRP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Expedientes de equipo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CF1816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Si se identifican daños obvios por mal uso o </w:t>
            </w:r>
            <w:r w:rsidR="00244768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mal </w:t>
            </w: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>manejo del equipo, deberá efectuarse  una  nueva verificación, calibración o mantenimiento para asegurar la calidad de sus mediciones</w:t>
            </w:r>
            <w:r w:rsidRPr="00CF1816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C66D8A" w:rsidRPr="00942362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C66D8A" w:rsidRPr="00942362" w:rsidRDefault="00C66D8A" w:rsidP="00C551EF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Documentos generados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CF1816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>Si se detecta que durante un servicio se usó un equipo en mal estado o sospechoso, deberán repetirse las mediciones para verificar su exactitud</w:t>
            </w:r>
            <w:r w:rsidRPr="00CF1816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C66D8A" w:rsidRPr="00942362" w:rsidRDefault="00C66D8A" w:rsidP="00C551EF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C66D8A" w:rsidRPr="00942362" w:rsidRDefault="00C66D8A" w:rsidP="00C551EF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Documentos generados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CF1816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Se </w:t>
            </w:r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>debe</w:t>
            </w:r>
            <w:r w:rsidR="00244768">
              <w:rPr>
                <w:rFonts w:cs="Arial"/>
                <w:color w:val="000000"/>
                <w:sz w:val="22"/>
                <w:szCs w:val="22"/>
                <w:lang w:eastAsia="es-MX"/>
              </w:rPr>
              <w:t>n</w:t>
            </w:r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 xml:space="preserve"> solicitar</w:t>
            </w: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 xml:space="preserve"> los servicios de laboratorios acreditados para la calibración de los equipos de medición usados en los diagnósticos, en caso de no haber, se deberá tener la trazabilidad y conocer los procedimientos de calibración  y patrones usados. En el caso de los equipos de medición del laboratorio, deberá solicitarse la póliza  de mantenimiento directamente con el proveedor del equipo.</w:t>
            </w:r>
          </w:p>
        </w:tc>
        <w:tc>
          <w:tcPr>
            <w:tcW w:w="1056" w:type="pct"/>
          </w:tcPr>
          <w:p w:rsidR="00C66D8A" w:rsidRPr="00942362" w:rsidRDefault="00C66D8A" w:rsidP="00C551EF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C66D8A" w:rsidRPr="00942362" w:rsidRDefault="00C66D8A" w:rsidP="00C551EF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Documentos generados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CF1816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lastRenderedPageBreak/>
              <w:t>Deberá usarse y almacenarse el equipo de manera que se proteja de daños y se mantengan sus condiciones metrológicas</w:t>
            </w:r>
            <w:r w:rsidRPr="00CF1816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C66D8A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C66D8A" w:rsidRPr="00942362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Equipo</w:t>
            </w:r>
          </w:p>
        </w:tc>
        <w:tc>
          <w:tcPr>
            <w:tcW w:w="916" w:type="pct"/>
          </w:tcPr>
          <w:p w:rsidR="00C66D8A" w:rsidRPr="00942362" w:rsidRDefault="00C66D8A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CF1816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color w:val="000000"/>
                <w:sz w:val="22"/>
                <w:szCs w:val="22"/>
                <w:lang w:val="es-ES" w:eastAsia="es-MX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val="es-ES" w:eastAsia="es-MX"/>
              </w:rPr>
              <w:t>Antes de usar cualquier equipo, el usuario deberá asegurarse de su fecha de calibración o mantenimiento y evitará usarlo si no  está seguro de su estado</w:t>
            </w:r>
          </w:p>
        </w:tc>
        <w:tc>
          <w:tcPr>
            <w:tcW w:w="1056" w:type="pct"/>
          </w:tcPr>
          <w:p w:rsidR="00C66D8A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Equipo</w:t>
            </w:r>
          </w:p>
          <w:p w:rsidR="00C66D8A" w:rsidRPr="00942362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Usuario</w:t>
            </w:r>
          </w:p>
        </w:tc>
        <w:tc>
          <w:tcPr>
            <w:tcW w:w="916" w:type="pct"/>
          </w:tcPr>
          <w:p w:rsidR="00C66D8A" w:rsidRPr="00942362" w:rsidRDefault="00C66D8A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Expediente de equipo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CF1816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color w:val="000000"/>
                <w:sz w:val="22"/>
                <w:szCs w:val="22"/>
                <w:lang w:val="es-ES" w:eastAsia="es-MX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>Si se encuentra un equipo fuera de su período de calibración o sospechoso de daño o mal uso, deberá colocársele una etiqueta roja y separarse de los equipos en buen estado para evitar su uso</w:t>
            </w:r>
          </w:p>
        </w:tc>
        <w:tc>
          <w:tcPr>
            <w:tcW w:w="1056" w:type="pct"/>
          </w:tcPr>
          <w:p w:rsidR="00C66D8A" w:rsidRDefault="00C66D8A" w:rsidP="00C66D8A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Equipo</w:t>
            </w:r>
          </w:p>
          <w:p w:rsidR="00C66D8A" w:rsidRPr="00942362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pct"/>
          </w:tcPr>
          <w:p w:rsidR="00C66D8A" w:rsidRPr="00942362" w:rsidRDefault="00C66D8A" w:rsidP="00C551EF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Expediente de equipo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CF1816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color w:val="000000"/>
                <w:sz w:val="22"/>
                <w:szCs w:val="22"/>
                <w:lang w:val="es-ES" w:eastAsia="es-MX"/>
              </w:rPr>
            </w:pPr>
            <w:r w:rsidRPr="00CF1816">
              <w:rPr>
                <w:rFonts w:cs="Arial"/>
                <w:color w:val="000000"/>
                <w:sz w:val="22"/>
                <w:szCs w:val="22"/>
                <w:lang w:eastAsia="es-MX"/>
              </w:rPr>
              <w:t>En la subdirección técnica y la jefatura de laboratorio, se mantendrán registros de los resultados de las pruebas de certificación, verificación y mantenimiento en los expedientes de los equipos</w:t>
            </w:r>
          </w:p>
        </w:tc>
        <w:tc>
          <w:tcPr>
            <w:tcW w:w="1056" w:type="pct"/>
          </w:tcPr>
          <w:p w:rsidR="00C66D8A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C66D8A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</w:p>
          <w:p w:rsidR="00C66D8A" w:rsidRPr="00942362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Jefatura de Laboratorio</w:t>
            </w:r>
          </w:p>
        </w:tc>
        <w:tc>
          <w:tcPr>
            <w:tcW w:w="916" w:type="pct"/>
          </w:tcPr>
          <w:p w:rsidR="00C66D8A" w:rsidRPr="00942362" w:rsidRDefault="00C66D8A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Expedientes de equ</w:t>
            </w:r>
            <w:r w:rsidR="00104E24">
              <w:rPr>
                <w:rFonts w:cs="Arial"/>
                <w:sz w:val="22"/>
                <w:szCs w:val="22"/>
              </w:rPr>
              <w:t>i</w:t>
            </w:r>
            <w:r>
              <w:rPr>
                <w:rFonts w:cs="Arial"/>
                <w:sz w:val="22"/>
                <w:szCs w:val="22"/>
              </w:rPr>
              <w:t>po</w:t>
            </w:r>
          </w:p>
        </w:tc>
      </w:tr>
    </w:tbl>
    <w:p w:rsidR="00D8481F" w:rsidRDefault="00D8481F">
      <w:pPr>
        <w:rPr>
          <w:rFonts w:eastAsia="Arial" w:cs="Arial"/>
          <w:spacing w:val="1"/>
          <w:sz w:val="24"/>
          <w:szCs w:val="24"/>
        </w:rPr>
      </w:pPr>
    </w:p>
    <w:p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Documentos asociados</w:t>
      </w:r>
    </w:p>
    <w:p w:rsidR="00CF1816" w:rsidRPr="005367D1" w:rsidRDefault="00CF1816" w:rsidP="005367D1">
      <w:pPr>
        <w:spacing w:before="100" w:beforeAutospacing="1" w:after="100" w:afterAutospacing="1"/>
        <w:ind w:left="284" w:firstLine="360"/>
        <w:rPr>
          <w:rFonts w:cs="Arial"/>
          <w:color w:val="000000"/>
          <w:sz w:val="24"/>
          <w:szCs w:val="24"/>
          <w:u w:val="single"/>
          <w:lang w:eastAsia="es-MX"/>
        </w:rPr>
      </w:pPr>
      <w:r w:rsidRPr="005367D1">
        <w:rPr>
          <w:rFonts w:cs="Arial"/>
          <w:color w:val="000000"/>
          <w:u w:val="single"/>
          <w:lang w:eastAsia="es-MX"/>
        </w:rPr>
        <w:t>Procedimiento del área administrativa</w:t>
      </w:r>
    </w:p>
    <w:p w:rsidR="00566E12" w:rsidRPr="00CF1816" w:rsidRDefault="00CF1816" w:rsidP="005367D1">
      <w:pPr>
        <w:spacing w:before="100" w:beforeAutospacing="1" w:after="100" w:afterAutospacing="1" w:line="360" w:lineRule="auto"/>
        <w:ind w:right="210" w:firstLine="644"/>
        <w:jc w:val="both"/>
        <w:rPr>
          <w:b/>
          <w:color w:val="000000"/>
          <w:sz w:val="24"/>
        </w:rPr>
      </w:pPr>
      <w:r w:rsidRPr="00CF1816">
        <w:rPr>
          <w:rFonts w:cs="Arial"/>
          <w:color w:val="000000"/>
          <w:u w:val="single"/>
          <w:lang w:eastAsia="es-MX"/>
        </w:rPr>
        <w:t>Lista de equipos de medición</w:t>
      </w:r>
      <w:r w:rsidRPr="00CF1816">
        <w:rPr>
          <w:rFonts w:cs="Arial"/>
          <w:color w:val="000000"/>
          <w:sz w:val="24"/>
          <w:szCs w:val="24"/>
          <w:lang w:eastAsia="es-MX"/>
        </w:rPr>
        <w:cr/>
      </w:r>
    </w:p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Registros requeridos</w:t>
      </w:r>
    </w:p>
    <w:p w:rsidR="005367D1" w:rsidRDefault="005367D1" w:rsidP="005367D1">
      <w:pPr>
        <w:pStyle w:val="Prrafodelista"/>
        <w:spacing w:before="100" w:beforeAutospacing="1" w:after="100" w:afterAutospacing="1"/>
        <w:ind w:left="644"/>
        <w:rPr>
          <w:rFonts w:cs="Arial"/>
          <w:color w:val="000000"/>
          <w:u w:val="single"/>
          <w:lang w:eastAsia="es-MX"/>
        </w:rPr>
      </w:pPr>
      <w:r w:rsidRPr="00AD5DD1">
        <w:rPr>
          <w:rFonts w:cs="Arial"/>
          <w:color w:val="000000"/>
          <w:u w:val="single"/>
          <w:lang w:eastAsia="es-MX"/>
        </w:rPr>
        <w:t>Procedimiento del área administrativa</w:t>
      </w:r>
    </w:p>
    <w:p w:rsidR="005367D1" w:rsidRPr="00AD5DD1" w:rsidRDefault="005367D1" w:rsidP="005367D1">
      <w:pPr>
        <w:pStyle w:val="Prrafodelista"/>
        <w:spacing w:before="100" w:beforeAutospacing="1" w:after="100" w:afterAutospacing="1"/>
        <w:ind w:left="644"/>
        <w:rPr>
          <w:rFonts w:cs="Arial"/>
          <w:color w:val="000000"/>
          <w:sz w:val="24"/>
          <w:szCs w:val="24"/>
          <w:u w:val="single"/>
          <w:lang w:eastAsia="es-MX"/>
        </w:rPr>
      </w:pPr>
    </w:p>
    <w:p w:rsidR="00765F9A" w:rsidRDefault="005367D1" w:rsidP="005367D1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  <w:r w:rsidRPr="00AD5DD1">
        <w:rPr>
          <w:rFonts w:cs="Arial"/>
          <w:color w:val="000000"/>
          <w:u w:val="single"/>
          <w:lang w:eastAsia="es-MX"/>
        </w:rPr>
        <w:t>Lista de equipos de medición</w:t>
      </w:r>
      <w:r w:rsidRPr="00AD5DD1">
        <w:rPr>
          <w:rFonts w:cs="Arial"/>
          <w:color w:val="000000"/>
          <w:sz w:val="24"/>
          <w:szCs w:val="24"/>
          <w:lang w:eastAsia="es-MX"/>
        </w:rPr>
        <w:cr/>
      </w: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566E12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76"/>
        <w:gridCol w:w="1361"/>
        <w:gridCol w:w="5432"/>
        <w:gridCol w:w="1785"/>
      </w:tblGrid>
      <w:tr w:rsidR="00566E12" w:rsidRPr="00566E12" w:rsidTr="0030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36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Fecha de revisión</w:t>
            </w:r>
          </w:p>
        </w:tc>
        <w:tc>
          <w:tcPr>
            <w:tcW w:w="5585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Descripción de cambios con respeto a la última revisión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Persona que realizó los cambios</w:t>
            </w: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0</w:t>
            </w:r>
          </w:p>
        </w:tc>
        <w:tc>
          <w:tcPr>
            <w:tcW w:w="1361" w:type="dxa"/>
            <w:vAlign w:val="center"/>
          </w:tcPr>
          <w:p w:rsidR="00566E12" w:rsidRPr="00566E12" w:rsidRDefault="00566E12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11/10/04</w:t>
            </w:r>
          </w:p>
        </w:tc>
        <w:tc>
          <w:tcPr>
            <w:tcW w:w="5585" w:type="dxa"/>
          </w:tcPr>
          <w:p w:rsidR="00566E12" w:rsidRPr="004A5A61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4A5A61">
              <w:rPr>
                <w:color w:val="000000"/>
                <w:sz w:val="24"/>
              </w:rPr>
              <w:t>Emisión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1</w:t>
            </w:r>
          </w:p>
        </w:tc>
        <w:tc>
          <w:tcPr>
            <w:tcW w:w="1361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08/04/08</w:t>
            </w:r>
          </w:p>
        </w:tc>
        <w:tc>
          <w:tcPr>
            <w:tcW w:w="5585" w:type="dxa"/>
          </w:tcPr>
          <w:p w:rsidR="00566E12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Sustituye a los procedimientos de acciones correctivas y preventivas, se integra al SIG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2</w:t>
            </w:r>
          </w:p>
        </w:tc>
        <w:tc>
          <w:tcPr>
            <w:tcW w:w="1361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04/08/08</w:t>
            </w:r>
          </w:p>
        </w:tc>
        <w:tc>
          <w:tcPr>
            <w:tcW w:w="5585" w:type="dxa"/>
          </w:tcPr>
          <w:p w:rsidR="00566E12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 incluyó la sección 5 del formato de Solicitud de Acciones modificados los párrafos 6.2 y 6.10; y se incluyeron los párrafos 6.5 y 6.9.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3</w:t>
            </w:r>
          </w:p>
        </w:tc>
        <w:tc>
          <w:tcPr>
            <w:tcW w:w="1361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08/02/11</w:t>
            </w:r>
          </w:p>
        </w:tc>
        <w:tc>
          <w:tcPr>
            <w:tcW w:w="5585" w:type="dxa"/>
          </w:tcPr>
          <w:p w:rsidR="00566E12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El dueño de proceso fue cambiado de la Subdirección de 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4</w:t>
            </w:r>
          </w:p>
        </w:tc>
        <w:tc>
          <w:tcPr>
            <w:tcW w:w="1361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02/06/11</w:t>
            </w:r>
          </w:p>
        </w:tc>
        <w:tc>
          <w:tcPr>
            <w:tcW w:w="5585" w:type="dxa"/>
          </w:tcPr>
          <w:p w:rsidR="00566E12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 reestructuró el procedimiento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1361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26/06/13</w:t>
            </w:r>
          </w:p>
        </w:tc>
        <w:tc>
          <w:tcPr>
            <w:tcW w:w="5585" w:type="dxa"/>
          </w:tcPr>
          <w:p w:rsidR="00566E12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 agregaron los puntos 5.9, 5.10 y 5.11, se cambió el párrafo 6.9</w:t>
            </w:r>
          </w:p>
        </w:tc>
        <w:tc>
          <w:tcPr>
            <w:tcW w:w="1811" w:type="dxa"/>
            <w:vAlign w:val="center"/>
          </w:tcPr>
          <w:p w:rsidR="00566E12" w:rsidRPr="00566E12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EAV</w:t>
            </w:r>
          </w:p>
        </w:tc>
      </w:tr>
      <w:tr w:rsidR="0030594E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0594E" w:rsidRDefault="0030594E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6</w:t>
            </w:r>
          </w:p>
        </w:tc>
        <w:tc>
          <w:tcPr>
            <w:tcW w:w="1361" w:type="dxa"/>
            <w:vAlign w:val="center"/>
          </w:tcPr>
          <w:p w:rsidR="0030594E" w:rsidRDefault="005367D1" w:rsidP="005367D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10</w:t>
            </w:r>
            <w:r w:rsidR="0030594E">
              <w:rPr>
                <w:smallCaps/>
                <w:color w:val="000000" w:themeColor="text1"/>
                <w:sz w:val="24"/>
              </w:rPr>
              <w:t>/0</w:t>
            </w:r>
            <w:r>
              <w:rPr>
                <w:smallCaps/>
                <w:color w:val="000000" w:themeColor="text1"/>
                <w:sz w:val="24"/>
              </w:rPr>
              <w:t>9</w:t>
            </w:r>
            <w:r w:rsidR="0030594E">
              <w:rPr>
                <w:smallCaps/>
                <w:color w:val="000000" w:themeColor="text1"/>
                <w:sz w:val="24"/>
              </w:rPr>
              <w:t>/14</w:t>
            </w:r>
          </w:p>
        </w:tc>
        <w:tc>
          <w:tcPr>
            <w:tcW w:w="5585" w:type="dxa"/>
          </w:tcPr>
          <w:p w:rsidR="0030594E" w:rsidRDefault="005367D1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Revisión general de todo el Procedimiento</w:t>
            </w:r>
          </w:p>
        </w:tc>
        <w:tc>
          <w:tcPr>
            <w:tcW w:w="1811" w:type="dxa"/>
            <w:vAlign w:val="center"/>
          </w:tcPr>
          <w:p w:rsidR="0030594E" w:rsidRDefault="005367D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PSV, SSMG</w:t>
            </w:r>
          </w:p>
        </w:tc>
      </w:tr>
      <w:tr w:rsidR="0099781C" w:rsidRPr="00566E12" w:rsidTr="0010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9781C" w:rsidRPr="00566E12" w:rsidRDefault="0099781C" w:rsidP="00100328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7</w:t>
            </w:r>
          </w:p>
        </w:tc>
        <w:tc>
          <w:tcPr>
            <w:tcW w:w="1361" w:type="dxa"/>
            <w:vAlign w:val="center"/>
          </w:tcPr>
          <w:p w:rsidR="0099781C" w:rsidRPr="00566E12" w:rsidRDefault="0099781C" w:rsidP="0099781C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09/01/15</w:t>
            </w:r>
          </w:p>
        </w:tc>
        <w:tc>
          <w:tcPr>
            <w:tcW w:w="5585" w:type="dxa"/>
          </w:tcPr>
          <w:p w:rsidR="0099781C" w:rsidRPr="004A5A61" w:rsidRDefault="0099781C" w:rsidP="0099781C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El CMPL tuvo cambios administrativos a partir de diciembre de 2013, por lo que se llevó a cabo recuperación de archivos digitales y paralelamente se adecuaron e hicieron mejoras a los procedimientos.</w:t>
            </w:r>
          </w:p>
        </w:tc>
        <w:tc>
          <w:tcPr>
            <w:tcW w:w="1811" w:type="dxa"/>
            <w:vAlign w:val="center"/>
          </w:tcPr>
          <w:p w:rsidR="0099781C" w:rsidRPr="00566E12" w:rsidRDefault="0099781C" w:rsidP="00100328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SSMG, PSV, BBD</w:t>
            </w:r>
          </w:p>
        </w:tc>
      </w:tr>
    </w:tbl>
    <w:p w:rsidR="0099781C" w:rsidRDefault="0099781C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AA5C1F" w:rsidRPr="00AA5C1F" w:rsidRDefault="0030594E" w:rsidP="00AA5C1F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Aprobación:</w:t>
      </w:r>
    </w:p>
    <w:p w:rsidR="00AA5C1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AA5C1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AA5C1F" w:rsidRDefault="00AA5C1F" w:rsidP="00AA5C1F">
      <w:pPr>
        <w:ind w:left="644"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Dr. Ro</w:t>
      </w:r>
      <w:r w:rsidR="00A865B8">
        <w:rPr>
          <w:b/>
          <w:smallCaps/>
          <w:color w:val="000000"/>
          <w:sz w:val="24"/>
        </w:rPr>
        <w:t>g</w:t>
      </w:r>
      <w:r>
        <w:rPr>
          <w:b/>
          <w:smallCaps/>
          <w:color w:val="000000"/>
          <w:sz w:val="24"/>
        </w:rPr>
        <w:t>elio Sotelo Boyás</w:t>
      </w:r>
    </w:p>
    <w:p w:rsidR="0030594E" w:rsidRPr="00BF3662" w:rsidRDefault="00AA5C1F" w:rsidP="00152AB0">
      <w:pPr>
        <w:ind w:left="644"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Director del CMP+L</w:t>
      </w:r>
    </w:p>
    <w:sectPr w:rsidR="0030594E" w:rsidRPr="00BF3662" w:rsidSect="006A5668">
      <w:footerReference w:type="default" r:id="rId19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521" w:rsidRDefault="00211521">
      <w:r>
        <w:separator/>
      </w:r>
    </w:p>
  </w:endnote>
  <w:endnote w:type="continuationSeparator" w:id="0">
    <w:p w:rsidR="00211521" w:rsidRDefault="0021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Default="00D5661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7764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7642" w:rsidRDefault="0007764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Pr="00AB023F" w:rsidRDefault="00077642" w:rsidP="0006371D">
    <w:pPr>
      <w:pStyle w:val="Piedepgina"/>
      <w:tabs>
        <w:tab w:val="clear" w:pos="4252"/>
        <w:tab w:val="clear" w:pos="8504"/>
        <w:tab w:val="left" w:pos="8789"/>
      </w:tabs>
      <w:ind w:right="-375"/>
      <w:jc w:val="both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097" w:rsidRPr="0034148F" w:rsidRDefault="009C3097">
    <w:pPr>
      <w:pStyle w:val="Piedepgina"/>
      <w:tabs>
        <w:tab w:val="clear" w:pos="8504"/>
        <w:tab w:val="right" w:pos="9639"/>
      </w:tabs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521" w:rsidRDefault="00211521">
      <w:r>
        <w:separator/>
      </w:r>
    </w:p>
  </w:footnote>
  <w:footnote w:type="continuationSeparator" w:id="0">
    <w:p w:rsidR="00211521" w:rsidRDefault="00211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1604D8" w:rsidRPr="00C07145" w:rsidTr="0077652D">
      <w:trPr>
        <w:trHeight w:val="2268"/>
        <w:jc w:val="center"/>
      </w:trPr>
      <w:tc>
        <w:tcPr>
          <w:tcW w:w="2268" w:type="dxa"/>
        </w:tcPr>
        <w:p w:rsidR="001604D8" w:rsidRPr="00C07145" w:rsidRDefault="001604D8" w:rsidP="0077652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6318BD95" wp14:editId="472DE282">
                <wp:simplePos x="0" y="0"/>
                <wp:positionH relativeFrom="column">
                  <wp:posOffset>282575</wp:posOffset>
                </wp:positionH>
                <wp:positionV relativeFrom="paragraph">
                  <wp:posOffset>101155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6F07C8" w:rsidRPr="00972EDF" w:rsidRDefault="006F07C8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6F07C8" w:rsidRDefault="006F07C8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6F07C8" w:rsidRDefault="006F07C8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6F07C8" w:rsidRDefault="006F07C8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1604D8" w:rsidRPr="00B21F3A" w:rsidRDefault="006F07C8" w:rsidP="000079F0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MEXICANO PARA LA PRODUCCIÓN MÁS LIMPIA</w:t>
          </w:r>
        </w:p>
      </w:tc>
      <w:tc>
        <w:tcPr>
          <w:tcW w:w="2268" w:type="dxa"/>
          <w:vAlign w:val="center"/>
        </w:tcPr>
        <w:p w:rsidR="001604D8" w:rsidRPr="00B21F3A" w:rsidRDefault="007B23D3" w:rsidP="00123E5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465765D9" wp14:editId="21EB20C2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6A5668" w:rsidRPr="006E66C6" w:rsidTr="0077652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6A5668" w:rsidRPr="0036059A" w:rsidRDefault="006A5668" w:rsidP="0077652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36059A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6A5668" w:rsidRPr="00ED624B" w:rsidRDefault="008947A0" w:rsidP="00E50D88">
          <w:pPr>
            <w:jc w:val="center"/>
            <w:rPr>
              <w:rFonts w:cs="Arial"/>
              <w:color w:val="000000"/>
              <w:sz w:val="20"/>
              <w:szCs w:val="20"/>
            </w:rPr>
          </w:pPr>
          <w:r w:rsidRPr="00ED624B">
            <w:rPr>
              <w:rFonts w:cs="Arial"/>
              <w:color w:val="000000" w:themeColor="text1"/>
              <w:sz w:val="20"/>
              <w:szCs w:val="20"/>
            </w:rPr>
            <w:t>CMPL</w:t>
          </w:r>
          <w:r w:rsidR="00E50D88" w:rsidRPr="00ED624B">
            <w:rPr>
              <w:rFonts w:cs="Arial"/>
              <w:color w:val="000000" w:themeColor="text1"/>
              <w:sz w:val="20"/>
              <w:szCs w:val="20"/>
            </w:rPr>
            <w:t>/ST_</w:t>
          </w:r>
          <w:r w:rsidR="00ED624B" w:rsidRPr="00ED624B">
            <w:rPr>
              <w:rFonts w:cs="Arial"/>
              <w:color w:val="000000" w:themeColor="text1"/>
              <w:sz w:val="20"/>
              <w:szCs w:val="20"/>
            </w:rPr>
            <w:t>C E MED</w:t>
          </w:r>
          <w:r w:rsidR="004A3C86" w:rsidRPr="00ED624B">
            <w:rPr>
              <w:rFonts w:cs="Arial"/>
              <w:color w:val="000000" w:themeColor="text1"/>
              <w:sz w:val="20"/>
              <w:szCs w:val="20"/>
            </w:rPr>
            <w:t>.</w:t>
          </w:r>
        </w:p>
      </w:tc>
      <w:tc>
        <w:tcPr>
          <w:tcW w:w="2551" w:type="dxa"/>
          <w:vAlign w:val="center"/>
        </w:tcPr>
        <w:p w:rsidR="006A5668" w:rsidRPr="006E66C6" w:rsidRDefault="006A5668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>Fecha de emisión:</w:t>
          </w:r>
        </w:p>
        <w:p w:rsidR="006A5668" w:rsidRPr="00AC2DE7" w:rsidRDefault="004A3C86" w:rsidP="004A3C86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26</w:t>
          </w:r>
          <w:r w:rsidR="00AC2DE7" w:rsidRPr="00AC2DE7">
            <w:rPr>
              <w:rFonts w:cs="Arial"/>
              <w:sz w:val="20"/>
              <w:szCs w:val="20"/>
              <w:lang w:eastAsia="en-US"/>
            </w:rPr>
            <w:t>/0</w:t>
          </w:r>
          <w:r>
            <w:rPr>
              <w:rFonts w:cs="Arial"/>
              <w:sz w:val="20"/>
              <w:szCs w:val="20"/>
              <w:lang w:eastAsia="en-US"/>
            </w:rPr>
            <w:t>1</w:t>
          </w:r>
          <w:r w:rsidR="00AC2DE7" w:rsidRPr="00AC2DE7">
            <w:rPr>
              <w:rFonts w:cs="Arial"/>
              <w:sz w:val="20"/>
              <w:szCs w:val="20"/>
              <w:lang w:eastAsia="en-US"/>
            </w:rPr>
            <w:t>/201</w:t>
          </w:r>
          <w:r>
            <w:rPr>
              <w:rFonts w:cs="Arial"/>
              <w:sz w:val="20"/>
              <w:szCs w:val="20"/>
              <w:lang w:eastAsia="en-US"/>
            </w:rPr>
            <w:t>5</w:t>
          </w:r>
        </w:p>
      </w:tc>
      <w:tc>
        <w:tcPr>
          <w:tcW w:w="2551" w:type="dxa"/>
          <w:vAlign w:val="center"/>
        </w:tcPr>
        <w:p w:rsidR="006A5668" w:rsidRPr="006E66C6" w:rsidRDefault="006A5668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>Versión:</w:t>
          </w:r>
        </w:p>
        <w:p w:rsidR="006A5668" w:rsidRPr="006E66C6" w:rsidRDefault="004A3C86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01/2015</w:t>
          </w:r>
        </w:p>
      </w:tc>
      <w:tc>
        <w:tcPr>
          <w:tcW w:w="2552" w:type="dxa"/>
          <w:gridSpan w:val="2"/>
          <w:vAlign w:val="center"/>
        </w:tcPr>
        <w:p w:rsidR="006A5668" w:rsidRPr="006E66C6" w:rsidRDefault="006A5668" w:rsidP="002924FC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="00D56612" w:rsidRPr="00B67E9A">
            <w:rPr>
              <w:rFonts w:cs="Arial"/>
              <w:lang w:eastAsia="en-US"/>
            </w:rPr>
            <w:fldChar w:fldCharType="begin"/>
          </w:r>
          <w:r w:rsidRPr="00B67E9A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="00D56612" w:rsidRPr="00B67E9A">
            <w:rPr>
              <w:rFonts w:cs="Arial"/>
              <w:lang w:eastAsia="en-US"/>
            </w:rPr>
            <w:fldChar w:fldCharType="separate"/>
          </w:r>
          <w:r w:rsidR="000167EC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="00D56612" w:rsidRPr="00B67E9A">
            <w:rPr>
              <w:rFonts w:cs="Arial"/>
              <w:lang w:eastAsia="en-US"/>
            </w:rPr>
            <w:fldChar w:fldCharType="end"/>
          </w: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244768">
            <w:rPr>
              <w:rFonts w:cs="Arial"/>
              <w:sz w:val="20"/>
              <w:szCs w:val="20"/>
              <w:lang w:val="es-MX" w:eastAsia="en-US"/>
            </w:rPr>
            <w:t>8</w:t>
          </w:r>
        </w:p>
      </w:tc>
    </w:tr>
  </w:tbl>
  <w:p w:rsidR="008D275E" w:rsidRDefault="008D275E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0D0E0524"/>
    <w:multiLevelType w:val="hybridMultilevel"/>
    <w:tmpl w:val="E4649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2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7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9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  <w:lvlOverride w:ilvl="0">
      <w:lvl w:ilvl="0">
        <w:start w:val="7"/>
        <w:numFmt w:val="upperRoman"/>
        <w:pStyle w:val="Ttulo1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0"/>
  </w:num>
  <w:num w:numId="3">
    <w:abstractNumId w:val="19"/>
  </w:num>
  <w:num w:numId="4">
    <w:abstractNumId w:val="21"/>
  </w:num>
  <w:num w:numId="5">
    <w:abstractNumId w:val="5"/>
  </w:num>
  <w:num w:numId="6">
    <w:abstractNumId w:val="9"/>
  </w:num>
  <w:num w:numId="7">
    <w:abstractNumId w:val="20"/>
  </w:num>
  <w:num w:numId="8">
    <w:abstractNumId w:val="13"/>
  </w:num>
  <w:num w:numId="9">
    <w:abstractNumId w:val="14"/>
  </w:num>
  <w:num w:numId="10">
    <w:abstractNumId w:val="23"/>
  </w:num>
  <w:num w:numId="11">
    <w:abstractNumId w:val="6"/>
  </w:num>
  <w:num w:numId="12">
    <w:abstractNumId w:val="17"/>
  </w:num>
  <w:num w:numId="13">
    <w:abstractNumId w:val="7"/>
  </w:num>
  <w:num w:numId="14">
    <w:abstractNumId w:val="15"/>
  </w:num>
  <w:num w:numId="15">
    <w:abstractNumId w:val="12"/>
  </w:num>
  <w:num w:numId="16">
    <w:abstractNumId w:val="22"/>
  </w:num>
  <w:num w:numId="17">
    <w:abstractNumId w:val="16"/>
  </w:num>
  <w:num w:numId="18">
    <w:abstractNumId w:val="0"/>
  </w:num>
  <w:num w:numId="19">
    <w:abstractNumId w:val="8"/>
  </w:num>
  <w:num w:numId="20">
    <w:abstractNumId w:val="18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4095"/>
    <w:rsid w:val="000062C0"/>
    <w:rsid w:val="00006536"/>
    <w:rsid w:val="000079F0"/>
    <w:rsid w:val="000101BC"/>
    <w:rsid w:val="00011E0A"/>
    <w:rsid w:val="00013510"/>
    <w:rsid w:val="00014752"/>
    <w:rsid w:val="00014E00"/>
    <w:rsid w:val="000156A5"/>
    <w:rsid w:val="000167EC"/>
    <w:rsid w:val="00023E29"/>
    <w:rsid w:val="00023E52"/>
    <w:rsid w:val="00025857"/>
    <w:rsid w:val="000266AC"/>
    <w:rsid w:val="000311A1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25E"/>
    <w:rsid w:val="00077642"/>
    <w:rsid w:val="00081B06"/>
    <w:rsid w:val="000863CD"/>
    <w:rsid w:val="00096B36"/>
    <w:rsid w:val="00097A17"/>
    <w:rsid w:val="000A1B0A"/>
    <w:rsid w:val="000B2963"/>
    <w:rsid w:val="000B6AC9"/>
    <w:rsid w:val="000C661F"/>
    <w:rsid w:val="000D638A"/>
    <w:rsid w:val="000D75AC"/>
    <w:rsid w:val="000E3386"/>
    <w:rsid w:val="000E3E7D"/>
    <w:rsid w:val="000E4BF6"/>
    <w:rsid w:val="000E6A47"/>
    <w:rsid w:val="00103141"/>
    <w:rsid w:val="0010399B"/>
    <w:rsid w:val="00104E24"/>
    <w:rsid w:val="00105F35"/>
    <w:rsid w:val="00110644"/>
    <w:rsid w:val="00112D48"/>
    <w:rsid w:val="001443A7"/>
    <w:rsid w:val="00145315"/>
    <w:rsid w:val="00152AB0"/>
    <w:rsid w:val="00157B6A"/>
    <w:rsid w:val="001604D8"/>
    <w:rsid w:val="0016491B"/>
    <w:rsid w:val="00164B22"/>
    <w:rsid w:val="00175E81"/>
    <w:rsid w:val="00185193"/>
    <w:rsid w:val="001908CD"/>
    <w:rsid w:val="00191621"/>
    <w:rsid w:val="00192749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F6F72"/>
    <w:rsid w:val="0021053A"/>
    <w:rsid w:val="00211521"/>
    <w:rsid w:val="00224E0D"/>
    <w:rsid w:val="00237A1B"/>
    <w:rsid w:val="002415AF"/>
    <w:rsid w:val="002431CC"/>
    <w:rsid w:val="00244768"/>
    <w:rsid w:val="00254109"/>
    <w:rsid w:val="002641DC"/>
    <w:rsid w:val="00274BD6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E5200"/>
    <w:rsid w:val="002F22DD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52069"/>
    <w:rsid w:val="00355C6B"/>
    <w:rsid w:val="0036059A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7827"/>
    <w:rsid w:val="003D1B1C"/>
    <w:rsid w:val="003D4C58"/>
    <w:rsid w:val="003E000E"/>
    <w:rsid w:val="003E706D"/>
    <w:rsid w:val="004038F6"/>
    <w:rsid w:val="00407363"/>
    <w:rsid w:val="00427F6D"/>
    <w:rsid w:val="00437E50"/>
    <w:rsid w:val="00440B9E"/>
    <w:rsid w:val="00446C1C"/>
    <w:rsid w:val="00463D20"/>
    <w:rsid w:val="00464AA5"/>
    <w:rsid w:val="00471D08"/>
    <w:rsid w:val="00477E2D"/>
    <w:rsid w:val="0048530E"/>
    <w:rsid w:val="004877B5"/>
    <w:rsid w:val="00490023"/>
    <w:rsid w:val="00493E1C"/>
    <w:rsid w:val="00495313"/>
    <w:rsid w:val="004A2C3B"/>
    <w:rsid w:val="004A3C86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502116"/>
    <w:rsid w:val="00507612"/>
    <w:rsid w:val="005222F0"/>
    <w:rsid w:val="00524057"/>
    <w:rsid w:val="005367D1"/>
    <w:rsid w:val="00540A03"/>
    <w:rsid w:val="005452D2"/>
    <w:rsid w:val="0054726D"/>
    <w:rsid w:val="00552BE5"/>
    <w:rsid w:val="00555AAF"/>
    <w:rsid w:val="00557132"/>
    <w:rsid w:val="00566E12"/>
    <w:rsid w:val="005672AD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3B44"/>
    <w:rsid w:val="006511AD"/>
    <w:rsid w:val="00652F48"/>
    <w:rsid w:val="00661885"/>
    <w:rsid w:val="0066426E"/>
    <w:rsid w:val="00667459"/>
    <w:rsid w:val="0068443A"/>
    <w:rsid w:val="0068578C"/>
    <w:rsid w:val="006906DD"/>
    <w:rsid w:val="00695819"/>
    <w:rsid w:val="00695A8D"/>
    <w:rsid w:val="006A460C"/>
    <w:rsid w:val="006A5668"/>
    <w:rsid w:val="006B3C98"/>
    <w:rsid w:val="006B3D67"/>
    <w:rsid w:val="006B692F"/>
    <w:rsid w:val="006C5379"/>
    <w:rsid w:val="006C7D62"/>
    <w:rsid w:val="006D4842"/>
    <w:rsid w:val="006E5FAF"/>
    <w:rsid w:val="006E66C6"/>
    <w:rsid w:val="006F07C8"/>
    <w:rsid w:val="00703C0C"/>
    <w:rsid w:val="00704FC8"/>
    <w:rsid w:val="00706A2F"/>
    <w:rsid w:val="00713B2C"/>
    <w:rsid w:val="00713B65"/>
    <w:rsid w:val="007201AD"/>
    <w:rsid w:val="00733DD5"/>
    <w:rsid w:val="007347AE"/>
    <w:rsid w:val="007368CF"/>
    <w:rsid w:val="00747924"/>
    <w:rsid w:val="00760A36"/>
    <w:rsid w:val="00761781"/>
    <w:rsid w:val="00765C12"/>
    <w:rsid w:val="00765F9A"/>
    <w:rsid w:val="00782A94"/>
    <w:rsid w:val="007832A5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3636"/>
    <w:rsid w:val="00884CCE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31BCE"/>
    <w:rsid w:val="00932FBA"/>
    <w:rsid w:val="00940F8B"/>
    <w:rsid w:val="00942362"/>
    <w:rsid w:val="00942E7B"/>
    <w:rsid w:val="00946D10"/>
    <w:rsid w:val="009535EE"/>
    <w:rsid w:val="00957C62"/>
    <w:rsid w:val="0097413F"/>
    <w:rsid w:val="009838F2"/>
    <w:rsid w:val="00986AFA"/>
    <w:rsid w:val="0099300D"/>
    <w:rsid w:val="0099781C"/>
    <w:rsid w:val="00997B38"/>
    <w:rsid w:val="009A1771"/>
    <w:rsid w:val="009A63CA"/>
    <w:rsid w:val="009B3217"/>
    <w:rsid w:val="009C012D"/>
    <w:rsid w:val="009C3097"/>
    <w:rsid w:val="009C365E"/>
    <w:rsid w:val="009C493A"/>
    <w:rsid w:val="009D05A5"/>
    <w:rsid w:val="009E1873"/>
    <w:rsid w:val="009E5745"/>
    <w:rsid w:val="009E6C8D"/>
    <w:rsid w:val="009F3079"/>
    <w:rsid w:val="00A0200B"/>
    <w:rsid w:val="00A13C1E"/>
    <w:rsid w:val="00A244BE"/>
    <w:rsid w:val="00A25089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77859"/>
    <w:rsid w:val="00A82C6A"/>
    <w:rsid w:val="00A865B8"/>
    <w:rsid w:val="00A92FD8"/>
    <w:rsid w:val="00A94E65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712D"/>
    <w:rsid w:val="00B00B96"/>
    <w:rsid w:val="00B07B49"/>
    <w:rsid w:val="00B11960"/>
    <w:rsid w:val="00B11D88"/>
    <w:rsid w:val="00B22CD0"/>
    <w:rsid w:val="00B265AC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E5A41"/>
    <w:rsid w:val="00BF3662"/>
    <w:rsid w:val="00BF5FE7"/>
    <w:rsid w:val="00C0619B"/>
    <w:rsid w:val="00C0695D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6D8A"/>
    <w:rsid w:val="00C679DA"/>
    <w:rsid w:val="00C70E0D"/>
    <w:rsid w:val="00C733E0"/>
    <w:rsid w:val="00C74D38"/>
    <w:rsid w:val="00C766AF"/>
    <w:rsid w:val="00C90D8A"/>
    <w:rsid w:val="00CA39F7"/>
    <w:rsid w:val="00CA6584"/>
    <w:rsid w:val="00CB3A16"/>
    <w:rsid w:val="00CC073F"/>
    <w:rsid w:val="00CC37EE"/>
    <w:rsid w:val="00CC663E"/>
    <w:rsid w:val="00CD2411"/>
    <w:rsid w:val="00CD3382"/>
    <w:rsid w:val="00CD3B94"/>
    <w:rsid w:val="00CD4481"/>
    <w:rsid w:val="00CD6DAE"/>
    <w:rsid w:val="00CE4C1C"/>
    <w:rsid w:val="00CE6C04"/>
    <w:rsid w:val="00CF1816"/>
    <w:rsid w:val="00CF5B58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6612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A1EF5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6A5"/>
    <w:rsid w:val="00E02007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50D88"/>
    <w:rsid w:val="00E80850"/>
    <w:rsid w:val="00E876B5"/>
    <w:rsid w:val="00E87CC0"/>
    <w:rsid w:val="00E94E90"/>
    <w:rsid w:val="00E957C7"/>
    <w:rsid w:val="00E9608A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73C3"/>
    <w:rsid w:val="00EC3C49"/>
    <w:rsid w:val="00ED624B"/>
    <w:rsid w:val="00EE2F11"/>
    <w:rsid w:val="00EE360F"/>
    <w:rsid w:val="00EF448A"/>
    <w:rsid w:val="00EF6471"/>
    <w:rsid w:val="00EF7A4E"/>
    <w:rsid w:val="00F055AC"/>
    <w:rsid w:val="00F10E16"/>
    <w:rsid w:val="00F16D78"/>
    <w:rsid w:val="00F32813"/>
    <w:rsid w:val="00F337BA"/>
    <w:rsid w:val="00F36691"/>
    <w:rsid w:val="00F36849"/>
    <w:rsid w:val="00F37E41"/>
    <w:rsid w:val="00F44778"/>
    <w:rsid w:val="00F44D20"/>
    <w:rsid w:val="00F513EA"/>
    <w:rsid w:val="00F55FFA"/>
    <w:rsid w:val="00F60B91"/>
    <w:rsid w:val="00F710C7"/>
    <w:rsid w:val="00F9105A"/>
    <w:rsid w:val="00F939B4"/>
    <w:rsid w:val="00F941C3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A962D0-45FE-49F9-99B0-70220624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63D20"/>
    <w:rPr>
      <w:rFonts w:ascii="Arial" w:hAnsi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ntranetcmpl/SIG/Compartidos/Definiciones.htm" TargetMode="External"/><Relationship Id="rId18" Type="http://schemas.openxmlformats.org/officeDocument/2006/relationships/hyperlink" Target="http://intranetcmpl/SIG/RegistrosCMPL/Tecnica/EquiposDeMedicion/Relaci&#243;n%20de%20equipos%20CMPL.do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intranetcmpl/SIG/Compartidos/Definiciones.htm" TargetMode="External"/><Relationship Id="rId17" Type="http://schemas.openxmlformats.org/officeDocument/2006/relationships/hyperlink" Target="http://intranetcmpl/SIG/RegistrosCMPL/Tecnica/EquiposDeMedicion/Relaci&#243;n%20de%20equipos%20CMPL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tranetcmpl/SIG/Administrativa/Procedimiento%20&#225;rea%20administrativa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tranetcmpl/SIG/Compartidos/Definicione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tranetcmpl/SIG/Compartidos/Definiciones.htm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intranetcmpl/SIG/Compartidos/Definiciones.h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C0567-69F9-418D-A354-667B9CDE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0</TotalTime>
  <Pages>8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Administrador1</cp:lastModifiedBy>
  <cp:revision>2</cp:revision>
  <cp:lastPrinted>2015-01-29T22:56:00Z</cp:lastPrinted>
  <dcterms:created xsi:type="dcterms:W3CDTF">2015-06-19T22:04:00Z</dcterms:created>
  <dcterms:modified xsi:type="dcterms:W3CDTF">2015-06-19T22:04:00Z</dcterms:modified>
</cp:coreProperties>
</file>