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aseTitle"/>
        <w:spacing w:after="40" w:line="276" w:lineRule="auto"/>
        <w:jc w:val="center"/>
      </w:pPr>
      <w:r>
        <w:rPr>
          <w:rFonts w:ascii="EB Garamond" w:hAnsi="EB Garamond" w:eastAsia="EB Garamond"/>
        </w:rPr>
        <w:t>Case 1</w:t>
      </w:r>
    </w:p>
    <w:p>
      <w:pPr>
        <w:pStyle w:val="CaseTitle"/>
        <w:spacing w:after="160" w:line="276" w:lineRule="auto"/>
        <w:jc w:val="center"/>
      </w:pPr>
      <w:r>
        <w:rPr>
          <w:rFonts w:ascii="EB Garamond" w:hAnsi="EB Garamond" w:eastAsia="EB Garamond"/>
        </w:rPr>
        <w:t>Ørsted Rights Issue 2025</w:t>
      </w:r>
    </w:p>
    <w:p>
      <w:pPr>
        <w:pStyle w:val="CaseSubtitle"/>
        <w:spacing w:line="276" w:lineRule="auto"/>
        <w:jc w:val="center"/>
      </w:pPr>
      <w:r>
        <w:rPr>
          <w:rFonts w:ascii="EB Garamond" w:hAnsi="EB Garamond" w:eastAsia="EB Garamond"/>
        </w:rPr>
        <w:t>Stressed capital raise, TERP, underwriting, state shareholder and dilution</w:t>
      </w:r>
    </w:p>
    <w:p>
      <w:pPr>
        <w:spacing w:before="60" w:after="160"/>
        <w:pBdr>
          <w:bottom w:val="single" w:sz="6" w:space="1" w:color="000000"/>
        </w:pBdr>
      </w:pPr>
    </w:p>
    <w:p>
      <w:pPr>
        <w:spacing w:after="160" w:line="276" w:lineRule="auto"/>
      </w:pPr>
      <w:r>
        <w:rPr>
          <w:rFonts w:ascii="EB Garamond" w:hAnsi="EB Garamond" w:eastAsia="EB Garamond"/>
        </w:rPr>
        <w:t>Dette opgavesæt er designet som den første tekniske ECM-case i dit analyst-forløb. Du skal forstå, hvorfor en rights issue bruges i en stresset kapitalrejsning, hvordan pre-emption beskytter eksisterende aktionærer, hvordan TERP og dilution fungerer, og hvordan en bank analyserer proceeds, underwriting risk og shareholder outcomes.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07"/>
        <w:gridCol w:w="4507"/>
      </w:tblGrid>
      <w:tr>
        <w:trPr>
          <w:trHeight w:hRule="atLeast" w:val="351"/>
          <w:tblHeader w:val="true"/>
        </w:trPr>
        <w:tc>
          <w:tcPr>
            <w:tcW w:type="dxa" w:w="4507"/>
            <w:vAlign w:val="center"/>
            <w:tcBorders>
              <w:top w:val="single" w:sz="8" w:space="0" w:color="000000"/>
              <w:bottom w:val="single" w:sz="4" w:space="0" w:color="000000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b/>
                <w:sz w:val="18"/>
              </w:rPr>
            </w:r>
            <w:r>
              <w:rPr>
                <w:rFonts w:ascii="EB Garamond" w:hAnsi="EB Garamond" w:eastAsia="EB Garamond"/>
                <w:b/>
                <w:sz w:val="18"/>
              </w:rPr>
              <w:t>Element</w:t>
            </w:r>
          </w:p>
        </w:tc>
        <w:tc>
          <w:tcPr>
            <w:tcW w:type="dxa" w:w="4507"/>
            <w:vAlign w:val="center"/>
            <w:tcBorders>
              <w:top w:val="single" w:sz="8" w:space="0" w:color="000000"/>
              <w:bottom w:val="single" w:sz="4" w:space="0" w:color="000000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b/>
                <w:sz w:val="18"/>
              </w:rPr>
            </w:r>
            <w:r>
              <w:rPr>
                <w:rFonts w:ascii="EB Garamond" w:hAnsi="EB Garamond" w:eastAsia="EB Garamond"/>
                <w:b/>
                <w:sz w:val="18"/>
              </w:rPr>
              <w:t>Krav</w:t>
            </w:r>
          </w:p>
        </w:tc>
      </w:tr>
      <w:tr>
        <w:trPr>
          <w:trHeight w:hRule="atLeast" w:val="351"/>
        </w:trPr>
        <w:tc>
          <w:tcPr>
            <w:tcW w:type="dxa" w:w="4507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Tidsramme</w:t>
            </w:r>
          </w:p>
        </w:tc>
        <w:tc>
          <w:tcPr>
            <w:tcW w:type="dxa" w:w="4507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3.0 til 4.5 timer for første gennemløb</w:t>
            </w:r>
          </w:p>
        </w:tc>
      </w:tr>
      <w:tr>
        <w:trPr>
          <w:trHeight w:hRule="atLeast" w:val="351"/>
        </w:trPr>
        <w:tc>
          <w:tcPr>
            <w:tcW w:type="dxa" w:w="4507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Aflevering</w:t>
            </w:r>
          </w:p>
        </w:tc>
        <w:tc>
          <w:tcPr>
            <w:tcW w:type="dxa" w:w="4507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Excel workbook, output dashboard, two charts, 8-line Associate email</w:t>
            </w:r>
          </w:p>
        </w:tc>
      </w:tr>
      <w:tr>
        <w:trPr>
          <w:trHeight w:hRule="atLeast" w:val="351"/>
        </w:trPr>
        <w:tc>
          <w:tcPr>
            <w:tcW w:type="dxa" w:w="4507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Niveau</w:t>
            </w:r>
          </w:p>
        </w:tc>
        <w:tc>
          <w:tcPr>
            <w:tcW w:type="dxa" w:w="4507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Foundation to Deal-ready</w:t>
            </w:r>
          </w:p>
        </w:tc>
      </w:tr>
      <w:tr>
        <w:trPr>
          <w:trHeight w:hRule="atLeast" w:val="351"/>
        </w:trPr>
        <w:tc>
          <w:tcPr>
            <w:tcW w:type="dxa" w:w="4507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Fokus</w:t>
            </w:r>
          </w:p>
        </w:tc>
        <w:tc>
          <w:tcPr>
            <w:tcW w:type="dxa" w:w="4507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Rights issue mechanics, TERP, dilution, ownership, underwriting and interpretation</w:t>
            </w:r>
          </w:p>
        </w:tc>
      </w:tr>
      <w:tr>
        <w:trPr>
          <w:trHeight w:hRule="atLeast" w:val="351"/>
        </w:trPr>
        <w:tc>
          <w:tcPr>
            <w:tcW w:type="dxa" w:w="4507"/>
            <w:vAlign w:val="center"/>
            <w:tcBorders>
              <w:top w:val="nil"/>
              <w:bottom w:val="single" w:sz="8" w:space="0" w:color="000000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Outputstandard</w:t>
            </w:r>
          </w:p>
        </w:tc>
        <w:tc>
          <w:tcPr>
            <w:tcW w:type="dxa" w:w="4507"/>
            <w:vAlign w:val="center"/>
            <w:tcBorders>
              <w:top w:val="nil"/>
              <w:bottom w:val="single" w:sz="8" w:space="0" w:color="000000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Clean, auditable, print-ready and decision-oriented</w:t>
            </w:r>
          </w:p>
        </w:tc>
      </w:tr>
    </w:tbl>
    <w:p>
      <w:pPr>
        <w:spacing w:before="40" w:after="60" w:line="240" w:lineRule="auto"/>
      </w:pPr>
    </w:p>
    <w:p>
      <w:pPr>
        <w:pStyle w:val="InstructionQuote"/>
        <w:spacing w:line="276" w:lineRule="auto"/>
      </w:pPr>
      <w:r>
        <w:rPr>
          <w:rFonts w:ascii="EB Garamond" w:hAnsi="EB Garamond" w:eastAsia="EB Garamond"/>
        </w:rPr>
        <w:t>Du må bruge offentlige kilder, men selve modellen skal bygges fra bunden. Alle antagelser, der ikke står i fact packen, skal markeres som egne antagelser og kunne forklares.</w:t>
      </w:r>
    </w:p>
    <w:p>
      <w:r>
        <w:br w:type="page"/>
      </w:r>
    </w:p>
    <w:p>
      <w:pPr>
        <w:pStyle w:val="CaseHeading1"/>
        <w:spacing w:line="276" w:lineRule="auto"/>
      </w:pPr>
      <w:r>
        <w:rPr>
          <w:rFonts w:ascii="EB Garamond" w:hAnsi="EB Garamond" w:eastAsia="EB Garamond"/>
        </w:rPr>
        <w:t>Indhold</w:t>
      </w:r>
    </w:p>
    <w:p>
      <w:pPr>
        <w:spacing w:after="40" w:line="276" w:lineRule="auto"/>
      </w:pPr>
      <w:r>
        <w:rPr>
          <w:rFonts w:ascii="EB Garamond" w:hAnsi="EB Garamond" w:eastAsia="EB Garamond"/>
        </w:rPr>
        <w:t>1. Case narrative og læringsmål</w:t>
      </w:r>
    </w:p>
    <w:p>
      <w:pPr>
        <w:spacing w:after="40" w:line="276" w:lineRule="auto"/>
      </w:pPr>
      <w:r>
        <w:rPr>
          <w:rFonts w:ascii="EB Garamond" w:hAnsi="EB Garamond" w:eastAsia="EB Garamond"/>
        </w:rPr>
        <w:t>2. Associate-style task brief</w:t>
      </w:r>
    </w:p>
    <w:p>
      <w:pPr>
        <w:spacing w:after="40" w:line="276" w:lineRule="auto"/>
      </w:pPr>
      <w:r>
        <w:rPr>
          <w:rFonts w:ascii="EB Garamond" w:hAnsi="EB Garamond" w:eastAsia="EB Garamond"/>
        </w:rPr>
        <w:t>3. Fact pack og inputdata</w:t>
      </w:r>
    </w:p>
    <w:p>
      <w:pPr>
        <w:spacing w:after="40" w:line="276" w:lineRule="auto"/>
      </w:pPr>
      <w:r>
        <w:rPr>
          <w:rFonts w:ascii="EB Garamond" w:hAnsi="EB Garamond" w:eastAsia="EB Garamond"/>
        </w:rPr>
        <w:t>4. Deep understanding framework</w:t>
      </w:r>
    </w:p>
    <w:p>
      <w:pPr>
        <w:spacing w:after="40" w:line="276" w:lineRule="auto"/>
      </w:pPr>
      <w:r>
        <w:rPr>
          <w:rFonts w:ascii="EB Garamond" w:hAnsi="EB Garamond" w:eastAsia="EB Garamond"/>
        </w:rPr>
        <w:t>5. Excel build instructions</w:t>
      </w:r>
    </w:p>
    <w:p>
      <w:pPr>
        <w:spacing w:after="40" w:line="276" w:lineRule="auto"/>
      </w:pPr>
      <w:r>
        <w:rPr>
          <w:rFonts w:ascii="EB Garamond" w:hAnsi="EB Garamond" w:eastAsia="EB Garamond"/>
        </w:rPr>
        <w:t>6. Technical calculation exercises</w:t>
      </w:r>
    </w:p>
    <w:p>
      <w:pPr>
        <w:spacing w:after="40" w:line="276" w:lineRule="auto"/>
      </w:pPr>
      <w:r>
        <w:rPr>
          <w:rFonts w:ascii="EB Garamond" w:hAnsi="EB Garamond" w:eastAsia="EB Garamond"/>
        </w:rPr>
        <w:t>7. Stakeholder and underwriting analysis</w:t>
      </w:r>
    </w:p>
    <w:p>
      <w:pPr>
        <w:spacing w:after="40" w:line="276" w:lineRule="auto"/>
      </w:pPr>
      <w:r>
        <w:rPr>
          <w:rFonts w:ascii="EB Garamond" w:hAnsi="EB Garamond" w:eastAsia="EB Garamond"/>
        </w:rPr>
        <w:t>8. Minimum visuals and dashboard requirements</w:t>
      </w:r>
    </w:p>
    <w:p>
      <w:pPr>
        <w:spacing w:after="40" w:line="276" w:lineRule="auto"/>
      </w:pPr>
      <w:r>
        <w:rPr>
          <w:rFonts w:ascii="EB Garamond" w:hAnsi="EB Garamond" w:eastAsia="EB Garamond"/>
        </w:rPr>
        <w:t>9. Interpretation prompts and 60-second explanation</w:t>
      </w:r>
    </w:p>
    <w:p>
      <w:pPr>
        <w:spacing w:after="40" w:line="276" w:lineRule="auto"/>
      </w:pPr>
      <w:r>
        <w:rPr>
          <w:rFonts w:ascii="EB Garamond" w:hAnsi="EB Garamond" w:eastAsia="EB Garamond"/>
        </w:rPr>
        <w:t>10. Review, critique and QC checklist</w:t>
      </w:r>
    </w:p>
    <w:p>
      <w:pPr>
        <w:spacing w:after="40" w:line="276" w:lineRule="auto"/>
      </w:pPr>
      <w:r>
        <w:rPr>
          <w:rFonts w:ascii="EB Garamond" w:hAnsi="EB Garamond" w:eastAsia="EB Garamond"/>
        </w:rPr>
        <w:t>11. Glossary exercise and source notes</w:t>
      </w:r>
    </w:p>
    <w:p>
      <w:pPr>
        <w:spacing w:after="40" w:line="276" w:lineRule="auto"/>
      </w:pPr>
      <w:r>
        <w:rPr>
          <w:rFonts w:ascii="EB Garamond" w:hAnsi="EB Garamond" w:eastAsia="EB Garamond"/>
        </w:rPr>
        <w:t>12. Level-up: underwriting, rump shares and take-up scenarios</w:t>
      </w:r>
    </w:p>
    <w:p>
      <w:pPr>
        <w:pStyle w:val="CaseHeading1"/>
        <w:spacing w:line="276" w:lineRule="auto"/>
      </w:pPr>
      <w:r>
        <w:rPr>
          <w:rFonts w:ascii="EB Garamond" w:hAnsi="EB Garamond" w:eastAsia="EB Garamond"/>
        </w:rPr>
        <w:t>1. Case narrative og læringsmål</w:t>
      </w:r>
    </w:p>
    <w:p>
      <w:pPr>
        <w:spacing w:line="276" w:lineRule="auto"/>
      </w:pPr>
      <w:r>
        <w:rPr>
          <w:rFonts w:ascii="EB Garamond" w:hAnsi="EB Garamond" w:eastAsia="EB Garamond"/>
        </w:rPr>
        <w:t>Ørsted annoncerede i september 2025 en stor fortegningsemission som led i en kapitalstyrkelse. Casen er særligt velegnet som første ECM-case, fordi den kombinerer et stort kapitalbehov, en kraftig tegningsrabat, statsligt majoritetsejerskab, underwriting, betydelig udvanding og behovet for at forklare, hvorfor en lav tegningskurs ikke i sig selv er value destruction.</w:t>
      </w:r>
    </w:p>
    <w:p>
      <w:pPr>
        <w:pStyle w:val="CaseHeading2"/>
        <w:spacing w:line="276" w:lineRule="auto"/>
      </w:pPr>
      <w:r>
        <w:rPr>
          <w:rFonts w:ascii="EB Garamond" w:hAnsi="EB Garamond" w:eastAsia="EB Garamond"/>
        </w:rPr>
        <w:t>Læringsmål</w:t>
      </w:r>
    </w:p>
    <w:p>
      <w:pPr>
        <w:spacing w:after="40" w:line="276" w:lineRule="auto"/>
      </w:pPr>
      <w:r>
        <w:rPr>
          <w:rFonts w:ascii="EB Garamond" w:hAnsi="EB Garamond" w:eastAsia="EB Garamond"/>
          <w:sz w:val="21"/>
        </w:rPr>
        <w:t xml:space="preserve">☐  </w:t>
      </w:r>
      <w:r>
        <w:rPr>
          <w:rFonts w:ascii="EB Garamond" w:hAnsi="EB Garamond" w:eastAsia="EB Garamond"/>
          <w:sz w:val="21"/>
        </w:rPr>
        <w:t>Forklar, hvorfor en stressed issuer kan vælge en rights issue frem for en ABB eller almindelig private placement.</w:t>
      </w:r>
    </w:p>
    <w:p>
      <w:pPr>
        <w:spacing w:after="40" w:line="276" w:lineRule="auto"/>
      </w:pPr>
      <w:r>
        <w:rPr>
          <w:rFonts w:ascii="EB Garamond" w:hAnsi="EB Garamond" w:eastAsia="EB Garamond"/>
          <w:sz w:val="21"/>
        </w:rPr>
        <w:t xml:space="preserve">☐  </w:t>
      </w:r>
      <w:r>
        <w:rPr>
          <w:rFonts w:ascii="EB Garamond" w:hAnsi="EB Garamond" w:eastAsia="EB Garamond"/>
          <w:sz w:val="21"/>
        </w:rPr>
        <w:t>Beregn gross proceeds, net proceeds, TERP, theoretical value of rights and non-participating shareholder dilution.</w:t>
      </w:r>
    </w:p>
    <w:p>
      <w:pPr>
        <w:spacing w:after="40" w:line="276" w:lineRule="auto"/>
      </w:pPr>
      <w:r>
        <w:rPr>
          <w:rFonts w:ascii="EB Garamond" w:hAnsi="EB Garamond" w:eastAsia="EB Garamond"/>
          <w:sz w:val="21"/>
        </w:rPr>
        <w:t xml:space="preserve">☐  </w:t>
      </w:r>
      <w:r>
        <w:rPr>
          <w:rFonts w:ascii="EB Garamond" w:hAnsi="EB Garamond" w:eastAsia="EB Garamond"/>
          <w:sz w:val="21"/>
        </w:rPr>
        <w:t>Skeln klart mellem subscription price, TERP, pre-rights share price and dilution.</w:t>
      </w:r>
    </w:p>
    <w:p>
      <w:pPr>
        <w:spacing w:after="40" w:line="276" w:lineRule="auto"/>
      </w:pPr>
      <w:r>
        <w:rPr>
          <w:rFonts w:ascii="EB Garamond" w:hAnsi="EB Garamond" w:eastAsia="EB Garamond"/>
          <w:sz w:val="21"/>
        </w:rPr>
        <w:t xml:space="preserve">☐  </w:t>
      </w:r>
      <w:r>
        <w:rPr>
          <w:rFonts w:ascii="EB Garamond" w:hAnsi="EB Garamond" w:eastAsia="EB Garamond"/>
          <w:sz w:val="21"/>
        </w:rPr>
        <w:t>Forstå, hvordan pre-emption rights beskytter eksisterende aktionærer mod unfair dilution.</w:t>
      </w:r>
    </w:p>
    <w:p>
      <w:pPr>
        <w:spacing w:after="40" w:line="276" w:lineRule="auto"/>
      </w:pPr>
      <w:r>
        <w:rPr>
          <w:rFonts w:ascii="EB Garamond" w:hAnsi="EB Garamond" w:eastAsia="EB Garamond"/>
          <w:sz w:val="21"/>
        </w:rPr>
        <w:t xml:space="preserve">☐  </w:t>
      </w:r>
      <w:r>
        <w:rPr>
          <w:rFonts w:ascii="EB Garamond" w:hAnsi="EB Garamond" w:eastAsia="EB Garamond"/>
          <w:sz w:val="21"/>
        </w:rPr>
        <w:t>Kortlæg stakeholder-incitamenter for Ørsted, staten, eksisterende aktionærer, nye investorer, underwriters and the bank.</w:t>
      </w:r>
    </w:p>
    <w:p>
      <w:pPr>
        <w:spacing w:after="40" w:line="276" w:lineRule="auto"/>
      </w:pPr>
      <w:r>
        <w:rPr>
          <w:rFonts w:ascii="EB Garamond" w:hAnsi="EB Garamond" w:eastAsia="EB Garamond"/>
          <w:sz w:val="21"/>
        </w:rPr>
        <w:t xml:space="preserve">☐  </w:t>
      </w:r>
      <w:r>
        <w:rPr>
          <w:rFonts w:ascii="EB Garamond" w:hAnsi="EB Garamond" w:eastAsia="EB Garamond"/>
          <w:sz w:val="21"/>
        </w:rPr>
        <w:t>Byg en auditable Excel-model med input table, calculation engine, output dashboard, sensitivities and 90_Checks.</w:t>
      </w:r>
    </w:p>
    <w:p>
      <w:pPr>
        <w:spacing w:after="40" w:line="276" w:lineRule="auto"/>
      </w:pPr>
      <w:r>
        <w:rPr>
          <w:rFonts w:ascii="EB Garamond" w:hAnsi="EB Garamond" w:eastAsia="EB Garamond"/>
          <w:sz w:val="21"/>
        </w:rPr>
        <w:t xml:space="preserve">☐  </w:t>
      </w:r>
      <w:r>
        <w:rPr>
          <w:rFonts w:ascii="EB Garamond" w:hAnsi="EB Garamond" w:eastAsia="EB Garamond"/>
          <w:sz w:val="21"/>
        </w:rPr>
        <w:t>Skriv en kort Associate email, der forklarer konklusion, downside and next step.</w:t>
      </w:r>
    </w:p>
    <w:p>
      <w:pPr>
        <w:pStyle w:val="CaseHeading2"/>
        <w:spacing w:line="276" w:lineRule="auto"/>
      </w:pPr>
      <w:r>
        <w:rPr>
          <w:rFonts w:ascii="EB Garamond" w:hAnsi="EB Garamond" w:eastAsia="EB Garamond"/>
        </w:rPr>
        <w:t>Afleveringsformat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05"/>
        <w:gridCol w:w="3005"/>
        <w:gridCol w:w="3005"/>
      </w:tblGrid>
      <w:tr>
        <w:trPr>
          <w:trHeight w:hRule="atLeast" w:val="351"/>
          <w:tblHeader w:val="true"/>
        </w:trPr>
        <w:tc>
          <w:tcPr>
            <w:tcW w:type="dxa" w:w="3005"/>
            <w:vAlign w:val="center"/>
            <w:tcBorders>
              <w:top w:val="single" w:sz="8" w:space="0" w:color="000000"/>
              <w:bottom w:val="single" w:sz="4" w:space="0" w:color="000000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b/>
                <w:sz w:val="18"/>
              </w:rPr>
            </w:r>
            <w:r>
              <w:rPr>
                <w:rFonts w:ascii="EB Garamond" w:hAnsi="EB Garamond" w:eastAsia="EB Garamond"/>
                <w:b/>
                <w:sz w:val="18"/>
              </w:rPr>
              <w:t>Deliverable</w:t>
            </w:r>
          </w:p>
        </w:tc>
        <w:tc>
          <w:tcPr>
            <w:tcW w:type="dxa" w:w="3005"/>
            <w:vAlign w:val="center"/>
            <w:tcBorders>
              <w:top w:val="single" w:sz="8" w:space="0" w:color="000000"/>
              <w:bottom w:val="single" w:sz="4" w:space="0" w:color="000000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b/>
                <w:sz w:val="18"/>
              </w:rPr>
            </w:r>
            <w:r>
              <w:rPr>
                <w:rFonts w:ascii="EB Garamond" w:hAnsi="EB Garamond" w:eastAsia="EB Garamond"/>
                <w:b/>
                <w:sz w:val="18"/>
              </w:rPr>
              <w:t>Minimumskrav</w:t>
            </w:r>
          </w:p>
        </w:tc>
        <w:tc>
          <w:tcPr>
            <w:tcW w:type="dxa" w:w="3005"/>
            <w:vAlign w:val="center"/>
            <w:tcBorders>
              <w:top w:val="single" w:sz="8" w:space="0" w:color="000000"/>
              <w:bottom w:val="single" w:sz="4" w:space="0" w:color="000000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b/>
                <w:sz w:val="18"/>
              </w:rPr>
            </w:r>
            <w:r>
              <w:rPr>
                <w:rFonts w:ascii="EB Garamond" w:hAnsi="EB Garamond" w:eastAsia="EB Garamond"/>
                <w:b/>
                <w:sz w:val="18"/>
              </w:rPr>
              <w:t>Formål</w:t>
            </w:r>
          </w:p>
        </w:tc>
      </w:tr>
      <w:tr>
        <w:trPr>
          <w:trHeight w:hRule="atLeast" w:val="351"/>
        </w:trPr>
        <w:tc>
          <w:tcPr>
            <w:tcW w:type="dxa" w:w="300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Excel workbook</w:t>
            </w:r>
          </w:p>
        </w:tc>
        <w:tc>
          <w:tcPr>
            <w:tcW w:type="dxa" w:w="300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Faner 00_Cover til 90_Checks, jf. tab map</w:t>
            </w:r>
          </w:p>
        </w:tc>
        <w:tc>
          <w:tcPr>
            <w:tcW w:type="dxa" w:w="300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Træner analyst-grade ECM model structure</w:t>
            </w:r>
          </w:p>
        </w:tc>
      </w:tr>
      <w:tr>
        <w:trPr>
          <w:trHeight w:hRule="atLeast" w:val="351"/>
        </w:trPr>
        <w:tc>
          <w:tcPr>
            <w:tcW w:type="dxa" w:w="300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Output dashboard</w:t>
            </w:r>
          </w:p>
        </w:tc>
        <w:tc>
          <w:tcPr>
            <w:tcW w:type="dxa" w:w="300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Key outputs, two charts, sensitivity and check status</w:t>
            </w:r>
          </w:p>
        </w:tc>
        <w:tc>
          <w:tcPr>
            <w:tcW w:type="dxa" w:w="300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Gør modellen reviewbar på 60 sekunder</w:t>
            </w:r>
          </w:p>
        </w:tc>
      </w:tr>
      <w:tr>
        <w:trPr>
          <w:trHeight w:hRule="atLeast" w:val="351"/>
        </w:trPr>
        <w:tc>
          <w:tcPr>
            <w:tcW w:type="dxa" w:w="300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8-line Associate email</w:t>
            </w:r>
          </w:p>
        </w:tc>
        <w:tc>
          <w:tcPr>
            <w:tcW w:type="dxa" w:w="300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Conclusion, evidence, risks, ask and next step</w:t>
            </w:r>
          </w:p>
        </w:tc>
        <w:tc>
          <w:tcPr>
            <w:tcW w:type="dxa" w:w="300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Træner banker-kommunikation</w:t>
            </w:r>
          </w:p>
        </w:tc>
      </w:tr>
      <w:tr>
        <w:trPr>
          <w:trHeight w:hRule="atLeast" w:val="351"/>
        </w:trPr>
        <w:tc>
          <w:tcPr>
            <w:tcW w:type="dxa" w:w="3005"/>
            <w:vAlign w:val="center"/>
            <w:tcBorders>
              <w:top w:val="nil"/>
              <w:bottom w:val="single" w:sz="8" w:space="0" w:color="000000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60-second explanation</w:t>
            </w:r>
          </w:p>
        </w:tc>
        <w:tc>
          <w:tcPr>
            <w:tcW w:type="dxa" w:w="3005"/>
            <w:vAlign w:val="center"/>
            <w:tcBorders>
              <w:top w:val="nil"/>
              <w:bottom w:val="single" w:sz="8" w:space="0" w:color="000000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Spoken explanation without reading</w:t>
            </w:r>
          </w:p>
        </w:tc>
        <w:tc>
          <w:tcPr>
            <w:tcW w:type="dxa" w:w="3005"/>
            <w:vAlign w:val="center"/>
            <w:tcBorders>
              <w:top w:val="nil"/>
              <w:bottom w:val="single" w:sz="8" w:space="0" w:color="000000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Tester konceptuel forståelse</w:t>
            </w:r>
          </w:p>
        </w:tc>
      </w:tr>
    </w:tbl>
    <w:p>
      <w:pPr>
        <w:spacing w:before="40" w:after="60" w:line="240" w:lineRule="auto"/>
      </w:pPr>
    </w:p>
    <w:p>
      <w:pPr>
        <w:pStyle w:val="CaseHeading1"/>
        <w:spacing w:line="276" w:lineRule="auto"/>
      </w:pPr>
      <w:r>
        <w:rPr>
          <w:rFonts w:ascii="EB Garamond" w:hAnsi="EB Garamond" w:eastAsia="EB Garamond"/>
        </w:rPr>
        <w:t>2. Associate-style task brief</w:t>
      </w:r>
    </w:p>
    <w:p>
      <w:pPr>
        <w:pStyle w:val="InstructionQuote"/>
        <w:spacing w:line="276" w:lineRule="auto"/>
      </w:pPr>
      <w:r>
        <w:rPr>
          <w:rFonts w:ascii="EB Garamond" w:hAnsi="EB Garamond" w:eastAsia="EB Garamond"/>
        </w:rPr>
        <w:t>Build a rights issue model for Ørsted. I want to understand proceeds, TERP, dilution, ownership impact and what happens if shareholders do not participate. The output should be clean enough for an Associate review and should include a price bridge, ownership chart, sensitivity and a clear explanation of why the discount does not equal value destruction.</w:t>
      </w:r>
    </w:p>
    <w:p>
      <w:pPr>
        <w:pStyle w:val="CaseHeading2"/>
        <w:spacing w:line="276" w:lineRule="auto"/>
      </w:pPr>
      <w:r>
        <w:rPr>
          <w:rFonts w:ascii="EB Garamond" w:hAnsi="EB Garamond" w:eastAsia="EB Garamond"/>
        </w:rPr>
        <w:t>What you are trying to solve</w:t>
      </w:r>
    </w:p>
    <w:p>
      <w:pPr>
        <w:spacing w:line="276" w:lineRule="auto"/>
      </w:pPr>
      <w:r>
        <w:rPr>
          <w:rFonts w:ascii="EB Garamond" w:hAnsi="EB Garamond" w:eastAsia="EB Garamond"/>
        </w:rPr>
        <w:t>Spørgsmålet er ikke kun, hvor mange aktier Ørsted udsteder. Det centrale banker-spørgsmål er: hvordan rejser man meget kapital med høj execution certainty og rimelig shareholder fairness, når selskabet er under markeds- og finansieringspres?</w:t>
      </w:r>
    </w:p>
    <w:p>
      <w:pPr>
        <w:spacing w:after="40" w:line="240" w:lineRule="auto"/>
      </w:pPr>
      <w:r>
        <w:rPr>
          <w:rFonts w:ascii="EB Garamond" w:hAnsi="EB Garamond" w:eastAsia="EB Garamond"/>
          <w:sz w:val="18"/>
        </w:rPr>
        <w:t>____________________________________________________________________________________________</w:t>
      </w:r>
    </w:p>
    <w:p>
      <w:pPr>
        <w:spacing w:after="40" w:line="240" w:lineRule="auto"/>
      </w:pPr>
      <w:r>
        <w:rPr>
          <w:rFonts w:ascii="EB Garamond" w:hAnsi="EB Garamond" w:eastAsia="EB Garamond"/>
          <w:sz w:val="18"/>
        </w:rPr>
        <w:t>____________________________________________________________________________________________</w:t>
      </w:r>
    </w:p>
    <w:p>
      <w:pPr>
        <w:spacing w:after="40" w:line="240" w:lineRule="auto"/>
      </w:pPr>
      <w:r>
        <w:rPr>
          <w:rFonts w:ascii="EB Garamond" w:hAnsi="EB Garamond" w:eastAsia="EB Garamond"/>
          <w:sz w:val="18"/>
        </w:rPr>
        <w:t>____________________________________________________________________________________________</w:t>
      </w:r>
    </w:p>
    <w:p>
      <w:pPr>
        <w:spacing w:after="40" w:line="240" w:lineRule="auto"/>
      </w:pPr>
      <w:r>
        <w:rPr>
          <w:rFonts w:ascii="EB Garamond" w:hAnsi="EB Garamond" w:eastAsia="EB Garamond"/>
          <w:sz w:val="18"/>
        </w:rPr>
        <w:t>____________________________________________________________________________________________</w:t>
      </w:r>
    </w:p>
    <w:p>
      <w:pPr>
        <w:pStyle w:val="CaseHeading1"/>
        <w:spacing w:line="276" w:lineRule="auto"/>
      </w:pPr>
      <w:r>
        <w:rPr>
          <w:rFonts w:ascii="EB Garamond" w:hAnsi="EB Garamond" w:eastAsia="EB Garamond"/>
        </w:rPr>
        <w:t>3. Fact pack og inputdata</w:t>
      </w:r>
    </w:p>
    <w:p>
      <w:pPr>
        <w:spacing w:line="276" w:lineRule="auto"/>
      </w:pPr>
      <w:r>
        <w:rPr>
          <w:rFonts w:ascii="EB Garamond" w:hAnsi="EB Garamond" w:eastAsia="EB Garamond"/>
        </w:rPr>
        <w:t>Brug nedenstående som base case inputs. Hvis du tilføjer egne antagelser, skal de markeres tydeligt i Excel. Tallene er afrundet eller simplificeret, hvor det er hensigtsmæssigt for træningsformål.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53"/>
        <w:gridCol w:w="2253"/>
        <w:gridCol w:w="2253"/>
        <w:gridCol w:w="2253"/>
      </w:tblGrid>
      <w:tr>
        <w:trPr>
          <w:trHeight w:hRule="atLeast" w:val="351"/>
          <w:tblHeader w:val="true"/>
        </w:trPr>
        <w:tc>
          <w:tcPr>
            <w:tcW w:type="dxa" w:w="2253"/>
            <w:vAlign w:val="center"/>
            <w:tcBorders>
              <w:top w:val="single" w:sz="8" w:space="0" w:color="000000"/>
              <w:bottom w:val="single" w:sz="4" w:space="0" w:color="000000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b/>
                <w:sz w:val="18"/>
              </w:rPr>
            </w:r>
            <w:r>
              <w:rPr>
                <w:rFonts w:ascii="EB Garamond" w:hAnsi="EB Garamond" w:eastAsia="EB Garamond"/>
                <w:b/>
                <w:sz w:val="18"/>
              </w:rPr>
              <w:t>Input</w:t>
            </w:r>
          </w:p>
        </w:tc>
        <w:tc>
          <w:tcPr>
            <w:tcW w:type="dxa" w:w="2253"/>
            <w:vAlign w:val="center"/>
            <w:tcBorders>
              <w:top w:val="single" w:sz="8" w:space="0" w:color="000000"/>
              <w:bottom w:val="single" w:sz="4" w:space="0" w:color="000000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b/>
                <w:sz w:val="18"/>
              </w:rPr>
            </w:r>
            <w:r>
              <w:rPr>
                <w:rFonts w:ascii="EB Garamond" w:hAnsi="EB Garamond" w:eastAsia="EB Garamond"/>
                <w:b/>
                <w:sz w:val="18"/>
              </w:rPr>
              <w:t>Value</w:t>
            </w:r>
          </w:p>
        </w:tc>
        <w:tc>
          <w:tcPr>
            <w:tcW w:type="dxa" w:w="2253"/>
            <w:vAlign w:val="center"/>
            <w:tcBorders>
              <w:top w:val="single" w:sz="8" w:space="0" w:color="000000"/>
              <w:bottom w:val="single" w:sz="4" w:space="0" w:color="000000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b/>
                <w:sz w:val="18"/>
              </w:rPr>
            </w:r>
            <w:r>
              <w:rPr>
                <w:rFonts w:ascii="EB Garamond" w:hAnsi="EB Garamond" w:eastAsia="EB Garamond"/>
                <w:b/>
                <w:sz w:val="18"/>
              </w:rPr>
              <w:t>Unit</w:t>
            </w:r>
          </w:p>
        </w:tc>
        <w:tc>
          <w:tcPr>
            <w:tcW w:type="dxa" w:w="2253"/>
            <w:vAlign w:val="center"/>
            <w:tcBorders>
              <w:top w:val="single" w:sz="8" w:space="0" w:color="000000"/>
              <w:bottom w:val="single" w:sz="4" w:space="0" w:color="000000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b/>
                <w:sz w:val="18"/>
              </w:rPr>
            </w:r>
            <w:r>
              <w:rPr>
                <w:rFonts w:ascii="EB Garamond" w:hAnsi="EB Garamond" w:eastAsia="EB Garamond"/>
                <w:b/>
                <w:sz w:val="18"/>
              </w:rPr>
              <w:t>Note</w:t>
            </w:r>
          </w:p>
        </w:tc>
      </w:tr>
      <w:tr>
        <w:trPr>
          <w:trHeight w:hRule="atLeast" w:val="351"/>
        </w:trPr>
        <w:tc>
          <w:tcPr>
            <w:tcW w:type="dxa" w:w="2253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Existing shares</w:t>
            </w:r>
          </w:p>
        </w:tc>
        <w:tc>
          <w:tcPr>
            <w:tcW w:type="dxa" w:w="2253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420,381,080</w:t>
            </w:r>
          </w:p>
        </w:tc>
        <w:tc>
          <w:tcPr>
            <w:tcW w:type="dxa" w:w="2253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shares</w:t>
            </w:r>
          </w:p>
        </w:tc>
        <w:tc>
          <w:tcPr>
            <w:tcW w:type="dxa" w:w="2253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Registered shares before the issue</w:t>
            </w:r>
          </w:p>
        </w:tc>
      </w:tr>
      <w:tr>
        <w:trPr>
          <w:trHeight w:hRule="atLeast" w:val="351"/>
        </w:trPr>
        <w:tc>
          <w:tcPr>
            <w:tcW w:type="dxa" w:w="2253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New shares</w:t>
            </w:r>
          </w:p>
        </w:tc>
        <w:tc>
          <w:tcPr>
            <w:tcW w:type="dxa" w:w="2253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900,816,600</w:t>
            </w:r>
          </w:p>
        </w:tc>
        <w:tc>
          <w:tcPr>
            <w:tcW w:type="dxa" w:w="2253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shares</w:t>
            </w:r>
          </w:p>
        </w:tc>
        <w:tc>
          <w:tcPr>
            <w:tcW w:type="dxa" w:w="2253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New shares offered with pre-emptive rights</w:t>
            </w:r>
          </w:p>
        </w:tc>
      </w:tr>
      <w:tr>
        <w:trPr>
          <w:trHeight w:hRule="atLeast" w:val="351"/>
        </w:trPr>
        <w:tc>
          <w:tcPr>
            <w:tcW w:type="dxa" w:w="2253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Subscription price</w:t>
            </w:r>
          </w:p>
        </w:tc>
        <w:tc>
          <w:tcPr>
            <w:tcW w:type="dxa" w:w="2253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66.60</w:t>
            </w:r>
          </w:p>
        </w:tc>
        <w:tc>
          <w:tcPr>
            <w:tcW w:type="dxa" w:w="2253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DKK/share</w:t>
            </w:r>
          </w:p>
        </w:tc>
        <w:tc>
          <w:tcPr>
            <w:tcW w:type="dxa" w:w="2253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Price per new share</w:t>
            </w:r>
          </w:p>
        </w:tc>
      </w:tr>
      <w:tr>
        <w:trPr>
          <w:trHeight w:hRule="atLeast" w:val="351"/>
        </w:trPr>
        <w:tc>
          <w:tcPr>
            <w:tcW w:type="dxa" w:w="2253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Expected gross proceeds</w:t>
            </w:r>
          </w:p>
        </w:tc>
        <w:tc>
          <w:tcPr>
            <w:tcW w:type="dxa" w:w="2253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approx. 60.0</w:t>
            </w:r>
          </w:p>
        </w:tc>
        <w:tc>
          <w:tcPr>
            <w:tcW w:type="dxa" w:w="2253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DKKbn</w:t>
            </w:r>
          </w:p>
        </w:tc>
        <w:tc>
          <w:tcPr>
            <w:tcW w:type="dxa" w:w="2253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Gross proceeds before fees</w:t>
            </w:r>
          </w:p>
        </w:tc>
      </w:tr>
      <w:tr>
        <w:trPr>
          <w:trHeight w:hRule="atLeast" w:val="351"/>
        </w:trPr>
        <w:tc>
          <w:tcPr>
            <w:tcW w:type="dxa" w:w="2253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Pre-rights reference price</w:t>
            </w:r>
          </w:p>
        </w:tc>
        <w:tc>
          <w:tcPr>
            <w:tcW w:type="dxa" w:w="2253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200.30</w:t>
            </w:r>
          </w:p>
        </w:tc>
        <w:tc>
          <w:tcPr>
            <w:tcW w:type="dxa" w:w="2253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DKK/share</w:t>
            </w:r>
          </w:p>
        </w:tc>
        <w:tc>
          <w:tcPr>
            <w:tcW w:type="dxa" w:w="2253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Use as modelling reference for TERP exercise</w:t>
            </w:r>
          </w:p>
        </w:tc>
      </w:tr>
      <w:tr>
        <w:trPr>
          <w:trHeight w:hRule="atLeast" w:val="351"/>
        </w:trPr>
        <w:tc>
          <w:tcPr>
            <w:tcW w:type="dxa" w:w="2253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Subscription ratio</w:t>
            </w:r>
          </w:p>
        </w:tc>
        <w:tc>
          <w:tcPr>
            <w:tcW w:type="dxa" w:w="2253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15:7</w:t>
            </w:r>
          </w:p>
        </w:tc>
        <w:tc>
          <w:tcPr>
            <w:tcW w:type="dxa" w:w="2253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rights:new share</w:t>
            </w:r>
          </w:p>
        </w:tc>
        <w:tc>
          <w:tcPr>
            <w:tcW w:type="dxa" w:w="2253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15 rights allocated per existing share; 7 rights required for 1 new share</w:t>
            </w:r>
          </w:p>
        </w:tc>
      </w:tr>
      <w:tr>
        <w:trPr>
          <w:trHeight w:hRule="atLeast" w:val="351"/>
        </w:trPr>
        <w:tc>
          <w:tcPr>
            <w:tcW w:type="dxa" w:w="2253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Illustrative fees</w:t>
            </w:r>
          </w:p>
        </w:tc>
        <w:tc>
          <w:tcPr>
            <w:tcW w:type="dxa" w:w="2253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2.0%</w:t>
            </w:r>
          </w:p>
        </w:tc>
        <w:tc>
          <w:tcPr>
            <w:tcW w:type="dxa" w:w="2253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% of gross proceeds</w:t>
            </w:r>
          </w:p>
        </w:tc>
        <w:tc>
          <w:tcPr>
            <w:tcW w:type="dxa" w:w="2253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Training assumption, not a factual deal fee</w:t>
            </w:r>
          </w:p>
        </w:tc>
      </w:tr>
      <w:tr>
        <w:trPr>
          <w:trHeight w:hRule="atLeast" w:val="351"/>
        </w:trPr>
        <w:tc>
          <w:tcPr>
            <w:tcW w:type="dxa" w:w="2253"/>
            <w:vAlign w:val="center"/>
            <w:tcBorders>
              <w:top w:val="nil"/>
              <w:bottom w:val="single" w:sz="8" w:space="0" w:color="000000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Illustrative shareholder</w:t>
            </w:r>
          </w:p>
        </w:tc>
        <w:tc>
          <w:tcPr>
            <w:tcW w:type="dxa" w:w="2253"/>
            <w:vAlign w:val="center"/>
            <w:tcBorders>
              <w:top w:val="nil"/>
              <w:bottom w:val="single" w:sz="8" w:space="0" w:color="000000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1.0%</w:t>
            </w:r>
          </w:p>
        </w:tc>
        <w:tc>
          <w:tcPr>
            <w:tcW w:type="dxa" w:w="2253"/>
            <w:vAlign w:val="center"/>
            <w:tcBorders>
              <w:top w:val="nil"/>
              <w:bottom w:val="single" w:sz="8" w:space="0" w:color="000000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pre-deal ownership</w:t>
            </w:r>
          </w:p>
        </w:tc>
        <w:tc>
          <w:tcPr>
            <w:tcW w:type="dxa" w:w="2253"/>
            <w:vAlign w:val="center"/>
            <w:tcBorders>
              <w:top w:val="nil"/>
              <w:bottom w:val="single" w:sz="8" w:space="0" w:color="000000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Use for participating vs non-participating exercise</w:t>
            </w:r>
          </w:p>
        </w:tc>
      </w:tr>
    </w:tbl>
    <w:p>
      <w:pPr>
        <w:spacing w:before="40" w:after="60" w:line="240" w:lineRule="auto"/>
      </w:pPr>
    </w:p>
    <w:p>
      <w:pPr>
        <w:pStyle w:val="CaseHeading2"/>
        <w:spacing w:line="276" w:lineRule="auto"/>
      </w:pPr>
      <w:r>
        <w:rPr>
          <w:rFonts w:ascii="EB Garamond" w:hAnsi="EB Garamond" w:eastAsia="EB Garamond"/>
        </w:rPr>
        <w:t>Opgave 3.1: Input sanity</w:t>
      </w:r>
    </w:p>
    <w:p>
      <w:pPr>
        <w:spacing w:line="276" w:lineRule="auto"/>
      </w:pPr>
      <w:r>
        <w:rPr>
          <w:rFonts w:ascii="EB Garamond" w:hAnsi="EB Garamond" w:eastAsia="EB Garamond"/>
        </w:rPr>
        <w:t>Vis i Excel, at subscription ratioen kan forklare antallet af new shares. Beregn new shares ud fra existing shares and the 15:7 ratio. Afstem mod fact packen.</w:t>
      </w:r>
    </w:p>
    <w:p>
      <w:pPr>
        <w:spacing w:after="40" w:line="240" w:lineRule="auto"/>
      </w:pPr>
      <w:r>
        <w:rPr>
          <w:rFonts w:ascii="EB Garamond" w:hAnsi="EB Garamond" w:eastAsia="EB Garamond"/>
          <w:sz w:val="18"/>
        </w:rPr>
        <w:t>____________________________________________________________________________________________</w:t>
      </w:r>
    </w:p>
    <w:p>
      <w:pPr>
        <w:spacing w:after="40" w:line="240" w:lineRule="auto"/>
      </w:pPr>
      <w:r>
        <w:rPr>
          <w:rFonts w:ascii="EB Garamond" w:hAnsi="EB Garamond" w:eastAsia="EB Garamond"/>
          <w:sz w:val="18"/>
        </w:rPr>
        <w:t>____________________________________________________________________________________________</w:t>
      </w:r>
    </w:p>
    <w:p>
      <w:pPr>
        <w:spacing w:after="40" w:line="240" w:lineRule="auto"/>
      </w:pPr>
      <w:r>
        <w:rPr>
          <w:rFonts w:ascii="EB Garamond" w:hAnsi="EB Garamond" w:eastAsia="EB Garamond"/>
          <w:sz w:val="18"/>
        </w:rPr>
        <w:t>____________________________________________________________________________________________</w:t>
      </w:r>
    </w:p>
    <w:p>
      <w:pPr>
        <w:spacing w:after="40" w:line="240" w:lineRule="auto"/>
      </w:pPr>
      <w:r>
        <w:rPr>
          <w:rFonts w:ascii="EB Garamond" w:hAnsi="EB Garamond" w:eastAsia="EB Garamond"/>
          <w:sz w:val="18"/>
        </w:rPr>
        <w:t>____________________________________________________________________________________________</w:t>
      </w:r>
    </w:p>
    <w:p>
      <w:pPr>
        <w:spacing w:after="40" w:line="240" w:lineRule="auto"/>
      </w:pPr>
      <w:r>
        <w:rPr>
          <w:rFonts w:ascii="EB Garamond" w:hAnsi="EB Garamond" w:eastAsia="EB Garamond"/>
          <w:sz w:val="18"/>
        </w:rPr>
        <w:t>____________________________________________________________________________________________</w:t>
      </w:r>
    </w:p>
    <w:p>
      <w:pPr>
        <w:pStyle w:val="CaseHeading2"/>
        <w:spacing w:line="276" w:lineRule="auto"/>
      </w:pPr>
      <w:r>
        <w:rPr>
          <w:rFonts w:ascii="EB Garamond" w:hAnsi="EB Garamond" w:eastAsia="EB Garamond"/>
        </w:rPr>
        <w:t>Opgave 3.2: What is fact, and what is assumption?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05"/>
        <w:gridCol w:w="3005"/>
        <w:gridCol w:w="3005"/>
      </w:tblGrid>
      <w:tr>
        <w:trPr>
          <w:trHeight w:hRule="atLeast" w:val="351"/>
          <w:tblHeader w:val="true"/>
        </w:trPr>
        <w:tc>
          <w:tcPr>
            <w:tcW w:type="dxa" w:w="3005"/>
            <w:vAlign w:val="center"/>
            <w:tcBorders>
              <w:top w:val="single" w:sz="8" w:space="0" w:color="000000"/>
              <w:bottom w:val="single" w:sz="4" w:space="0" w:color="000000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b/>
                <w:sz w:val="18"/>
              </w:rPr>
            </w:r>
            <w:r>
              <w:rPr>
                <w:rFonts w:ascii="EB Garamond" w:hAnsi="EB Garamond" w:eastAsia="EB Garamond"/>
                <w:b/>
                <w:sz w:val="18"/>
              </w:rPr>
              <w:t>Line item</w:t>
            </w:r>
          </w:p>
        </w:tc>
        <w:tc>
          <w:tcPr>
            <w:tcW w:type="dxa" w:w="3005"/>
            <w:vAlign w:val="center"/>
            <w:tcBorders>
              <w:top w:val="single" w:sz="8" w:space="0" w:color="000000"/>
              <w:bottom w:val="single" w:sz="4" w:space="0" w:color="000000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b/>
                <w:sz w:val="18"/>
              </w:rPr>
            </w:r>
            <w:r>
              <w:rPr>
                <w:rFonts w:ascii="EB Garamond" w:hAnsi="EB Garamond" w:eastAsia="EB Garamond"/>
                <w:b/>
                <w:sz w:val="18"/>
              </w:rPr>
              <w:t>Fact or assumption?</w:t>
            </w:r>
          </w:p>
        </w:tc>
        <w:tc>
          <w:tcPr>
            <w:tcW w:type="dxa" w:w="3005"/>
            <w:vAlign w:val="center"/>
            <w:tcBorders>
              <w:top w:val="single" w:sz="8" w:space="0" w:color="000000"/>
              <w:bottom w:val="single" w:sz="4" w:space="0" w:color="000000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b/>
                <w:sz w:val="18"/>
              </w:rPr>
            </w:r>
            <w:r>
              <w:rPr>
                <w:rFonts w:ascii="EB Garamond" w:hAnsi="EB Garamond" w:eastAsia="EB Garamond"/>
                <w:b/>
                <w:sz w:val="18"/>
              </w:rPr>
              <w:t>Why it matters in the model</w:t>
            </w:r>
          </w:p>
        </w:tc>
      </w:tr>
      <w:tr>
        <w:trPr>
          <w:trHeight w:hRule="atLeast" w:val="351"/>
        </w:trPr>
        <w:tc>
          <w:tcPr>
            <w:tcW w:type="dxa" w:w="300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Existing shares</w:t>
            </w:r>
          </w:p>
        </w:tc>
        <w:tc>
          <w:tcPr>
            <w:tcW w:type="dxa" w:w="300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</w:r>
          </w:p>
        </w:tc>
        <w:tc>
          <w:tcPr>
            <w:tcW w:type="dxa" w:w="300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</w:r>
          </w:p>
        </w:tc>
      </w:tr>
      <w:tr>
        <w:trPr>
          <w:trHeight w:hRule="atLeast" w:val="351"/>
        </w:trPr>
        <w:tc>
          <w:tcPr>
            <w:tcW w:type="dxa" w:w="300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New shares</w:t>
            </w:r>
          </w:p>
        </w:tc>
        <w:tc>
          <w:tcPr>
            <w:tcW w:type="dxa" w:w="300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</w:r>
          </w:p>
        </w:tc>
        <w:tc>
          <w:tcPr>
            <w:tcW w:type="dxa" w:w="300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</w:r>
          </w:p>
        </w:tc>
      </w:tr>
      <w:tr>
        <w:trPr>
          <w:trHeight w:hRule="atLeast" w:val="351"/>
        </w:trPr>
        <w:tc>
          <w:tcPr>
            <w:tcW w:type="dxa" w:w="300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Subscription price</w:t>
            </w:r>
          </w:p>
        </w:tc>
        <w:tc>
          <w:tcPr>
            <w:tcW w:type="dxa" w:w="300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</w:r>
          </w:p>
        </w:tc>
        <w:tc>
          <w:tcPr>
            <w:tcW w:type="dxa" w:w="300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</w:r>
          </w:p>
        </w:tc>
      </w:tr>
      <w:tr>
        <w:trPr>
          <w:trHeight w:hRule="atLeast" w:val="351"/>
        </w:trPr>
        <w:tc>
          <w:tcPr>
            <w:tcW w:type="dxa" w:w="300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Pre-rights reference price</w:t>
            </w:r>
          </w:p>
        </w:tc>
        <w:tc>
          <w:tcPr>
            <w:tcW w:type="dxa" w:w="300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</w:r>
          </w:p>
        </w:tc>
        <w:tc>
          <w:tcPr>
            <w:tcW w:type="dxa" w:w="300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</w:r>
          </w:p>
        </w:tc>
      </w:tr>
      <w:tr>
        <w:trPr>
          <w:trHeight w:hRule="atLeast" w:val="351"/>
        </w:trPr>
        <w:tc>
          <w:tcPr>
            <w:tcW w:type="dxa" w:w="300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Fees</w:t>
            </w:r>
          </w:p>
        </w:tc>
        <w:tc>
          <w:tcPr>
            <w:tcW w:type="dxa" w:w="300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</w:r>
          </w:p>
        </w:tc>
        <w:tc>
          <w:tcPr>
            <w:tcW w:type="dxa" w:w="300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</w:r>
          </w:p>
        </w:tc>
      </w:tr>
      <w:tr>
        <w:trPr>
          <w:trHeight w:hRule="atLeast" w:val="351"/>
        </w:trPr>
        <w:tc>
          <w:tcPr>
            <w:tcW w:type="dxa" w:w="300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Shareholder take-up rate</w:t>
            </w:r>
          </w:p>
        </w:tc>
        <w:tc>
          <w:tcPr>
            <w:tcW w:type="dxa" w:w="300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</w:r>
          </w:p>
        </w:tc>
        <w:tc>
          <w:tcPr>
            <w:tcW w:type="dxa" w:w="300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</w:r>
          </w:p>
        </w:tc>
      </w:tr>
      <w:tr>
        <w:trPr>
          <w:trHeight w:hRule="atLeast" w:val="351"/>
        </w:trPr>
        <w:tc>
          <w:tcPr>
            <w:tcW w:type="dxa" w:w="3005"/>
            <w:vAlign w:val="center"/>
            <w:tcBorders>
              <w:top w:val="nil"/>
              <w:bottom w:val="single" w:sz="8" w:space="0" w:color="000000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Underwriting allocation</w:t>
            </w:r>
          </w:p>
        </w:tc>
        <w:tc>
          <w:tcPr>
            <w:tcW w:type="dxa" w:w="3005"/>
            <w:vAlign w:val="center"/>
            <w:tcBorders>
              <w:top w:val="nil"/>
              <w:bottom w:val="single" w:sz="8" w:space="0" w:color="000000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</w:r>
          </w:p>
        </w:tc>
        <w:tc>
          <w:tcPr>
            <w:tcW w:type="dxa" w:w="3005"/>
            <w:vAlign w:val="center"/>
            <w:tcBorders>
              <w:top w:val="nil"/>
              <w:bottom w:val="single" w:sz="8" w:space="0" w:color="000000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</w:r>
          </w:p>
        </w:tc>
      </w:tr>
    </w:tbl>
    <w:p>
      <w:pPr>
        <w:spacing w:before="40" w:after="60" w:line="240" w:lineRule="auto"/>
      </w:pPr>
    </w:p>
    <w:p>
      <w:pPr>
        <w:pStyle w:val="CaseHeading1"/>
        <w:spacing w:line="276" w:lineRule="auto"/>
      </w:pPr>
      <w:r>
        <w:rPr>
          <w:rFonts w:ascii="EB Garamond" w:hAnsi="EB Garamond" w:eastAsia="EB Garamond"/>
        </w:rPr>
        <w:t>4. Deep understanding framework</w:t>
      </w:r>
    </w:p>
    <w:p>
      <w:pPr>
        <w:spacing w:line="276" w:lineRule="auto"/>
      </w:pPr>
      <w:r>
        <w:rPr>
          <w:rFonts w:ascii="EB Garamond" w:hAnsi="EB Garamond" w:eastAsia="EB Garamond"/>
        </w:rPr>
        <w:t>Besvar hvert spørgsmål kort før du bygger modellen. Pointen er at tvinge dig selv til at forstå, hvad modellen prøver at bevise, før du begynder at regne.</w:t>
      </w:r>
    </w:p>
    <w:p>
      <w:pPr>
        <w:pStyle w:val="CaseHeading2"/>
        <w:spacing w:line="276" w:lineRule="auto"/>
      </w:pPr>
      <w:r>
        <w:rPr>
          <w:rFonts w:ascii="EB Garamond" w:hAnsi="EB Garamond" w:eastAsia="EB Garamond"/>
        </w:rPr>
        <w:t>4.1 What are we trying to solve?</w:t>
      </w:r>
    </w:p>
    <w:p>
      <w:pPr>
        <w:spacing w:line="276" w:lineRule="auto"/>
      </w:pPr>
      <w:r>
        <w:rPr>
          <w:rFonts w:ascii="EB Garamond" w:hAnsi="EB Garamond" w:eastAsia="EB Garamond"/>
        </w:rPr>
        <w:t>Forklar på maksimalt seks linjer, hvorfor Ørsted kan have behov for en stor kapitalrejsning, og hvorfor execution certainty bliver vigtigere end at minimere den umiddelbare tegningsrabat.</w:t>
      </w:r>
    </w:p>
    <w:p>
      <w:pPr>
        <w:spacing w:after="40" w:line="240" w:lineRule="auto"/>
      </w:pPr>
      <w:r>
        <w:rPr>
          <w:rFonts w:ascii="EB Garamond" w:hAnsi="EB Garamond" w:eastAsia="EB Garamond"/>
          <w:sz w:val="18"/>
        </w:rPr>
        <w:t>____________________________________________________________________________________________</w:t>
      </w:r>
    </w:p>
    <w:p>
      <w:pPr>
        <w:spacing w:after="40" w:line="240" w:lineRule="auto"/>
      </w:pPr>
      <w:r>
        <w:rPr>
          <w:rFonts w:ascii="EB Garamond" w:hAnsi="EB Garamond" w:eastAsia="EB Garamond"/>
          <w:sz w:val="18"/>
        </w:rPr>
        <w:t>____________________________________________________________________________________________</w:t>
      </w:r>
    </w:p>
    <w:p>
      <w:pPr>
        <w:spacing w:after="40" w:line="240" w:lineRule="auto"/>
      </w:pPr>
      <w:r>
        <w:rPr>
          <w:rFonts w:ascii="EB Garamond" w:hAnsi="EB Garamond" w:eastAsia="EB Garamond"/>
          <w:sz w:val="18"/>
        </w:rPr>
        <w:t>____________________________________________________________________________________________</w:t>
      </w:r>
    </w:p>
    <w:p>
      <w:pPr>
        <w:spacing w:after="40" w:line="240" w:lineRule="auto"/>
      </w:pPr>
      <w:r>
        <w:rPr>
          <w:rFonts w:ascii="EB Garamond" w:hAnsi="EB Garamond" w:eastAsia="EB Garamond"/>
          <w:sz w:val="18"/>
        </w:rPr>
        <w:t>____________________________________________________________________________________________</w:t>
      </w:r>
    </w:p>
    <w:p>
      <w:pPr>
        <w:spacing w:after="40" w:line="240" w:lineRule="auto"/>
      </w:pPr>
      <w:r>
        <w:rPr>
          <w:rFonts w:ascii="EB Garamond" w:hAnsi="EB Garamond" w:eastAsia="EB Garamond"/>
          <w:sz w:val="18"/>
        </w:rPr>
        <w:t>____________________________________________________________________________________________</w:t>
      </w:r>
    </w:p>
    <w:p>
      <w:pPr>
        <w:spacing w:after="40" w:line="240" w:lineRule="auto"/>
      </w:pPr>
      <w:r>
        <w:rPr>
          <w:rFonts w:ascii="EB Garamond" w:hAnsi="EB Garamond" w:eastAsia="EB Garamond"/>
          <w:sz w:val="18"/>
        </w:rPr>
        <w:t>____________________________________________________________________________________________</w:t>
      </w:r>
    </w:p>
    <w:p>
      <w:pPr>
        <w:pStyle w:val="CaseHeading2"/>
        <w:spacing w:line="276" w:lineRule="auto"/>
      </w:pPr>
      <w:r>
        <w:rPr>
          <w:rFonts w:ascii="EB Garamond" w:hAnsi="EB Garamond" w:eastAsia="EB Garamond"/>
        </w:rPr>
        <w:t>4.2 Who wants what?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53"/>
        <w:gridCol w:w="2253"/>
        <w:gridCol w:w="2253"/>
        <w:gridCol w:w="2253"/>
      </w:tblGrid>
      <w:tr>
        <w:trPr>
          <w:trHeight w:hRule="atLeast" w:val="351"/>
          <w:tblHeader w:val="true"/>
        </w:trPr>
        <w:tc>
          <w:tcPr>
            <w:tcW w:type="dxa" w:w="2253"/>
            <w:vAlign w:val="center"/>
            <w:tcBorders>
              <w:top w:val="single" w:sz="8" w:space="0" w:color="000000"/>
              <w:bottom w:val="single" w:sz="4" w:space="0" w:color="000000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b/>
                <w:sz w:val="18"/>
              </w:rPr>
            </w:r>
            <w:r>
              <w:rPr>
                <w:rFonts w:ascii="EB Garamond" w:hAnsi="EB Garamond" w:eastAsia="EB Garamond"/>
                <w:b/>
                <w:sz w:val="18"/>
              </w:rPr>
              <w:t>Stakeholder</w:t>
            </w:r>
          </w:p>
        </w:tc>
        <w:tc>
          <w:tcPr>
            <w:tcW w:type="dxa" w:w="2253"/>
            <w:vAlign w:val="center"/>
            <w:tcBorders>
              <w:top w:val="single" w:sz="8" w:space="0" w:color="000000"/>
              <w:bottom w:val="single" w:sz="4" w:space="0" w:color="000000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b/>
                <w:sz w:val="18"/>
              </w:rPr>
            </w:r>
            <w:r>
              <w:rPr>
                <w:rFonts w:ascii="EB Garamond" w:hAnsi="EB Garamond" w:eastAsia="EB Garamond"/>
                <w:b/>
                <w:sz w:val="18"/>
              </w:rPr>
              <w:t>Wants</w:t>
            </w:r>
          </w:p>
        </w:tc>
        <w:tc>
          <w:tcPr>
            <w:tcW w:type="dxa" w:w="2253"/>
            <w:vAlign w:val="center"/>
            <w:tcBorders>
              <w:top w:val="single" w:sz="8" w:space="0" w:color="000000"/>
              <w:bottom w:val="single" w:sz="4" w:space="0" w:color="000000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b/>
                <w:sz w:val="18"/>
              </w:rPr>
            </w:r>
            <w:r>
              <w:rPr>
                <w:rFonts w:ascii="EB Garamond" w:hAnsi="EB Garamond" w:eastAsia="EB Garamond"/>
                <w:b/>
                <w:sz w:val="18"/>
              </w:rPr>
              <w:t>Fears</w:t>
            </w:r>
          </w:p>
        </w:tc>
        <w:tc>
          <w:tcPr>
            <w:tcW w:type="dxa" w:w="2253"/>
            <w:vAlign w:val="center"/>
            <w:tcBorders>
              <w:top w:val="single" w:sz="8" w:space="0" w:color="000000"/>
              <w:bottom w:val="single" w:sz="4" w:space="0" w:color="000000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b/>
                <w:sz w:val="18"/>
              </w:rPr>
            </w:r>
            <w:r>
              <w:rPr>
                <w:rFonts w:ascii="EB Garamond" w:hAnsi="EB Garamond" w:eastAsia="EB Garamond"/>
                <w:b/>
                <w:sz w:val="18"/>
              </w:rPr>
              <w:t>Implication for the rights issue</w:t>
            </w:r>
          </w:p>
        </w:tc>
      </w:tr>
      <w:tr>
        <w:trPr>
          <w:trHeight w:hRule="atLeast" w:val="351"/>
        </w:trPr>
        <w:tc>
          <w:tcPr>
            <w:tcW w:type="dxa" w:w="2253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Ørsted</w:t>
            </w:r>
          </w:p>
        </w:tc>
        <w:tc>
          <w:tcPr>
            <w:tcW w:type="dxa" w:w="2253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</w:r>
          </w:p>
        </w:tc>
        <w:tc>
          <w:tcPr>
            <w:tcW w:type="dxa" w:w="2253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</w:r>
          </w:p>
        </w:tc>
        <w:tc>
          <w:tcPr>
            <w:tcW w:type="dxa" w:w="2253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</w:r>
          </w:p>
        </w:tc>
      </w:tr>
      <w:tr>
        <w:trPr>
          <w:trHeight w:hRule="atLeast" w:val="351"/>
        </w:trPr>
        <w:tc>
          <w:tcPr>
            <w:tcW w:type="dxa" w:w="2253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Existing shareholders</w:t>
            </w:r>
          </w:p>
        </w:tc>
        <w:tc>
          <w:tcPr>
            <w:tcW w:type="dxa" w:w="2253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</w:r>
          </w:p>
        </w:tc>
        <w:tc>
          <w:tcPr>
            <w:tcW w:type="dxa" w:w="2253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</w:r>
          </w:p>
        </w:tc>
        <w:tc>
          <w:tcPr>
            <w:tcW w:type="dxa" w:w="2253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</w:r>
          </w:p>
        </w:tc>
      </w:tr>
      <w:tr>
        <w:trPr>
          <w:trHeight w:hRule="atLeast" w:val="351"/>
        </w:trPr>
        <w:tc>
          <w:tcPr>
            <w:tcW w:type="dxa" w:w="2253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Non-participating shareholders</w:t>
            </w:r>
          </w:p>
        </w:tc>
        <w:tc>
          <w:tcPr>
            <w:tcW w:type="dxa" w:w="2253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</w:r>
          </w:p>
        </w:tc>
        <w:tc>
          <w:tcPr>
            <w:tcW w:type="dxa" w:w="2253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</w:r>
          </w:p>
        </w:tc>
        <w:tc>
          <w:tcPr>
            <w:tcW w:type="dxa" w:w="2253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</w:r>
          </w:p>
        </w:tc>
      </w:tr>
      <w:tr>
        <w:trPr>
          <w:trHeight w:hRule="atLeast" w:val="351"/>
        </w:trPr>
        <w:tc>
          <w:tcPr>
            <w:tcW w:type="dxa" w:w="2253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Danish State</w:t>
            </w:r>
          </w:p>
        </w:tc>
        <w:tc>
          <w:tcPr>
            <w:tcW w:type="dxa" w:w="2253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</w:r>
          </w:p>
        </w:tc>
        <w:tc>
          <w:tcPr>
            <w:tcW w:type="dxa" w:w="2253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</w:r>
          </w:p>
        </w:tc>
        <w:tc>
          <w:tcPr>
            <w:tcW w:type="dxa" w:w="2253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</w:r>
          </w:p>
        </w:tc>
      </w:tr>
      <w:tr>
        <w:trPr>
          <w:trHeight w:hRule="atLeast" w:val="351"/>
        </w:trPr>
        <w:tc>
          <w:tcPr>
            <w:tcW w:type="dxa" w:w="2253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New investors</w:t>
            </w:r>
          </w:p>
        </w:tc>
        <w:tc>
          <w:tcPr>
            <w:tcW w:type="dxa" w:w="2253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</w:r>
          </w:p>
        </w:tc>
        <w:tc>
          <w:tcPr>
            <w:tcW w:type="dxa" w:w="2253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</w:r>
          </w:p>
        </w:tc>
        <w:tc>
          <w:tcPr>
            <w:tcW w:type="dxa" w:w="2253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</w:r>
          </w:p>
        </w:tc>
      </w:tr>
      <w:tr>
        <w:trPr>
          <w:trHeight w:hRule="atLeast" w:val="351"/>
        </w:trPr>
        <w:tc>
          <w:tcPr>
            <w:tcW w:type="dxa" w:w="2253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Underwriting banks</w:t>
            </w:r>
          </w:p>
        </w:tc>
        <w:tc>
          <w:tcPr>
            <w:tcW w:type="dxa" w:w="2253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</w:r>
          </w:p>
        </w:tc>
        <w:tc>
          <w:tcPr>
            <w:tcW w:type="dxa" w:w="2253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</w:r>
          </w:p>
        </w:tc>
        <w:tc>
          <w:tcPr>
            <w:tcW w:type="dxa" w:w="2253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</w:r>
          </w:p>
        </w:tc>
      </w:tr>
      <w:tr>
        <w:trPr>
          <w:trHeight w:hRule="atLeast" w:val="351"/>
        </w:trPr>
        <w:tc>
          <w:tcPr>
            <w:tcW w:type="dxa" w:w="2253"/>
            <w:vAlign w:val="center"/>
            <w:tcBorders>
              <w:top w:val="nil"/>
              <w:bottom w:val="single" w:sz="8" w:space="0" w:color="000000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Danske Bank / adviser</w:t>
            </w:r>
          </w:p>
        </w:tc>
        <w:tc>
          <w:tcPr>
            <w:tcW w:type="dxa" w:w="2253"/>
            <w:vAlign w:val="center"/>
            <w:tcBorders>
              <w:top w:val="nil"/>
              <w:bottom w:val="single" w:sz="8" w:space="0" w:color="000000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</w:r>
          </w:p>
        </w:tc>
        <w:tc>
          <w:tcPr>
            <w:tcW w:type="dxa" w:w="2253"/>
            <w:vAlign w:val="center"/>
            <w:tcBorders>
              <w:top w:val="nil"/>
              <w:bottom w:val="single" w:sz="8" w:space="0" w:color="000000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</w:r>
          </w:p>
        </w:tc>
        <w:tc>
          <w:tcPr>
            <w:tcW w:type="dxa" w:w="2253"/>
            <w:vAlign w:val="center"/>
            <w:tcBorders>
              <w:top w:val="nil"/>
              <w:bottom w:val="single" w:sz="8" w:space="0" w:color="000000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</w:r>
          </w:p>
        </w:tc>
      </w:tr>
    </w:tbl>
    <w:p>
      <w:pPr>
        <w:spacing w:before="40" w:after="60" w:line="240" w:lineRule="auto"/>
      </w:pPr>
    </w:p>
    <w:p>
      <w:pPr>
        <w:pStyle w:val="CaseHeading2"/>
        <w:spacing w:line="276" w:lineRule="auto"/>
      </w:pPr>
      <w:r>
        <w:rPr>
          <w:rFonts w:ascii="EB Garamond" w:hAnsi="EB Garamond" w:eastAsia="EB Garamond"/>
        </w:rPr>
        <w:t>4.3 What is the technical mechanism?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53"/>
        <w:gridCol w:w="2253"/>
        <w:gridCol w:w="2253"/>
        <w:gridCol w:w="2253"/>
      </w:tblGrid>
      <w:tr>
        <w:trPr>
          <w:trHeight w:hRule="atLeast" w:val="351"/>
          <w:tblHeader w:val="true"/>
        </w:trPr>
        <w:tc>
          <w:tcPr>
            <w:tcW w:type="dxa" w:w="2253"/>
            <w:vAlign w:val="center"/>
            <w:tcBorders>
              <w:top w:val="single" w:sz="8" w:space="0" w:color="000000"/>
              <w:bottom w:val="single" w:sz="4" w:space="0" w:color="000000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b/>
                <w:sz w:val="18"/>
              </w:rPr>
            </w:r>
            <w:r>
              <w:rPr>
                <w:rFonts w:ascii="EB Garamond" w:hAnsi="EB Garamond" w:eastAsia="EB Garamond"/>
                <w:b/>
                <w:sz w:val="18"/>
              </w:rPr>
              <w:t>Term</w:t>
            </w:r>
          </w:p>
        </w:tc>
        <w:tc>
          <w:tcPr>
            <w:tcW w:type="dxa" w:w="2253"/>
            <w:vAlign w:val="center"/>
            <w:tcBorders>
              <w:top w:val="single" w:sz="8" w:space="0" w:color="000000"/>
              <w:bottom w:val="single" w:sz="4" w:space="0" w:color="000000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b/>
                <w:sz w:val="18"/>
              </w:rPr>
            </w:r>
            <w:r>
              <w:rPr>
                <w:rFonts w:ascii="EB Garamond" w:hAnsi="EB Garamond" w:eastAsia="EB Garamond"/>
                <w:b/>
                <w:sz w:val="18"/>
              </w:rPr>
              <w:t>Definition in your own words</w:t>
            </w:r>
          </w:p>
        </w:tc>
        <w:tc>
          <w:tcPr>
            <w:tcW w:type="dxa" w:w="2253"/>
            <w:vAlign w:val="center"/>
            <w:tcBorders>
              <w:top w:val="single" w:sz="8" w:space="0" w:color="000000"/>
              <w:bottom w:val="single" w:sz="4" w:space="0" w:color="000000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b/>
                <w:sz w:val="18"/>
              </w:rPr>
            </w:r>
            <w:r>
              <w:rPr>
                <w:rFonts w:ascii="EB Garamond" w:hAnsi="EB Garamond" w:eastAsia="EB Garamond"/>
                <w:b/>
                <w:sz w:val="18"/>
              </w:rPr>
              <w:t>Where it appears in the model</w:t>
            </w:r>
          </w:p>
        </w:tc>
        <w:tc>
          <w:tcPr>
            <w:tcW w:type="dxa" w:w="2253"/>
            <w:vAlign w:val="center"/>
            <w:tcBorders>
              <w:top w:val="single" w:sz="8" w:space="0" w:color="000000"/>
              <w:bottom w:val="single" w:sz="4" w:space="0" w:color="000000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b/>
                <w:sz w:val="18"/>
              </w:rPr>
            </w:r>
            <w:r>
              <w:rPr>
                <w:rFonts w:ascii="EB Garamond" w:hAnsi="EB Garamond" w:eastAsia="EB Garamond"/>
                <w:b/>
                <w:sz w:val="18"/>
              </w:rPr>
              <w:t>Common misunderstanding</w:t>
            </w:r>
          </w:p>
        </w:tc>
      </w:tr>
      <w:tr>
        <w:trPr>
          <w:trHeight w:hRule="atLeast" w:val="351"/>
        </w:trPr>
        <w:tc>
          <w:tcPr>
            <w:tcW w:type="dxa" w:w="2253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Rights issue</w:t>
            </w:r>
          </w:p>
        </w:tc>
        <w:tc>
          <w:tcPr>
            <w:tcW w:type="dxa" w:w="2253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</w:r>
          </w:p>
        </w:tc>
        <w:tc>
          <w:tcPr>
            <w:tcW w:type="dxa" w:w="2253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</w:r>
          </w:p>
        </w:tc>
        <w:tc>
          <w:tcPr>
            <w:tcW w:type="dxa" w:w="2253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</w:r>
          </w:p>
        </w:tc>
      </w:tr>
      <w:tr>
        <w:trPr>
          <w:trHeight w:hRule="atLeast" w:val="351"/>
        </w:trPr>
        <w:tc>
          <w:tcPr>
            <w:tcW w:type="dxa" w:w="2253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Pre-emption rights</w:t>
            </w:r>
          </w:p>
        </w:tc>
        <w:tc>
          <w:tcPr>
            <w:tcW w:type="dxa" w:w="2253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</w:r>
          </w:p>
        </w:tc>
        <w:tc>
          <w:tcPr>
            <w:tcW w:type="dxa" w:w="2253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</w:r>
          </w:p>
        </w:tc>
        <w:tc>
          <w:tcPr>
            <w:tcW w:type="dxa" w:w="2253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</w:r>
          </w:p>
        </w:tc>
      </w:tr>
      <w:tr>
        <w:trPr>
          <w:trHeight w:hRule="atLeast" w:val="351"/>
        </w:trPr>
        <w:tc>
          <w:tcPr>
            <w:tcW w:type="dxa" w:w="2253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Subscription price</w:t>
            </w:r>
          </w:p>
        </w:tc>
        <w:tc>
          <w:tcPr>
            <w:tcW w:type="dxa" w:w="2253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</w:r>
          </w:p>
        </w:tc>
        <w:tc>
          <w:tcPr>
            <w:tcW w:type="dxa" w:w="2253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</w:r>
          </w:p>
        </w:tc>
        <w:tc>
          <w:tcPr>
            <w:tcW w:type="dxa" w:w="2253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</w:r>
          </w:p>
        </w:tc>
      </w:tr>
      <w:tr>
        <w:trPr>
          <w:trHeight w:hRule="atLeast" w:val="351"/>
        </w:trPr>
        <w:tc>
          <w:tcPr>
            <w:tcW w:type="dxa" w:w="2253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TERP</w:t>
            </w:r>
          </w:p>
        </w:tc>
        <w:tc>
          <w:tcPr>
            <w:tcW w:type="dxa" w:w="2253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</w:r>
          </w:p>
        </w:tc>
        <w:tc>
          <w:tcPr>
            <w:tcW w:type="dxa" w:w="2253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</w:r>
          </w:p>
        </w:tc>
        <w:tc>
          <w:tcPr>
            <w:tcW w:type="dxa" w:w="2253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</w:r>
          </w:p>
        </w:tc>
      </w:tr>
      <w:tr>
        <w:trPr>
          <w:trHeight w:hRule="atLeast" w:val="351"/>
        </w:trPr>
        <w:tc>
          <w:tcPr>
            <w:tcW w:type="dxa" w:w="2253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Theoretical value of right</w:t>
            </w:r>
          </w:p>
        </w:tc>
        <w:tc>
          <w:tcPr>
            <w:tcW w:type="dxa" w:w="2253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</w:r>
          </w:p>
        </w:tc>
        <w:tc>
          <w:tcPr>
            <w:tcW w:type="dxa" w:w="2253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</w:r>
          </w:p>
        </w:tc>
        <w:tc>
          <w:tcPr>
            <w:tcW w:type="dxa" w:w="2253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</w:r>
          </w:p>
        </w:tc>
      </w:tr>
      <w:tr>
        <w:trPr>
          <w:trHeight w:hRule="atLeast" w:val="351"/>
        </w:trPr>
        <w:tc>
          <w:tcPr>
            <w:tcW w:type="dxa" w:w="2253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Take-up rate</w:t>
            </w:r>
          </w:p>
        </w:tc>
        <w:tc>
          <w:tcPr>
            <w:tcW w:type="dxa" w:w="2253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</w:r>
          </w:p>
        </w:tc>
        <w:tc>
          <w:tcPr>
            <w:tcW w:type="dxa" w:w="2253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</w:r>
          </w:p>
        </w:tc>
        <w:tc>
          <w:tcPr>
            <w:tcW w:type="dxa" w:w="2253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</w:r>
          </w:p>
        </w:tc>
      </w:tr>
      <w:tr>
        <w:trPr>
          <w:trHeight w:hRule="atLeast" w:val="351"/>
        </w:trPr>
        <w:tc>
          <w:tcPr>
            <w:tcW w:type="dxa" w:w="2253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Rump shares</w:t>
            </w:r>
          </w:p>
        </w:tc>
        <w:tc>
          <w:tcPr>
            <w:tcW w:type="dxa" w:w="2253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</w:r>
          </w:p>
        </w:tc>
        <w:tc>
          <w:tcPr>
            <w:tcW w:type="dxa" w:w="2253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</w:r>
          </w:p>
        </w:tc>
        <w:tc>
          <w:tcPr>
            <w:tcW w:type="dxa" w:w="2253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</w:r>
          </w:p>
        </w:tc>
      </w:tr>
      <w:tr>
        <w:trPr>
          <w:trHeight w:hRule="atLeast" w:val="351"/>
        </w:trPr>
        <w:tc>
          <w:tcPr>
            <w:tcW w:type="dxa" w:w="2253"/>
            <w:vAlign w:val="center"/>
            <w:tcBorders>
              <w:top w:val="nil"/>
              <w:bottom w:val="single" w:sz="8" w:space="0" w:color="000000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Underwriting</w:t>
            </w:r>
          </w:p>
        </w:tc>
        <w:tc>
          <w:tcPr>
            <w:tcW w:type="dxa" w:w="2253"/>
            <w:vAlign w:val="center"/>
            <w:tcBorders>
              <w:top w:val="nil"/>
              <w:bottom w:val="single" w:sz="8" w:space="0" w:color="000000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</w:r>
          </w:p>
        </w:tc>
        <w:tc>
          <w:tcPr>
            <w:tcW w:type="dxa" w:w="2253"/>
            <w:vAlign w:val="center"/>
            <w:tcBorders>
              <w:top w:val="nil"/>
              <w:bottom w:val="single" w:sz="8" w:space="0" w:color="000000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</w:r>
          </w:p>
        </w:tc>
        <w:tc>
          <w:tcPr>
            <w:tcW w:type="dxa" w:w="2253"/>
            <w:vAlign w:val="center"/>
            <w:tcBorders>
              <w:top w:val="nil"/>
              <w:bottom w:val="single" w:sz="8" w:space="0" w:color="000000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</w:r>
          </w:p>
        </w:tc>
      </w:tr>
    </w:tbl>
    <w:p>
      <w:pPr>
        <w:spacing w:before="40" w:after="60" w:line="240" w:lineRule="auto"/>
      </w:pPr>
    </w:p>
    <w:p>
      <w:pPr>
        <w:pStyle w:val="CaseHeading2"/>
        <w:spacing w:line="276" w:lineRule="auto"/>
      </w:pPr>
      <w:r>
        <w:rPr>
          <w:rFonts w:ascii="EB Garamond" w:hAnsi="EB Garamond" w:eastAsia="EB Garamond"/>
        </w:rPr>
        <w:t>4.4 What would the analyst build?</w:t>
      </w:r>
    </w:p>
    <w:p>
      <w:pPr>
        <w:spacing w:after="40" w:line="276" w:lineRule="auto"/>
      </w:pPr>
      <w:r>
        <w:rPr>
          <w:rFonts w:ascii="EB Garamond" w:hAnsi="EB Garamond" w:eastAsia="EB Garamond"/>
          <w:sz w:val="21"/>
        </w:rPr>
        <w:t xml:space="preserve">☐  </w:t>
      </w:r>
      <w:r>
        <w:rPr>
          <w:rFonts w:ascii="EB Garamond" w:hAnsi="EB Garamond" w:eastAsia="EB Garamond"/>
          <w:sz w:val="21"/>
        </w:rPr>
        <w:t>Input table with factual inputs and clearly marked assumptions.</w:t>
      </w:r>
    </w:p>
    <w:p>
      <w:pPr>
        <w:spacing w:after="40" w:line="276" w:lineRule="auto"/>
      </w:pPr>
      <w:r>
        <w:rPr>
          <w:rFonts w:ascii="EB Garamond" w:hAnsi="EB Garamond" w:eastAsia="EB Garamond"/>
          <w:sz w:val="21"/>
        </w:rPr>
        <w:t xml:space="preserve">☐  </w:t>
      </w:r>
      <w:r>
        <w:rPr>
          <w:rFonts w:ascii="EB Garamond" w:hAnsi="EB Garamond" w:eastAsia="EB Garamond"/>
          <w:sz w:val="21"/>
        </w:rPr>
        <w:t>TERP calculation block.</w:t>
      </w:r>
    </w:p>
    <w:p>
      <w:pPr>
        <w:spacing w:after="40" w:line="276" w:lineRule="auto"/>
      </w:pPr>
      <w:r>
        <w:rPr>
          <w:rFonts w:ascii="EB Garamond" w:hAnsi="EB Garamond" w:eastAsia="EB Garamond"/>
          <w:sz w:val="21"/>
        </w:rPr>
        <w:t xml:space="preserve">☐  </w:t>
      </w:r>
      <w:r>
        <w:rPr>
          <w:rFonts w:ascii="EB Garamond" w:hAnsi="EB Garamond" w:eastAsia="EB Garamond"/>
          <w:sz w:val="21"/>
        </w:rPr>
        <w:t>Proceeds bridge from gross proceeds to net proceeds.</w:t>
      </w:r>
    </w:p>
    <w:p>
      <w:pPr>
        <w:spacing w:after="40" w:line="276" w:lineRule="auto"/>
      </w:pPr>
      <w:r>
        <w:rPr>
          <w:rFonts w:ascii="EB Garamond" w:hAnsi="EB Garamond" w:eastAsia="EB Garamond"/>
          <w:sz w:val="21"/>
        </w:rPr>
        <w:t xml:space="preserve">☐  </w:t>
      </w:r>
      <w:r>
        <w:rPr>
          <w:rFonts w:ascii="EB Garamond" w:hAnsi="EB Garamond" w:eastAsia="EB Garamond"/>
          <w:sz w:val="21"/>
        </w:rPr>
        <w:t>Ownership before and after for participating and non-participating shareholders.</w:t>
      </w:r>
    </w:p>
    <w:p>
      <w:pPr>
        <w:spacing w:after="40" w:line="276" w:lineRule="auto"/>
      </w:pPr>
      <w:r>
        <w:rPr>
          <w:rFonts w:ascii="EB Garamond" w:hAnsi="EB Garamond" w:eastAsia="EB Garamond"/>
          <w:sz w:val="21"/>
        </w:rPr>
        <w:t xml:space="preserve">☐  </w:t>
      </w:r>
      <w:r>
        <w:rPr>
          <w:rFonts w:ascii="EB Garamond" w:hAnsi="EB Garamond" w:eastAsia="EB Garamond"/>
          <w:sz w:val="21"/>
        </w:rPr>
        <w:t>Sensitivity table for subscription price and new shares or issue size.</w:t>
      </w:r>
    </w:p>
    <w:p>
      <w:pPr>
        <w:spacing w:after="40" w:line="276" w:lineRule="auto"/>
      </w:pPr>
      <w:r>
        <w:rPr>
          <w:rFonts w:ascii="EB Garamond" w:hAnsi="EB Garamond" w:eastAsia="EB Garamond"/>
          <w:sz w:val="21"/>
        </w:rPr>
        <w:t xml:space="preserve">☐  </w:t>
      </w:r>
      <w:r>
        <w:rPr>
          <w:rFonts w:ascii="EB Garamond" w:hAnsi="EB Garamond" w:eastAsia="EB Garamond"/>
          <w:sz w:val="21"/>
        </w:rPr>
        <w:t>Price bridge chart and ownership before/after chart.</w:t>
      </w:r>
    </w:p>
    <w:p>
      <w:pPr>
        <w:spacing w:after="40" w:line="276" w:lineRule="auto"/>
      </w:pPr>
      <w:r>
        <w:rPr>
          <w:rFonts w:ascii="EB Garamond" w:hAnsi="EB Garamond" w:eastAsia="EB Garamond"/>
          <w:sz w:val="21"/>
        </w:rPr>
        <w:t xml:space="preserve">☐  </w:t>
      </w:r>
      <w:r>
        <w:rPr>
          <w:rFonts w:ascii="EB Garamond" w:hAnsi="EB Garamond" w:eastAsia="EB Garamond"/>
          <w:sz w:val="21"/>
        </w:rPr>
        <w:t>90_Checks with proceeds tie-out, share count tie-out, TERP logic check and ownership total check.</w:t>
      </w:r>
    </w:p>
    <w:p>
      <w:pPr>
        <w:spacing w:after="40" w:line="276" w:lineRule="auto"/>
      </w:pPr>
      <w:r>
        <w:rPr>
          <w:rFonts w:ascii="EB Garamond" w:hAnsi="EB Garamond" w:eastAsia="EB Garamond"/>
          <w:sz w:val="21"/>
        </w:rPr>
        <w:t xml:space="preserve">☐  </w:t>
      </w:r>
      <w:r>
        <w:rPr>
          <w:rFonts w:ascii="EB Garamond" w:hAnsi="EB Garamond" w:eastAsia="EB Garamond"/>
          <w:sz w:val="21"/>
        </w:rPr>
        <w:t>8-line Associate email with conclusion, risks and next step.</w:t>
      </w:r>
    </w:p>
    <w:p>
      <w:pPr>
        <w:pStyle w:val="CaseHeading2"/>
        <w:spacing w:line="276" w:lineRule="auto"/>
      </w:pPr>
      <w:r>
        <w:rPr>
          <w:rFonts w:ascii="EB Garamond" w:hAnsi="EB Garamond" w:eastAsia="EB Garamond"/>
        </w:rPr>
        <w:t>4.5 Common junior mistakes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05"/>
        <w:gridCol w:w="3005"/>
        <w:gridCol w:w="3005"/>
      </w:tblGrid>
      <w:tr>
        <w:trPr>
          <w:trHeight w:hRule="atLeast" w:val="351"/>
          <w:tblHeader w:val="true"/>
        </w:trPr>
        <w:tc>
          <w:tcPr>
            <w:tcW w:type="dxa" w:w="3005"/>
            <w:vAlign w:val="center"/>
            <w:tcBorders>
              <w:top w:val="single" w:sz="8" w:space="0" w:color="000000"/>
              <w:bottom w:val="single" w:sz="4" w:space="0" w:color="000000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b/>
                <w:sz w:val="18"/>
              </w:rPr>
            </w:r>
            <w:r>
              <w:rPr>
                <w:rFonts w:ascii="EB Garamond" w:hAnsi="EB Garamond" w:eastAsia="EB Garamond"/>
                <w:b/>
                <w:sz w:val="18"/>
              </w:rPr>
              <w:t>Mistake</w:t>
            </w:r>
          </w:p>
        </w:tc>
        <w:tc>
          <w:tcPr>
            <w:tcW w:type="dxa" w:w="3005"/>
            <w:vAlign w:val="center"/>
            <w:tcBorders>
              <w:top w:val="single" w:sz="8" w:space="0" w:color="000000"/>
              <w:bottom w:val="single" w:sz="4" w:space="0" w:color="000000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b/>
                <w:sz w:val="18"/>
              </w:rPr>
            </w:r>
            <w:r>
              <w:rPr>
                <w:rFonts w:ascii="EB Garamond" w:hAnsi="EB Garamond" w:eastAsia="EB Garamond"/>
                <w:b/>
                <w:sz w:val="18"/>
              </w:rPr>
              <w:t>Why it matters</w:t>
            </w:r>
          </w:p>
        </w:tc>
        <w:tc>
          <w:tcPr>
            <w:tcW w:type="dxa" w:w="3005"/>
            <w:vAlign w:val="center"/>
            <w:tcBorders>
              <w:top w:val="single" w:sz="8" w:space="0" w:color="000000"/>
              <w:bottom w:val="single" w:sz="4" w:space="0" w:color="000000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b/>
                <w:sz w:val="18"/>
              </w:rPr>
            </w:r>
            <w:r>
              <w:rPr>
                <w:rFonts w:ascii="EB Garamond" w:hAnsi="EB Garamond" w:eastAsia="EB Garamond"/>
                <w:b/>
                <w:sz w:val="18"/>
              </w:rPr>
              <w:t>How to avoid it</w:t>
            </w:r>
          </w:p>
        </w:tc>
      </w:tr>
      <w:tr>
        <w:trPr>
          <w:trHeight w:hRule="atLeast" w:val="351"/>
        </w:trPr>
        <w:tc>
          <w:tcPr>
            <w:tcW w:type="dxa" w:w="300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Confusing subscription price with TERP</w:t>
            </w:r>
          </w:p>
        </w:tc>
        <w:tc>
          <w:tcPr>
            <w:tcW w:type="dxa" w:w="300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Misstates the economic impact of the issue</w:t>
            </w:r>
          </w:p>
        </w:tc>
        <w:tc>
          <w:tcPr>
            <w:tcW w:type="dxa" w:w="300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Show both lines separately in price bridge</w:t>
            </w:r>
          </w:p>
        </w:tc>
      </w:tr>
      <w:tr>
        <w:trPr>
          <w:trHeight w:hRule="atLeast" w:val="351"/>
        </w:trPr>
        <w:tc>
          <w:tcPr>
            <w:tcW w:type="dxa" w:w="300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Saying discount equals value destruction</w:t>
            </w:r>
          </w:p>
        </w:tc>
        <w:tc>
          <w:tcPr>
            <w:tcW w:type="dxa" w:w="300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Ignores that rights compensate existing shareholders</w:t>
            </w:r>
          </w:p>
        </w:tc>
        <w:tc>
          <w:tcPr>
            <w:tcW w:type="dxa" w:w="300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Explain pre-emption and right value</w:t>
            </w:r>
          </w:p>
        </w:tc>
      </w:tr>
      <w:tr>
        <w:trPr>
          <w:trHeight w:hRule="atLeast" w:val="351"/>
        </w:trPr>
        <w:tc>
          <w:tcPr>
            <w:tcW w:type="dxa" w:w="300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Calculating dilution without defining participation</w:t>
            </w:r>
          </w:p>
        </w:tc>
        <w:tc>
          <w:tcPr>
            <w:tcW w:type="dxa" w:w="300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Dilution depends on whether shareholder subscribes</w:t>
            </w:r>
          </w:p>
        </w:tc>
        <w:tc>
          <w:tcPr>
            <w:tcW w:type="dxa" w:w="300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Separate participating and non-participating cases</w:t>
            </w:r>
          </w:p>
        </w:tc>
      </w:tr>
      <w:tr>
        <w:trPr>
          <w:trHeight w:hRule="atLeast" w:val="351"/>
        </w:trPr>
        <w:tc>
          <w:tcPr>
            <w:tcW w:type="dxa" w:w="300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Forgetting gross vs net proceeds</w:t>
            </w:r>
          </w:p>
        </w:tc>
        <w:tc>
          <w:tcPr>
            <w:tcW w:type="dxa" w:w="300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Overstates capital available to issuer</w:t>
            </w:r>
          </w:p>
        </w:tc>
        <w:tc>
          <w:tcPr>
            <w:tcW w:type="dxa" w:w="300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Include fees and proceeds tie-out</w:t>
            </w:r>
          </w:p>
        </w:tc>
      </w:tr>
      <w:tr>
        <w:trPr>
          <w:trHeight w:hRule="atLeast" w:val="351"/>
        </w:trPr>
        <w:tc>
          <w:tcPr>
            <w:tcW w:type="dxa" w:w="3005"/>
            <w:vAlign w:val="center"/>
            <w:tcBorders>
              <w:top w:val="nil"/>
              <w:bottom w:val="single" w:sz="8" w:space="0" w:color="000000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Treating underwritten shares as free demand</w:t>
            </w:r>
          </w:p>
        </w:tc>
        <w:tc>
          <w:tcPr>
            <w:tcW w:type="dxa" w:w="3005"/>
            <w:vAlign w:val="center"/>
            <w:tcBorders>
              <w:top w:val="nil"/>
              <w:bottom w:val="single" w:sz="8" w:space="0" w:color="000000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Underwriters take risk only under specific conditions</w:t>
            </w:r>
          </w:p>
        </w:tc>
        <w:tc>
          <w:tcPr>
            <w:tcW w:type="dxa" w:w="3005"/>
            <w:vAlign w:val="center"/>
            <w:tcBorders>
              <w:top w:val="nil"/>
              <w:bottom w:val="single" w:sz="8" w:space="0" w:color="000000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Separate commitments, take-up and underwriting backstop</w:t>
            </w:r>
          </w:p>
        </w:tc>
      </w:tr>
    </w:tbl>
    <w:p>
      <w:pPr>
        <w:spacing w:before="40" w:after="60" w:line="240" w:lineRule="auto"/>
      </w:pPr>
    </w:p>
    <w:p>
      <w:pPr>
        <w:pStyle w:val="CaseHeading1"/>
        <w:spacing w:line="276" w:lineRule="auto"/>
      </w:pPr>
      <w:r>
        <w:rPr>
          <w:rFonts w:ascii="EB Garamond" w:hAnsi="EB Garamond" w:eastAsia="EB Garamond"/>
        </w:rPr>
        <w:t>5. Excel build instructions</w:t>
      </w:r>
    </w:p>
    <w:p>
      <w:pPr>
        <w:spacing w:line="276" w:lineRule="auto"/>
      </w:pPr>
      <w:r>
        <w:rPr>
          <w:rFonts w:ascii="EB Garamond" w:hAnsi="EB Garamond" w:eastAsia="EB Garamond"/>
        </w:rPr>
        <w:t>Build the workbook using the following tab structure. The model must be auditable, with inputs separated from calculations and outputs. Do not place calculations directly in the dashboard cells.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05"/>
        <w:gridCol w:w="3005"/>
        <w:gridCol w:w="3005"/>
      </w:tblGrid>
      <w:tr>
        <w:trPr>
          <w:trHeight w:hRule="atLeast" w:val="351"/>
          <w:tblHeader w:val="true"/>
        </w:trPr>
        <w:tc>
          <w:tcPr>
            <w:tcW w:type="dxa" w:w="3005"/>
            <w:vAlign w:val="center"/>
            <w:tcBorders>
              <w:top w:val="single" w:sz="8" w:space="0" w:color="000000"/>
              <w:bottom w:val="single" w:sz="4" w:space="0" w:color="000000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b/>
                <w:sz w:val="18"/>
              </w:rPr>
            </w:r>
            <w:r>
              <w:rPr>
                <w:rFonts w:ascii="EB Garamond" w:hAnsi="EB Garamond" w:eastAsia="EB Garamond"/>
                <w:b/>
                <w:sz w:val="18"/>
              </w:rPr>
              <w:t>Tab</w:t>
            </w:r>
          </w:p>
        </w:tc>
        <w:tc>
          <w:tcPr>
            <w:tcW w:type="dxa" w:w="3005"/>
            <w:vAlign w:val="center"/>
            <w:tcBorders>
              <w:top w:val="single" w:sz="8" w:space="0" w:color="000000"/>
              <w:bottom w:val="single" w:sz="4" w:space="0" w:color="000000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b/>
                <w:sz w:val="18"/>
              </w:rPr>
            </w:r>
            <w:r>
              <w:rPr>
                <w:rFonts w:ascii="EB Garamond" w:hAnsi="EB Garamond" w:eastAsia="EB Garamond"/>
                <w:b/>
                <w:sz w:val="18"/>
              </w:rPr>
              <w:t>Purpose</w:t>
            </w:r>
          </w:p>
        </w:tc>
        <w:tc>
          <w:tcPr>
            <w:tcW w:type="dxa" w:w="3005"/>
            <w:vAlign w:val="center"/>
            <w:tcBorders>
              <w:top w:val="single" w:sz="8" w:space="0" w:color="000000"/>
              <w:bottom w:val="single" w:sz="4" w:space="0" w:color="000000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b/>
                <w:sz w:val="18"/>
              </w:rPr>
            </w:r>
            <w:r>
              <w:rPr>
                <w:rFonts w:ascii="EB Garamond" w:hAnsi="EB Garamond" w:eastAsia="EB Garamond"/>
                <w:b/>
                <w:sz w:val="18"/>
              </w:rPr>
              <w:t>Minimum content</w:t>
            </w:r>
          </w:p>
        </w:tc>
      </w:tr>
      <w:tr>
        <w:trPr>
          <w:trHeight w:hRule="atLeast" w:val="351"/>
        </w:trPr>
        <w:tc>
          <w:tcPr>
            <w:tcW w:type="dxa" w:w="300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00_Cover</w:t>
            </w:r>
          </w:p>
        </w:tc>
        <w:tc>
          <w:tcPr>
            <w:tcW w:type="dxa" w:w="300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Metadata and scope</w:t>
            </w:r>
          </w:p>
        </w:tc>
        <w:tc>
          <w:tcPr>
            <w:tcW w:type="dxa" w:w="300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Case purpose, date, owner, version, source notes, completion status</w:t>
            </w:r>
          </w:p>
        </w:tc>
      </w:tr>
      <w:tr>
        <w:trPr>
          <w:trHeight w:hRule="atLeast" w:val="351"/>
        </w:trPr>
        <w:tc>
          <w:tcPr>
            <w:tcW w:type="dxa" w:w="300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01_Inputs</w:t>
            </w:r>
          </w:p>
        </w:tc>
        <w:tc>
          <w:tcPr>
            <w:tcW w:type="dxa" w:w="300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Factual inputs and assumptions</w:t>
            </w:r>
          </w:p>
        </w:tc>
        <w:tc>
          <w:tcPr>
            <w:tcW w:type="dxa" w:w="300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Share count, price, issue size, fees, take-up assumptions, scenario toggle</w:t>
            </w:r>
          </w:p>
        </w:tc>
      </w:tr>
      <w:tr>
        <w:trPr>
          <w:trHeight w:hRule="atLeast" w:val="351"/>
        </w:trPr>
        <w:tc>
          <w:tcPr>
            <w:tcW w:type="dxa" w:w="300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02_TERP_Calcs</w:t>
            </w:r>
          </w:p>
        </w:tc>
        <w:tc>
          <w:tcPr>
            <w:tcW w:type="dxa" w:w="300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TERP and rights economics</w:t>
            </w:r>
          </w:p>
        </w:tc>
        <w:tc>
          <w:tcPr>
            <w:tcW w:type="dxa" w:w="300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TERP, value per right, discount to pre-rights price, logical checks</w:t>
            </w:r>
          </w:p>
        </w:tc>
      </w:tr>
      <w:tr>
        <w:trPr>
          <w:trHeight w:hRule="atLeast" w:val="351"/>
        </w:trPr>
        <w:tc>
          <w:tcPr>
            <w:tcW w:type="dxa" w:w="300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03_Ownership</w:t>
            </w:r>
          </w:p>
        </w:tc>
        <w:tc>
          <w:tcPr>
            <w:tcW w:type="dxa" w:w="300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Shareholder outcomes</w:t>
            </w:r>
          </w:p>
        </w:tc>
        <w:tc>
          <w:tcPr>
            <w:tcW w:type="dxa" w:w="300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Participating vs non-participating ownership, dilution, state ownership placeholder</w:t>
            </w:r>
          </w:p>
        </w:tc>
      </w:tr>
      <w:tr>
        <w:trPr>
          <w:trHeight w:hRule="atLeast" w:val="351"/>
        </w:trPr>
        <w:tc>
          <w:tcPr>
            <w:tcW w:type="dxa" w:w="300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04_Proceeds_Use</w:t>
            </w:r>
          </w:p>
        </w:tc>
        <w:tc>
          <w:tcPr>
            <w:tcW w:type="dxa" w:w="300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Gross to net proceeds and use of proceeds</w:t>
            </w:r>
          </w:p>
        </w:tc>
        <w:tc>
          <w:tcPr>
            <w:tcW w:type="dxa" w:w="300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Gross proceeds, fees, net proceeds, illustrative allocation of proceeds</w:t>
            </w:r>
          </w:p>
        </w:tc>
      </w:tr>
      <w:tr>
        <w:trPr>
          <w:trHeight w:hRule="atLeast" w:val="351"/>
        </w:trPr>
        <w:tc>
          <w:tcPr>
            <w:tcW w:type="dxa" w:w="300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05_Output</w:t>
            </w:r>
          </w:p>
        </w:tc>
        <w:tc>
          <w:tcPr>
            <w:tcW w:type="dxa" w:w="300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Dashboard and charts</w:t>
            </w:r>
          </w:p>
        </w:tc>
        <w:tc>
          <w:tcPr>
            <w:tcW w:type="dxa" w:w="300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Key outputs, price bridge, ownership chart, sensitivity, interpretation bullets</w:t>
            </w:r>
          </w:p>
        </w:tc>
      </w:tr>
      <w:tr>
        <w:trPr>
          <w:trHeight w:hRule="atLeast" w:val="351"/>
        </w:trPr>
        <w:tc>
          <w:tcPr>
            <w:tcW w:type="dxa" w:w="3005"/>
            <w:vAlign w:val="center"/>
            <w:tcBorders>
              <w:top w:val="nil"/>
              <w:bottom w:val="single" w:sz="8" w:space="0" w:color="000000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90_Checks</w:t>
            </w:r>
          </w:p>
        </w:tc>
        <w:tc>
          <w:tcPr>
            <w:tcW w:type="dxa" w:w="3005"/>
            <w:vAlign w:val="center"/>
            <w:tcBorders>
              <w:top w:val="nil"/>
              <w:bottom w:val="single" w:sz="8" w:space="0" w:color="000000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QC hub</w:t>
            </w:r>
          </w:p>
        </w:tc>
        <w:tc>
          <w:tcPr>
            <w:tcW w:type="dxa" w:w="3005"/>
            <w:vAlign w:val="center"/>
            <w:tcBorders>
              <w:top w:val="nil"/>
              <w:bottom w:val="single" w:sz="8" w:space="0" w:color="000000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Share count tie, proceeds tie, TERP range check, ownership total check, no blank key inputs</w:t>
            </w:r>
          </w:p>
        </w:tc>
      </w:tr>
    </w:tbl>
    <w:p>
      <w:pPr>
        <w:spacing w:before="40" w:after="60" w:line="240" w:lineRule="auto"/>
      </w:pPr>
    </w:p>
    <w:p>
      <w:pPr>
        <w:pStyle w:val="CaseHeading2"/>
        <w:spacing w:line="276" w:lineRule="auto"/>
      </w:pPr>
      <w:r>
        <w:rPr>
          <w:rFonts w:ascii="EB Garamond" w:hAnsi="EB Garamond" w:eastAsia="EB Garamond"/>
        </w:rPr>
        <w:t>Required workbook layout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07"/>
        <w:gridCol w:w="4507"/>
      </w:tblGrid>
      <w:tr>
        <w:trPr>
          <w:trHeight w:hRule="atLeast" w:val="351"/>
          <w:tblHeader w:val="true"/>
        </w:trPr>
        <w:tc>
          <w:tcPr>
            <w:tcW w:type="dxa" w:w="4507"/>
            <w:vAlign w:val="center"/>
            <w:tcBorders>
              <w:top w:val="single" w:sz="8" w:space="0" w:color="000000"/>
              <w:bottom w:val="single" w:sz="4" w:space="0" w:color="000000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b/>
                <w:sz w:val="18"/>
              </w:rPr>
            </w:r>
            <w:r>
              <w:rPr>
                <w:rFonts w:ascii="EB Garamond" w:hAnsi="EB Garamond" w:eastAsia="EB Garamond"/>
                <w:b/>
                <w:sz w:val="18"/>
              </w:rPr>
              <w:t>Area</w:t>
            </w:r>
          </w:p>
        </w:tc>
        <w:tc>
          <w:tcPr>
            <w:tcW w:type="dxa" w:w="4507"/>
            <w:vAlign w:val="center"/>
            <w:tcBorders>
              <w:top w:val="single" w:sz="8" w:space="0" w:color="000000"/>
              <w:bottom w:val="single" w:sz="4" w:space="0" w:color="000000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b/>
                <w:sz w:val="18"/>
              </w:rPr>
            </w:r>
            <w:r>
              <w:rPr>
                <w:rFonts w:ascii="EB Garamond" w:hAnsi="EB Garamond" w:eastAsia="EB Garamond"/>
                <w:b/>
                <w:sz w:val="18"/>
              </w:rPr>
              <w:t>Rule</w:t>
            </w:r>
          </w:p>
        </w:tc>
      </w:tr>
      <w:tr>
        <w:trPr>
          <w:trHeight w:hRule="atLeast" w:val="351"/>
        </w:trPr>
        <w:tc>
          <w:tcPr>
            <w:tcW w:type="dxa" w:w="4507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Column A</w:t>
            </w:r>
          </w:p>
        </w:tc>
        <w:tc>
          <w:tcPr>
            <w:tcW w:type="dxa" w:w="4507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Gutter, keep blank</w:t>
            </w:r>
          </w:p>
        </w:tc>
      </w:tr>
      <w:tr>
        <w:trPr>
          <w:trHeight w:hRule="atLeast" w:val="351"/>
        </w:trPr>
        <w:tc>
          <w:tcPr>
            <w:tcW w:type="dxa" w:w="4507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Column B</w:t>
            </w:r>
          </w:p>
        </w:tc>
        <w:tc>
          <w:tcPr>
            <w:tcW w:type="dxa" w:w="4507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Labels</w:t>
            </w:r>
          </w:p>
        </w:tc>
      </w:tr>
      <w:tr>
        <w:trPr>
          <w:trHeight w:hRule="atLeast" w:val="351"/>
        </w:trPr>
        <w:tc>
          <w:tcPr>
            <w:tcW w:type="dxa" w:w="4507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Column C</w:t>
            </w:r>
          </w:p>
        </w:tc>
        <w:tc>
          <w:tcPr>
            <w:tcW w:type="dxa" w:w="4507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Units</w:t>
            </w:r>
          </w:p>
        </w:tc>
      </w:tr>
      <w:tr>
        <w:trPr>
          <w:trHeight w:hRule="atLeast" w:val="351"/>
        </w:trPr>
        <w:tc>
          <w:tcPr>
            <w:tcW w:type="dxa" w:w="4507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Column D</w:t>
            </w:r>
          </w:p>
        </w:tc>
        <w:tc>
          <w:tcPr>
            <w:tcW w:type="dxa" w:w="4507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Base case values</w:t>
            </w:r>
          </w:p>
        </w:tc>
      </w:tr>
      <w:tr>
        <w:trPr>
          <w:trHeight w:hRule="atLeast" w:val="351"/>
        </w:trPr>
        <w:tc>
          <w:tcPr>
            <w:tcW w:type="dxa" w:w="4507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Column E</w:t>
            </w:r>
          </w:p>
        </w:tc>
        <w:tc>
          <w:tcPr>
            <w:tcW w:type="dxa" w:w="4507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Downside or sensitivity case</w:t>
            </w:r>
          </w:p>
        </w:tc>
      </w:tr>
      <w:tr>
        <w:trPr>
          <w:trHeight w:hRule="atLeast" w:val="351"/>
        </w:trPr>
        <w:tc>
          <w:tcPr>
            <w:tcW w:type="dxa" w:w="4507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Column F onward</w:t>
            </w:r>
          </w:p>
        </w:tc>
        <w:tc>
          <w:tcPr>
            <w:tcW w:type="dxa" w:w="4507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Sensitivity tables and scenario outputs</w:t>
            </w:r>
          </w:p>
        </w:tc>
      </w:tr>
      <w:tr>
        <w:trPr>
          <w:trHeight w:hRule="atLeast" w:val="351"/>
        </w:trPr>
        <w:tc>
          <w:tcPr>
            <w:tcW w:type="dxa" w:w="4507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Font colours</w:t>
            </w:r>
          </w:p>
        </w:tc>
        <w:tc>
          <w:tcPr>
            <w:tcW w:type="dxa" w:w="4507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Blue for hardcodes, black for formulas, green for workbook links</w:t>
            </w:r>
          </w:p>
        </w:tc>
      </w:tr>
      <w:tr>
        <w:trPr>
          <w:trHeight w:hRule="atLeast" w:val="351"/>
        </w:trPr>
        <w:tc>
          <w:tcPr>
            <w:tcW w:type="dxa" w:w="4507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Dashboard</w:t>
            </w:r>
          </w:p>
        </w:tc>
        <w:tc>
          <w:tcPr>
            <w:tcW w:type="dxa" w:w="4507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Linked output cells only, no calculations</w:t>
            </w:r>
          </w:p>
        </w:tc>
      </w:tr>
      <w:tr>
        <w:trPr>
          <w:trHeight w:hRule="atLeast" w:val="351"/>
        </w:trPr>
        <w:tc>
          <w:tcPr>
            <w:tcW w:type="dxa" w:w="4507"/>
            <w:vAlign w:val="center"/>
            <w:tcBorders>
              <w:top w:val="nil"/>
              <w:bottom w:val="single" w:sz="8" w:space="0" w:color="000000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Checks</w:t>
            </w:r>
          </w:p>
        </w:tc>
        <w:tc>
          <w:tcPr>
            <w:tcW w:type="dxa" w:w="4507"/>
            <w:vAlign w:val="center"/>
            <w:tcBorders>
              <w:top w:val="nil"/>
              <w:bottom w:val="single" w:sz="8" w:space="0" w:color="000000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All material checks must return OK or FAIL</w:t>
            </w:r>
          </w:p>
        </w:tc>
      </w:tr>
    </w:tbl>
    <w:p>
      <w:pPr>
        <w:spacing w:before="40" w:after="60" w:line="240" w:lineRule="auto"/>
      </w:pPr>
    </w:p>
    <w:p>
      <w:pPr>
        <w:pStyle w:val="CaseHeading2"/>
        <w:spacing w:line="276" w:lineRule="auto"/>
      </w:pPr>
      <w:r>
        <w:rPr>
          <w:rFonts w:ascii="EB Garamond" w:hAnsi="EB Garamond" w:eastAsia="EB Garamond"/>
        </w:rPr>
        <w:t>Scenario hierarchy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05"/>
        <w:gridCol w:w="3005"/>
        <w:gridCol w:w="3005"/>
      </w:tblGrid>
      <w:tr>
        <w:trPr>
          <w:trHeight w:hRule="atLeast" w:val="351"/>
          <w:tblHeader w:val="true"/>
        </w:trPr>
        <w:tc>
          <w:tcPr>
            <w:tcW w:type="dxa" w:w="3005"/>
            <w:vAlign w:val="center"/>
            <w:tcBorders>
              <w:top w:val="single" w:sz="8" w:space="0" w:color="000000"/>
              <w:bottom w:val="single" w:sz="4" w:space="0" w:color="000000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b/>
                <w:sz w:val="18"/>
              </w:rPr>
            </w:r>
            <w:r>
              <w:rPr>
                <w:rFonts w:ascii="EB Garamond" w:hAnsi="EB Garamond" w:eastAsia="EB Garamond"/>
                <w:b/>
                <w:sz w:val="18"/>
              </w:rPr>
              <w:t>Scenario</w:t>
            </w:r>
          </w:p>
        </w:tc>
        <w:tc>
          <w:tcPr>
            <w:tcW w:type="dxa" w:w="3005"/>
            <w:vAlign w:val="center"/>
            <w:tcBorders>
              <w:top w:val="single" w:sz="8" w:space="0" w:color="000000"/>
              <w:bottom w:val="single" w:sz="4" w:space="0" w:color="000000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b/>
                <w:sz w:val="18"/>
              </w:rPr>
            </w:r>
            <w:r>
              <w:rPr>
                <w:rFonts w:ascii="EB Garamond" w:hAnsi="EB Garamond" w:eastAsia="EB Garamond"/>
                <w:b/>
                <w:sz w:val="18"/>
              </w:rPr>
              <w:t>Description</w:t>
            </w:r>
          </w:p>
        </w:tc>
        <w:tc>
          <w:tcPr>
            <w:tcW w:type="dxa" w:w="3005"/>
            <w:vAlign w:val="center"/>
            <w:tcBorders>
              <w:top w:val="single" w:sz="8" w:space="0" w:color="000000"/>
              <w:bottom w:val="single" w:sz="4" w:space="0" w:color="000000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b/>
                <w:sz w:val="18"/>
              </w:rPr>
            </w:r>
            <w:r>
              <w:rPr>
                <w:rFonts w:ascii="EB Garamond" w:hAnsi="EB Garamond" w:eastAsia="EB Garamond"/>
                <w:b/>
                <w:sz w:val="18"/>
              </w:rPr>
              <w:t>Required changes</w:t>
            </w:r>
          </w:p>
        </w:tc>
      </w:tr>
      <w:tr>
        <w:trPr>
          <w:trHeight w:hRule="atLeast" w:val="351"/>
        </w:trPr>
        <w:tc>
          <w:tcPr>
            <w:tcW w:type="dxa" w:w="300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Base</w:t>
            </w:r>
          </w:p>
        </w:tc>
        <w:tc>
          <w:tcPr>
            <w:tcW w:type="dxa" w:w="300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Factual issue size and subscription price</w:t>
            </w:r>
          </w:p>
        </w:tc>
        <w:tc>
          <w:tcPr>
            <w:tcW w:type="dxa" w:w="300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Use fact pack and illustrative fees</w:t>
            </w:r>
          </w:p>
        </w:tc>
      </w:tr>
      <w:tr>
        <w:trPr>
          <w:trHeight w:hRule="atLeast" w:val="351"/>
        </w:trPr>
        <w:tc>
          <w:tcPr>
            <w:tcW w:type="dxa" w:w="300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Downside</w:t>
            </w:r>
          </w:p>
        </w:tc>
        <w:tc>
          <w:tcPr>
            <w:tcW w:type="dxa" w:w="300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Lower take-up, higher execution risk</w:t>
            </w:r>
          </w:p>
        </w:tc>
        <w:tc>
          <w:tcPr>
            <w:tcW w:type="dxa" w:w="300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Lower existing shareholder participation and higher reliance on underwriting</w:t>
            </w:r>
          </w:p>
        </w:tc>
      </w:tr>
      <w:tr>
        <w:trPr>
          <w:trHeight w:hRule="atLeast" w:val="351"/>
        </w:trPr>
        <w:tc>
          <w:tcPr>
            <w:tcW w:type="dxa" w:w="3005"/>
            <w:vAlign w:val="center"/>
            <w:tcBorders>
              <w:top w:val="nil"/>
              <w:bottom w:val="single" w:sz="8" w:space="0" w:color="000000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Upside</w:t>
            </w:r>
          </w:p>
        </w:tc>
        <w:tc>
          <w:tcPr>
            <w:tcW w:type="dxa" w:w="3005"/>
            <w:vAlign w:val="center"/>
            <w:tcBorders>
              <w:top w:val="nil"/>
              <w:bottom w:val="single" w:sz="8" w:space="0" w:color="000000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High take-up and clean execution</w:t>
            </w:r>
          </w:p>
        </w:tc>
        <w:tc>
          <w:tcPr>
            <w:tcW w:type="dxa" w:w="3005"/>
            <w:vAlign w:val="center"/>
            <w:tcBorders>
              <w:top w:val="nil"/>
              <w:bottom w:val="single" w:sz="8" w:space="0" w:color="000000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Higher participation and lower residual underwriting exposure</w:t>
            </w:r>
          </w:p>
        </w:tc>
      </w:tr>
    </w:tbl>
    <w:p>
      <w:pPr>
        <w:spacing w:before="40" w:after="60" w:line="240" w:lineRule="auto"/>
      </w:pPr>
    </w:p>
    <w:p>
      <w:pPr>
        <w:pStyle w:val="CaseHeading1"/>
        <w:spacing w:line="276" w:lineRule="auto"/>
      </w:pPr>
      <w:r>
        <w:rPr>
          <w:rFonts w:ascii="EB Garamond" w:hAnsi="EB Garamond" w:eastAsia="EB Garamond"/>
        </w:rPr>
        <w:t>6. Technical calculation exercises</w:t>
      </w:r>
    </w:p>
    <w:p>
      <w:pPr>
        <w:spacing w:line="276" w:lineRule="auto"/>
      </w:pPr>
      <w:r>
        <w:rPr>
          <w:rFonts w:ascii="EB Garamond" w:hAnsi="EB Garamond" w:eastAsia="EB Garamond"/>
        </w:rPr>
        <w:t>Show all calculations in Excel and write a one-sentence interpretation after each output. The formulas below are the core mechanics you must implement.</w:t>
      </w:r>
    </w:p>
    <w:p>
      <w:pPr>
        <w:pStyle w:val="CaseHeading2"/>
        <w:spacing w:line="276" w:lineRule="auto"/>
      </w:pPr>
      <w:r>
        <w:rPr>
          <w:rFonts w:ascii="EB Garamond" w:hAnsi="EB Garamond" w:eastAsia="EB Garamond"/>
        </w:rPr>
        <w:t>6.1 Gross and net proceeds</w:t>
      </w:r>
    </w:p>
    <w:p>
      <w:pPr>
        <w:spacing w:line="276" w:lineRule="auto"/>
      </w:pPr>
      <w:r>
        <w:rPr>
          <w:rFonts w:ascii="EB Garamond" w:hAnsi="EB Garamond" w:eastAsia="EB Garamond"/>
        </w:rPr>
        <w:t>Calculate gross proceeds and net proceeds using the factual new shares and subscription price, plus the illustrative fee assumption.</w:t>
      </w:r>
    </w:p>
    <w:p>
      <w:pPr>
        <w:pStyle w:val="EquationCentered"/>
        <w:spacing w:line="276" w:lineRule="auto"/>
      </w:pPr>
      <w:r>
        <w:rPr>
          <w:rFonts w:ascii="EB Garamond" w:hAnsi="EB Garamond" w:eastAsia="EB Garamond"/>
        </w:rPr>
        <w:t>Gross proceeds = New shares × Subscription price</w:t>
      </w:r>
    </w:p>
    <w:p>
      <w:pPr>
        <w:pStyle w:val="EquationCentered"/>
        <w:spacing w:line="276" w:lineRule="auto"/>
      </w:pPr>
      <w:r>
        <w:rPr>
          <w:rFonts w:ascii="EB Garamond" w:hAnsi="EB Garamond" w:eastAsia="EB Garamond"/>
        </w:rPr>
        <w:t>Net proceeds = Gross proceeds - Fees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05"/>
        <w:gridCol w:w="3005"/>
        <w:gridCol w:w="3005"/>
      </w:tblGrid>
      <w:tr>
        <w:trPr>
          <w:trHeight w:hRule="atLeast" w:val="351"/>
          <w:tblHeader w:val="true"/>
        </w:trPr>
        <w:tc>
          <w:tcPr>
            <w:tcW w:type="dxa" w:w="3005"/>
            <w:vAlign w:val="center"/>
            <w:tcBorders>
              <w:top w:val="single" w:sz="8" w:space="0" w:color="000000"/>
              <w:bottom w:val="single" w:sz="4" w:space="0" w:color="000000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b/>
                <w:sz w:val="18"/>
              </w:rPr>
            </w:r>
            <w:r>
              <w:rPr>
                <w:rFonts w:ascii="EB Garamond" w:hAnsi="EB Garamond" w:eastAsia="EB Garamond"/>
                <w:b/>
                <w:sz w:val="18"/>
              </w:rPr>
              <w:t>Output</w:t>
            </w:r>
          </w:p>
        </w:tc>
        <w:tc>
          <w:tcPr>
            <w:tcW w:type="dxa" w:w="3005"/>
            <w:vAlign w:val="center"/>
            <w:tcBorders>
              <w:top w:val="single" w:sz="8" w:space="0" w:color="000000"/>
              <w:bottom w:val="single" w:sz="4" w:space="0" w:color="000000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b/>
                <w:sz w:val="18"/>
              </w:rPr>
            </w:r>
            <w:r>
              <w:rPr>
                <w:rFonts w:ascii="EB Garamond" w:hAnsi="EB Garamond" w:eastAsia="EB Garamond"/>
                <w:b/>
                <w:sz w:val="18"/>
              </w:rPr>
              <w:t>Formula</w:t>
            </w:r>
          </w:p>
        </w:tc>
        <w:tc>
          <w:tcPr>
            <w:tcW w:type="dxa" w:w="3005"/>
            <w:vAlign w:val="center"/>
            <w:tcBorders>
              <w:top w:val="single" w:sz="8" w:space="0" w:color="000000"/>
              <w:bottom w:val="single" w:sz="4" w:space="0" w:color="000000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b/>
                <w:sz w:val="18"/>
              </w:rPr>
            </w:r>
            <w:r>
              <w:rPr>
                <w:rFonts w:ascii="EB Garamond" w:hAnsi="EB Garamond" w:eastAsia="EB Garamond"/>
                <w:b/>
                <w:sz w:val="18"/>
              </w:rPr>
              <w:t>Interpretation prompt</w:t>
            </w:r>
          </w:p>
        </w:tc>
      </w:tr>
      <w:tr>
        <w:trPr>
          <w:trHeight w:hRule="atLeast" w:val="351"/>
        </w:trPr>
        <w:tc>
          <w:tcPr>
            <w:tcW w:type="dxa" w:w="300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Gross proceeds</w:t>
            </w:r>
          </w:p>
        </w:tc>
        <w:tc>
          <w:tcPr>
            <w:tcW w:type="dxa" w:w="300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N_new × P_sub</w:t>
            </w:r>
          </w:p>
        </w:tc>
        <w:tc>
          <w:tcPr>
            <w:tcW w:type="dxa" w:w="300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How much capital is raised before transaction costs?</w:t>
            </w:r>
          </w:p>
        </w:tc>
      </w:tr>
      <w:tr>
        <w:trPr>
          <w:trHeight w:hRule="atLeast" w:val="351"/>
        </w:trPr>
        <w:tc>
          <w:tcPr>
            <w:tcW w:type="dxa" w:w="300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Fees</w:t>
            </w:r>
          </w:p>
        </w:tc>
        <w:tc>
          <w:tcPr>
            <w:tcW w:type="dxa" w:w="300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Gross proceeds × fee %</w:t>
            </w:r>
          </w:p>
        </w:tc>
        <w:tc>
          <w:tcPr>
            <w:tcW w:type="dxa" w:w="300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How much of the raise is consumed by execution costs?</w:t>
            </w:r>
          </w:p>
        </w:tc>
      </w:tr>
      <w:tr>
        <w:trPr>
          <w:trHeight w:hRule="atLeast" w:val="351"/>
        </w:trPr>
        <w:tc>
          <w:tcPr>
            <w:tcW w:type="dxa" w:w="3005"/>
            <w:vAlign w:val="center"/>
            <w:tcBorders>
              <w:top w:val="nil"/>
              <w:bottom w:val="single" w:sz="8" w:space="0" w:color="000000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Net proceeds</w:t>
            </w:r>
          </w:p>
        </w:tc>
        <w:tc>
          <w:tcPr>
            <w:tcW w:type="dxa" w:w="3005"/>
            <w:vAlign w:val="center"/>
            <w:tcBorders>
              <w:top w:val="nil"/>
              <w:bottom w:val="single" w:sz="8" w:space="0" w:color="000000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Gross proceeds - fees</w:t>
            </w:r>
          </w:p>
        </w:tc>
        <w:tc>
          <w:tcPr>
            <w:tcW w:type="dxa" w:w="3005"/>
            <w:vAlign w:val="center"/>
            <w:tcBorders>
              <w:top w:val="nil"/>
              <w:bottom w:val="single" w:sz="8" w:space="0" w:color="000000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How much capital is available to strengthen the balance sheet or fund projects?</w:t>
            </w:r>
          </w:p>
        </w:tc>
      </w:tr>
    </w:tbl>
    <w:p>
      <w:pPr>
        <w:spacing w:before="40" w:after="60" w:line="240" w:lineRule="auto"/>
      </w:pPr>
    </w:p>
    <w:p>
      <w:pPr>
        <w:spacing w:after="40" w:line="240" w:lineRule="auto"/>
      </w:pPr>
      <w:r>
        <w:rPr>
          <w:rFonts w:ascii="EB Garamond" w:hAnsi="EB Garamond" w:eastAsia="EB Garamond"/>
          <w:sz w:val="18"/>
        </w:rPr>
        <w:t>____________________________________________________________________________________________</w:t>
      </w:r>
    </w:p>
    <w:p>
      <w:pPr>
        <w:spacing w:after="40" w:line="240" w:lineRule="auto"/>
      </w:pPr>
      <w:r>
        <w:rPr>
          <w:rFonts w:ascii="EB Garamond" w:hAnsi="EB Garamond" w:eastAsia="EB Garamond"/>
          <w:sz w:val="18"/>
        </w:rPr>
        <w:t>____________________________________________________________________________________________</w:t>
      </w:r>
    </w:p>
    <w:p>
      <w:pPr>
        <w:spacing w:after="40" w:line="240" w:lineRule="auto"/>
      </w:pPr>
      <w:r>
        <w:rPr>
          <w:rFonts w:ascii="EB Garamond" w:hAnsi="EB Garamond" w:eastAsia="EB Garamond"/>
          <w:sz w:val="18"/>
        </w:rPr>
        <w:t>____________________________________________________________________________________________</w:t>
      </w:r>
    </w:p>
    <w:p>
      <w:pPr>
        <w:spacing w:after="40" w:line="240" w:lineRule="auto"/>
      </w:pPr>
      <w:r>
        <w:rPr>
          <w:rFonts w:ascii="EB Garamond" w:hAnsi="EB Garamond" w:eastAsia="EB Garamond"/>
          <w:sz w:val="18"/>
        </w:rPr>
        <w:t>____________________________________________________________________________________________</w:t>
      </w:r>
    </w:p>
    <w:p>
      <w:pPr>
        <w:pStyle w:val="CaseHeading2"/>
        <w:spacing w:line="276" w:lineRule="auto"/>
      </w:pPr>
      <w:r>
        <w:rPr>
          <w:rFonts w:ascii="EB Garamond" w:hAnsi="EB Garamond" w:eastAsia="EB Garamond"/>
        </w:rPr>
        <w:t>6.2 TERP</w:t>
      </w:r>
    </w:p>
    <w:p>
      <w:pPr>
        <w:spacing w:line="276" w:lineRule="auto"/>
      </w:pPr>
      <w:r>
        <w:rPr>
          <w:rFonts w:ascii="EB Garamond" w:hAnsi="EB Garamond" w:eastAsia="EB Garamond"/>
        </w:rPr>
        <w:t>Calculate the theoretical ex-rights price. Use the pre-rights reference price, existing shares, new shares and subscription price.</w:t>
      </w:r>
    </w:p>
    <w:p>
      <w:pPr>
        <w:pStyle w:val="EquationCentered"/>
        <w:spacing w:line="276" w:lineRule="auto"/>
      </w:pPr>
      <w:r>
        <w:rPr>
          <w:rFonts w:ascii="EB Garamond" w:hAnsi="EB Garamond" w:eastAsia="EB Garamond"/>
        </w:rPr>
        <w:t>TERP = (P_0 × N_old + P_sub × N_new) / (N_old + N_new)</w:t>
      </w:r>
    </w:p>
    <w:p>
      <w:pPr>
        <w:pStyle w:val="SmallAcademic"/>
        <w:spacing w:line="276" w:lineRule="auto"/>
      </w:pPr>
      <w:r>
        <w:rPr>
          <w:rFonts w:ascii="EB Garamond" w:hAnsi="EB Garamond" w:eastAsia="EB Garamond"/>
        </w:rPr>
        <w:t>Interpretation: TERP is the theoretical blended price after the rights issue. It is not the subscription price and it is not necessarily the observed market price after launch.</w:t>
      </w:r>
    </w:p>
    <w:p>
      <w:pPr>
        <w:spacing w:after="40" w:line="240" w:lineRule="auto"/>
      </w:pPr>
      <w:r>
        <w:rPr>
          <w:rFonts w:ascii="EB Garamond" w:hAnsi="EB Garamond" w:eastAsia="EB Garamond"/>
          <w:sz w:val="18"/>
        </w:rPr>
        <w:t>____________________________________________________________________________________________</w:t>
      </w:r>
    </w:p>
    <w:p>
      <w:pPr>
        <w:spacing w:after="40" w:line="240" w:lineRule="auto"/>
      </w:pPr>
      <w:r>
        <w:rPr>
          <w:rFonts w:ascii="EB Garamond" w:hAnsi="EB Garamond" w:eastAsia="EB Garamond"/>
          <w:sz w:val="18"/>
        </w:rPr>
        <w:t>____________________________________________________________________________________________</w:t>
      </w:r>
    </w:p>
    <w:p>
      <w:pPr>
        <w:spacing w:after="40" w:line="240" w:lineRule="auto"/>
      </w:pPr>
      <w:r>
        <w:rPr>
          <w:rFonts w:ascii="EB Garamond" w:hAnsi="EB Garamond" w:eastAsia="EB Garamond"/>
          <w:sz w:val="18"/>
        </w:rPr>
        <w:t>____________________________________________________________________________________________</w:t>
      </w:r>
    </w:p>
    <w:p>
      <w:pPr>
        <w:spacing w:after="40" w:line="240" w:lineRule="auto"/>
      </w:pPr>
      <w:r>
        <w:rPr>
          <w:rFonts w:ascii="EB Garamond" w:hAnsi="EB Garamond" w:eastAsia="EB Garamond"/>
          <w:sz w:val="18"/>
        </w:rPr>
        <w:t>____________________________________________________________________________________________</w:t>
      </w:r>
    </w:p>
    <w:p>
      <w:pPr>
        <w:spacing w:after="40" w:line="240" w:lineRule="auto"/>
      </w:pPr>
      <w:r>
        <w:rPr>
          <w:rFonts w:ascii="EB Garamond" w:hAnsi="EB Garamond" w:eastAsia="EB Garamond"/>
          <w:sz w:val="18"/>
        </w:rPr>
        <w:t>____________________________________________________________________________________________</w:t>
      </w:r>
    </w:p>
    <w:p>
      <w:pPr>
        <w:pStyle w:val="CaseHeading2"/>
        <w:spacing w:line="276" w:lineRule="auto"/>
      </w:pPr>
      <w:r>
        <w:rPr>
          <w:rFonts w:ascii="EB Garamond" w:hAnsi="EB Garamond" w:eastAsia="EB Garamond"/>
        </w:rPr>
        <w:t>6.3 Value of rights</w:t>
      </w:r>
    </w:p>
    <w:p>
      <w:pPr>
        <w:spacing w:line="276" w:lineRule="auto"/>
      </w:pPr>
      <w:r>
        <w:rPr>
          <w:rFonts w:ascii="EB Garamond" w:hAnsi="EB Garamond" w:eastAsia="EB Garamond"/>
        </w:rPr>
        <w:t>Calculate both the value of the full rights package per old share and the theoretical value per individual pre-emptive right.</w:t>
      </w:r>
    </w:p>
    <w:p>
      <w:pPr>
        <w:pStyle w:val="EquationCentered"/>
        <w:spacing w:line="276" w:lineRule="auto"/>
      </w:pPr>
      <w:r>
        <w:rPr>
          <w:rFonts w:ascii="EB Garamond" w:hAnsi="EB Garamond" w:eastAsia="EB Garamond"/>
        </w:rPr>
        <w:t>Value of rights package per old share = P_0 - TERP</w:t>
      </w:r>
    </w:p>
    <w:p>
      <w:pPr>
        <w:pStyle w:val="EquationCentered"/>
        <w:spacing w:line="276" w:lineRule="auto"/>
      </w:pPr>
      <w:r>
        <w:rPr>
          <w:rFonts w:ascii="EB Garamond" w:hAnsi="EB Garamond" w:eastAsia="EB Garamond"/>
        </w:rPr>
        <w:t>Value per individual right = (P_0 - TERP) / rights allocated per old share</w:t>
      </w:r>
    </w:p>
    <w:p>
      <w:pPr>
        <w:spacing w:after="40" w:line="240" w:lineRule="auto"/>
      </w:pPr>
      <w:r>
        <w:rPr>
          <w:rFonts w:ascii="EB Garamond" w:hAnsi="EB Garamond" w:eastAsia="EB Garamond"/>
          <w:sz w:val="18"/>
        </w:rPr>
        <w:t>____________________________________________________________________________________________</w:t>
      </w:r>
    </w:p>
    <w:p>
      <w:pPr>
        <w:spacing w:after="40" w:line="240" w:lineRule="auto"/>
      </w:pPr>
      <w:r>
        <w:rPr>
          <w:rFonts w:ascii="EB Garamond" w:hAnsi="EB Garamond" w:eastAsia="EB Garamond"/>
          <w:sz w:val="18"/>
        </w:rPr>
        <w:t>____________________________________________________________________________________________</w:t>
      </w:r>
    </w:p>
    <w:p>
      <w:pPr>
        <w:spacing w:after="40" w:line="240" w:lineRule="auto"/>
      </w:pPr>
      <w:r>
        <w:rPr>
          <w:rFonts w:ascii="EB Garamond" w:hAnsi="EB Garamond" w:eastAsia="EB Garamond"/>
          <w:sz w:val="18"/>
        </w:rPr>
        <w:t>____________________________________________________________________________________________</w:t>
      </w:r>
    </w:p>
    <w:p>
      <w:pPr>
        <w:spacing w:after="40" w:line="240" w:lineRule="auto"/>
      </w:pPr>
      <w:r>
        <w:rPr>
          <w:rFonts w:ascii="EB Garamond" w:hAnsi="EB Garamond" w:eastAsia="EB Garamond"/>
          <w:sz w:val="18"/>
        </w:rPr>
        <w:t>____________________________________________________________________________________________</w:t>
      </w:r>
    </w:p>
    <w:p>
      <w:pPr>
        <w:spacing w:after="40" w:line="240" w:lineRule="auto"/>
      </w:pPr>
      <w:r>
        <w:rPr>
          <w:rFonts w:ascii="EB Garamond" w:hAnsi="EB Garamond" w:eastAsia="EB Garamond"/>
          <w:sz w:val="18"/>
        </w:rPr>
        <w:t>____________________________________________________________________________________________</w:t>
      </w:r>
    </w:p>
    <w:p>
      <w:pPr>
        <w:pStyle w:val="CaseHeading2"/>
        <w:spacing w:line="276" w:lineRule="auto"/>
      </w:pPr>
      <w:r>
        <w:rPr>
          <w:rFonts w:ascii="EB Garamond" w:hAnsi="EB Garamond" w:eastAsia="EB Garamond"/>
        </w:rPr>
        <w:t>6.4 Ownership and dilution</w:t>
      </w:r>
    </w:p>
    <w:p>
      <w:pPr>
        <w:spacing w:line="276" w:lineRule="auto"/>
      </w:pPr>
      <w:r>
        <w:rPr>
          <w:rFonts w:ascii="EB Garamond" w:hAnsi="EB Garamond" w:eastAsia="EB Garamond"/>
        </w:rPr>
        <w:t>Model a shareholder who owns 1.0% of Ørsted before the rights issue. Calculate two cases: the shareholder participates pro rata, and the shareholder does not participate at all.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53"/>
        <w:gridCol w:w="2253"/>
        <w:gridCol w:w="2253"/>
        <w:gridCol w:w="2253"/>
      </w:tblGrid>
      <w:tr>
        <w:trPr>
          <w:trHeight w:hRule="atLeast" w:val="351"/>
          <w:tblHeader w:val="true"/>
        </w:trPr>
        <w:tc>
          <w:tcPr>
            <w:tcW w:type="dxa" w:w="2253"/>
            <w:vAlign w:val="center"/>
            <w:tcBorders>
              <w:top w:val="single" w:sz="8" w:space="0" w:color="000000"/>
              <w:bottom w:val="single" w:sz="4" w:space="0" w:color="000000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b/>
                <w:sz w:val="18"/>
              </w:rPr>
            </w:r>
            <w:r>
              <w:rPr>
                <w:rFonts w:ascii="EB Garamond" w:hAnsi="EB Garamond" w:eastAsia="EB Garamond"/>
                <w:b/>
                <w:sz w:val="18"/>
              </w:rPr>
              <w:t>Case</w:t>
            </w:r>
          </w:p>
        </w:tc>
        <w:tc>
          <w:tcPr>
            <w:tcW w:type="dxa" w:w="2253"/>
            <w:vAlign w:val="center"/>
            <w:tcBorders>
              <w:top w:val="single" w:sz="8" w:space="0" w:color="000000"/>
              <w:bottom w:val="single" w:sz="4" w:space="0" w:color="000000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b/>
                <w:sz w:val="18"/>
              </w:rPr>
            </w:r>
            <w:r>
              <w:rPr>
                <w:rFonts w:ascii="EB Garamond" w:hAnsi="EB Garamond" w:eastAsia="EB Garamond"/>
                <w:b/>
                <w:sz w:val="18"/>
              </w:rPr>
              <w:t>Share count logic</w:t>
            </w:r>
          </w:p>
        </w:tc>
        <w:tc>
          <w:tcPr>
            <w:tcW w:type="dxa" w:w="2253"/>
            <w:vAlign w:val="center"/>
            <w:tcBorders>
              <w:top w:val="single" w:sz="8" w:space="0" w:color="000000"/>
              <w:bottom w:val="single" w:sz="4" w:space="0" w:color="000000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b/>
                <w:sz w:val="18"/>
              </w:rPr>
            </w:r>
            <w:r>
              <w:rPr>
                <w:rFonts w:ascii="EB Garamond" w:hAnsi="EB Garamond" w:eastAsia="EB Garamond"/>
                <w:b/>
                <w:sz w:val="18"/>
              </w:rPr>
              <w:t>Ownership logic</w:t>
            </w:r>
          </w:p>
        </w:tc>
        <w:tc>
          <w:tcPr>
            <w:tcW w:type="dxa" w:w="2253"/>
            <w:vAlign w:val="center"/>
            <w:tcBorders>
              <w:top w:val="single" w:sz="8" w:space="0" w:color="000000"/>
              <w:bottom w:val="single" w:sz="4" w:space="0" w:color="000000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b/>
                <w:sz w:val="18"/>
              </w:rPr>
            </w:r>
            <w:r>
              <w:rPr>
                <w:rFonts w:ascii="EB Garamond" w:hAnsi="EB Garamond" w:eastAsia="EB Garamond"/>
                <w:b/>
                <w:sz w:val="18"/>
              </w:rPr>
              <w:t>Interpretation</w:t>
            </w:r>
          </w:p>
        </w:tc>
      </w:tr>
      <w:tr>
        <w:trPr>
          <w:trHeight w:hRule="atLeast" w:val="351"/>
        </w:trPr>
        <w:tc>
          <w:tcPr>
            <w:tcW w:type="dxa" w:w="2253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Participates pro rata</w:t>
            </w:r>
          </w:p>
        </w:tc>
        <w:tc>
          <w:tcPr>
            <w:tcW w:type="dxa" w:w="2253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Old shares + subscribed pro rata new shares</w:t>
            </w:r>
          </w:p>
        </w:tc>
        <w:tc>
          <w:tcPr>
            <w:tcW w:type="dxa" w:w="2253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Maintains relative ownership before fees/rounding</w:t>
            </w:r>
          </w:p>
        </w:tc>
        <w:tc>
          <w:tcPr>
            <w:tcW w:type="dxa" w:w="2253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Pre-emption protects ownership</w:t>
            </w:r>
          </w:p>
        </w:tc>
      </w:tr>
      <w:tr>
        <w:trPr>
          <w:trHeight w:hRule="atLeast" w:val="351"/>
        </w:trPr>
        <w:tc>
          <w:tcPr>
            <w:tcW w:type="dxa" w:w="2253"/>
            <w:vAlign w:val="center"/>
            <w:tcBorders>
              <w:top w:val="nil"/>
              <w:bottom w:val="single" w:sz="8" w:space="0" w:color="000000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Does not participate</w:t>
            </w:r>
          </w:p>
        </w:tc>
        <w:tc>
          <w:tcPr>
            <w:tcW w:type="dxa" w:w="2253"/>
            <w:vAlign w:val="center"/>
            <w:tcBorders>
              <w:top w:val="nil"/>
              <w:bottom w:val="single" w:sz="8" w:space="0" w:color="000000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Old shares only</w:t>
            </w:r>
          </w:p>
        </w:tc>
        <w:tc>
          <w:tcPr>
            <w:tcW w:type="dxa" w:w="2253"/>
            <w:vAlign w:val="center"/>
            <w:tcBorders>
              <w:top w:val="nil"/>
              <w:bottom w:val="single" w:sz="8" w:space="0" w:color="000000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Old shares divided by post-issue total shares</w:t>
            </w:r>
          </w:p>
        </w:tc>
        <w:tc>
          <w:tcPr>
            <w:tcW w:type="dxa" w:w="2253"/>
            <w:vAlign w:val="center"/>
            <w:tcBorders>
              <w:top w:val="nil"/>
              <w:bottom w:val="single" w:sz="8" w:space="0" w:color="000000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Ownership is diluted</w:t>
            </w:r>
          </w:p>
        </w:tc>
      </w:tr>
    </w:tbl>
    <w:p>
      <w:pPr>
        <w:spacing w:before="40" w:after="60" w:line="240" w:lineRule="auto"/>
      </w:pPr>
    </w:p>
    <w:p>
      <w:pPr>
        <w:pStyle w:val="EquationCentered"/>
        <w:spacing w:line="276" w:lineRule="auto"/>
      </w:pPr>
      <w:r>
        <w:rPr>
          <w:rFonts w:ascii="EB Garamond" w:hAnsi="EB Garamond" w:eastAsia="EB Garamond"/>
        </w:rPr>
        <w:t>Non-participating ownership dilution = 1 - (ownership after / ownership before)</w:t>
      </w:r>
    </w:p>
    <w:p>
      <w:pPr>
        <w:spacing w:after="40" w:line="240" w:lineRule="auto"/>
      </w:pPr>
      <w:r>
        <w:rPr>
          <w:rFonts w:ascii="EB Garamond" w:hAnsi="EB Garamond" w:eastAsia="EB Garamond"/>
          <w:sz w:val="18"/>
        </w:rPr>
        <w:t>____________________________________________________________________________________________</w:t>
      </w:r>
    </w:p>
    <w:p>
      <w:pPr>
        <w:spacing w:after="40" w:line="240" w:lineRule="auto"/>
      </w:pPr>
      <w:r>
        <w:rPr>
          <w:rFonts w:ascii="EB Garamond" w:hAnsi="EB Garamond" w:eastAsia="EB Garamond"/>
          <w:sz w:val="18"/>
        </w:rPr>
        <w:t>____________________________________________________________________________________________</w:t>
      </w:r>
    </w:p>
    <w:p>
      <w:pPr>
        <w:spacing w:after="40" w:line="240" w:lineRule="auto"/>
      </w:pPr>
      <w:r>
        <w:rPr>
          <w:rFonts w:ascii="EB Garamond" w:hAnsi="EB Garamond" w:eastAsia="EB Garamond"/>
          <w:sz w:val="18"/>
        </w:rPr>
        <w:t>____________________________________________________________________________________________</w:t>
      </w:r>
    </w:p>
    <w:p>
      <w:pPr>
        <w:spacing w:after="40" w:line="240" w:lineRule="auto"/>
      </w:pPr>
      <w:r>
        <w:rPr>
          <w:rFonts w:ascii="EB Garamond" w:hAnsi="EB Garamond" w:eastAsia="EB Garamond"/>
          <w:sz w:val="18"/>
        </w:rPr>
        <w:t>____________________________________________________________________________________________</w:t>
      </w:r>
    </w:p>
    <w:p>
      <w:pPr>
        <w:spacing w:after="40" w:line="240" w:lineRule="auto"/>
      </w:pPr>
      <w:r>
        <w:rPr>
          <w:rFonts w:ascii="EB Garamond" w:hAnsi="EB Garamond" w:eastAsia="EB Garamond"/>
          <w:sz w:val="18"/>
        </w:rPr>
        <w:t>____________________________________________________________________________________________</w:t>
      </w:r>
    </w:p>
    <w:p>
      <w:pPr>
        <w:pStyle w:val="CaseHeading2"/>
        <w:spacing w:line="276" w:lineRule="auto"/>
      </w:pPr>
      <w:r>
        <w:rPr>
          <w:rFonts w:ascii="EB Garamond" w:hAnsi="EB Garamond" w:eastAsia="EB Garamond"/>
        </w:rPr>
        <w:t>6.5 Sensitivity table</w:t>
      </w:r>
    </w:p>
    <w:p>
      <w:pPr>
        <w:spacing w:line="276" w:lineRule="auto"/>
      </w:pPr>
      <w:r>
        <w:rPr>
          <w:rFonts w:ascii="EB Garamond" w:hAnsi="EB Garamond" w:eastAsia="EB Garamond"/>
        </w:rPr>
        <w:t>Create a sensitivity table that shows TERP and non-participating dilution under different issue sizes and subscription prices. Use at least three rows and three columns.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53"/>
        <w:gridCol w:w="2253"/>
        <w:gridCol w:w="2253"/>
        <w:gridCol w:w="2253"/>
      </w:tblGrid>
      <w:tr>
        <w:trPr>
          <w:trHeight w:hRule="atLeast" w:val="351"/>
          <w:tblHeader w:val="true"/>
        </w:trPr>
        <w:tc>
          <w:tcPr>
            <w:tcW w:type="dxa" w:w="2253"/>
            <w:vAlign w:val="center"/>
            <w:tcBorders>
              <w:top w:val="single" w:sz="8" w:space="0" w:color="000000"/>
              <w:bottom w:val="single" w:sz="4" w:space="0" w:color="000000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b/>
                <w:sz w:val="18"/>
              </w:rPr>
            </w:r>
            <w:r>
              <w:rPr>
                <w:rFonts w:ascii="EB Garamond" w:hAnsi="EB Garamond" w:eastAsia="EB Garamond"/>
                <w:b/>
                <w:sz w:val="18"/>
              </w:rPr>
              <w:t>Sensitivity variable</w:t>
            </w:r>
          </w:p>
        </w:tc>
        <w:tc>
          <w:tcPr>
            <w:tcW w:type="dxa" w:w="2253"/>
            <w:vAlign w:val="center"/>
            <w:tcBorders>
              <w:top w:val="single" w:sz="8" w:space="0" w:color="000000"/>
              <w:bottom w:val="single" w:sz="4" w:space="0" w:color="000000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b/>
                <w:sz w:val="18"/>
              </w:rPr>
            </w:r>
            <w:r>
              <w:rPr>
                <w:rFonts w:ascii="EB Garamond" w:hAnsi="EB Garamond" w:eastAsia="EB Garamond"/>
                <w:b/>
                <w:sz w:val="18"/>
              </w:rPr>
              <w:t>Low</w:t>
            </w:r>
          </w:p>
        </w:tc>
        <w:tc>
          <w:tcPr>
            <w:tcW w:type="dxa" w:w="2253"/>
            <w:vAlign w:val="center"/>
            <w:tcBorders>
              <w:top w:val="single" w:sz="8" w:space="0" w:color="000000"/>
              <w:bottom w:val="single" w:sz="4" w:space="0" w:color="000000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b/>
                <w:sz w:val="18"/>
              </w:rPr>
            </w:r>
            <w:r>
              <w:rPr>
                <w:rFonts w:ascii="EB Garamond" w:hAnsi="EB Garamond" w:eastAsia="EB Garamond"/>
                <w:b/>
                <w:sz w:val="18"/>
              </w:rPr>
              <w:t>Base</w:t>
            </w:r>
          </w:p>
        </w:tc>
        <w:tc>
          <w:tcPr>
            <w:tcW w:type="dxa" w:w="2253"/>
            <w:vAlign w:val="center"/>
            <w:tcBorders>
              <w:top w:val="single" w:sz="8" w:space="0" w:color="000000"/>
              <w:bottom w:val="single" w:sz="4" w:space="0" w:color="000000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b/>
                <w:sz w:val="18"/>
              </w:rPr>
            </w:r>
            <w:r>
              <w:rPr>
                <w:rFonts w:ascii="EB Garamond" w:hAnsi="EB Garamond" w:eastAsia="EB Garamond"/>
                <w:b/>
                <w:sz w:val="18"/>
              </w:rPr>
              <w:t>High</w:t>
            </w:r>
          </w:p>
        </w:tc>
      </w:tr>
      <w:tr>
        <w:trPr>
          <w:trHeight w:hRule="atLeast" w:val="351"/>
        </w:trPr>
        <w:tc>
          <w:tcPr>
            <w:tcW w:type="dxa" w:w="2253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Subscription price</w:t>
            </w:r>
          </w:p>
        </w:tc>
        <w:tc>
          <w:tcPr>
            <w:tcW w:type="dxa" w:w="2253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Base - 10%</w:t>
            </w:r>
          </w:p>
        </w:tc>
        <w:tc>
          <w:tcPr>
            <w:tcW w:type="dxa" w:w="2253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Base</w:t>
            </w:r>
          </w:p>
        </w:tc>
        <w:tc>
          <w:tcPr>
            <w:tcW w:type="dxa" w:w="2253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Base + 10%</w:t>
            </w:r>
          </w:p>
        </w:tc>
      </w:tr>
      <w:tr>
        <w:trPr>
          <w:trHeight w:hRule="atLeast" w:val="351"/>
        </w:trPr>
        <w:tc>
          <w:tcPr>
            <w:tcW w:type="dxa" w:w="2253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New shares issued</w:t>
            </w:r>
          </w:p>
        </w:tc>
        <w:tc>
          <w:tcPr>
            <w:tcW w:type="dxa" w:w="2253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Base - 10%</w:t>
            </w:r>
          </w:p>
        </w:tc>
        <w:tc>
          <w:tcPr>
            <w:tcW w:type="dxa" w:w="2253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Base</w:t>
            </w:r>
          </w:p>
        </w:tc>
        <w:tc>
          <w:tcPr>
            <w:tcW w:type="dxa" w:w="2253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Base + 10%</w:t>
            </w:r>
          </w:p>
        </w:tc>
      </w:tr>
      <w:tr>
        <w:trPr>
          <w:trHeight w:hRule="atLeast" w:val="351"/>
        </w:trPr>
        <w:tc>
          <w:tcPr>
            <w:tcW w:type="dxa" w:w="2253"/>
            <w:vAlign w:val="center"/>
            <w:tcBorders>
              <w:top w:val="nil"/>
              <w:bottom w:val="single" w:sz="8" w:space="0" w:color="000000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Fee %</w:t>
            </w:r>
          </w:p>
        </w:tc>
        <w:tc>
          <w:tcPr>
            <w:tcW w:type="dxa" w:w="2253"/>
            <w:vAlign w:val="center"/>
            <w:tcBorders>
              <w:top w:val="nil"/>
              <w:bottom w:val="single" w:sz="8" w:space="0" w:color="000000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1.0%</w:t>
            </w:r>
          </w:p>
        </w:tc>
        <w:tc>
          <w:tcPr>
            <w:tcW w:type="dxa" w:w="2253"/>
            <w:vAlign w:val="center"/>
            <w:tcBorders>
              <w:top w:val="nil"/>
              <w:bottom w:val="single" w:sz="8" w:space="0" w:color="000000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2.0%</w:t>
            </w:r>
          </w:p>
        </w:tc>
        <w:tc>
          <w:tcPr>
            <w:tcW w:type="dxa" w:w="2253"/>
            <w:vAlign w:val="center"/>
            <w:tcBorders>
              <w:top w:val="nil"/>
              <w:bottom w:val="single" w:sz="8" w:space="0" w:color="000000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3.0%</w:t>
            </w:r>
          </w:p>
        </w:tc>
      </w:tr>
    </w:tbl>
    <w:p>
      <w:pPr>
        <w:spacing w:before="40" w:after="60" w:line="240" w:lineRule="auto"/>
      </w:pPr>
    </w:p>
    <w:p>
      <w:pPr>
        <w:pStyle w:val="CaseHeading1"/>
        <w:spacing w:line="276" w:lineRule="auto"/>
      </w:pPr>
      <w:r>
        <w:rPr>
          <w:rFonts w:ascii="EB Garamond" w:hAnsi="EB Garamond" w:eastAsia="EB Garamond"/>
        </w:rPr>
        <w:t>7. Stakeholder and underwriting analysis</w:t>
      </w:r>
    </w:p>
    <w:p>
      <w:pPr>
        <w:pStyle w:val="CaseHeading2"/>
        <w:spacing w:line="276" w:lineRule="auto"/>
      </w:pPr>
      <w:r>
        <w:rPr>
          <w:rFonts w:ascii="EB Garamond" w:hAnsi="EB Garamond" w:eastAsia="EB Garamond"/>
        </w:rPr>
        <w:t>7.1 Rights issue vs ABB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53"/>
        <w:gridCol w:w="2253"/>
        <w:gridCol w:w="2253"/>
        <w:gridCol w:w="2253"/>
      </w:tblGrid>
      <w:tr>
        <w:trPr>
          <w:trHeight w:hRule="atLeast" w:val="351"/>
          <w:tblHeader w:val="true"/>
        </w:trPr>
        <w:tc>
          <w:tcPr>
            <w:tcW w:type="dxa" w:w="2253"/>
            <w:vAlign w:val="center"/>
            <w:tcBorders>
              <w:top w:val="single" w:sz="8" w:space="0" w:color="000000"/>
              <w:bottom w:val="single" w:sz="4" w:space="0" w:color="000000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b/>
                <w:sz w:val="18"/>
              </w:rPr>
            </w:r>
            <w:r>
              <w:rPr>
                <w:rFonts w:ascii="EB Garamond" w:hAnsi="EB Garamond" w:eastAsia="EB Garamond"/>
                <w:b/>
                <w:sz w:val="18"/>
              </w:rPr>
              <w:t>Dimension</w:t>
            </w:r>
          </w:p>
        </w:tc>
        <w:tc>
          <w:tcPr>
            <w:tcW w:type="dxa" w:w="2253"/>
            <w:vAlign w:val="center"/>
            <w:tcBorders>
              <w:top w:val="single" w:sz="8" w:space="0" w:color="000000"/>
              <w:bottom w:val="single" w:sz="4" w:space="0" w:color="000000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b/>
                <w:sz w:val="18"/>
              </w:rPr>
            </w:r>
            <w:r>
              <w:rPr>
                <w:rFonts w:ascii="EB Garamond" w:hAnsi="EB Garamond" w:eastAsia="EB Garamond"/>
                <w:b/>
                <w:sz w:val="18"/>
              </w:rPr>
              <w:t>Rights issue</w:t>
            </w:r>
          </w:p>
        </w:tc>
        <w:tc>
          <w:tcPr>
            <w:tcW w:type="dxa" w:w="2253"/>
            <w:vAlign w:val="center"/>
            <w:tcBorders>
              <w:top w:val="single" w:sz="8" w:space="0" w:color="000000"/>
              <w:bottom w:val="single" w:sz="4" w:space="0" w:color="000000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b/>
                <w:sz w:val="18"/>
              </w:rPr>
            </w:r>
            <w:r>
              <w:rPr>
                <w:rFonts w:ascii="EB Garamond" w:hAnsi="EB Garamond" w:eastAsia="EB Garamond"/>
                <w:b/>
                <w:sz w:val="18"/>
              </w:rPr>
              <w:t>ABB / placement</w:t>
            </w:r>
          </w:p>
        </w:tc>
        <w:tc>
          <w:tcPr>
            <w:tcW w:type="dxa" w:w="2253"/>
            <w:vAlign w:val="center"/>
            <w:tcBorders>
              <w:top w:val="single" w:sz="8" w:space="0" w:color="000000"/>
              <w:bottom w:val="single" w:sz="4" w:space="0" w:color="000000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b/>
                <w:sz w:val="18"/>
              </w:rPr>
            </w:r>
            <w:r>
              <w:rPr>
                <w:rFonts w:ascii="EB Garamond" w:hAnsi="EB Garamond" w:eastAsia="EB Garamond"/>
                <w:b/>
                <w:sz w:val="18"/>
              </w:rPr>
              <w:t>Why it matters in Ørsted case</w:t>
            </w:r>
          </w:p>
        </w:tc>
      </w:tr>
      <w:tr>
        <w:trPr>
          <w:trHeight w:hRule="atLeast" w:val="351"/>
        </w:trPr>
        <w:tc>
          <w:tcPr>
            <w:tcW w:type="dxa" w:w="2253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Speed</w:t>
            </w:r>
          </w:p>
        </w:tc>
        <w:tc>
          <w:tcPr>
            <w:tcW w:type="dxa" w:w="2253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</w:r>
          </w:p>
        </w:tc>
        <w:tc>
          <w:tcPr>
            <w:tcW w:type="dxa" w:w="2253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</w:r>
          </w:p>
        </w:tc>
        <w:tc>
          <w:tcPr>
            <w:tcW w:type="dxa" w:w="2253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</w:r>
          </w:p>
        </w:tc>
      </w:tr>
      <w:tr>
        <w:trPr>
          <w:trHeight w:hRule="atLeast" w:val="351"/>
        </w:trPr>
        <w:tc>
          <w:tcPr>
            <w:tcW w:type="dxa" w:w="2253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Shareholder fairness</w:t>
            </w:r>
          </w:p>
        </w:tc>
        <w:tc>
          <w:tcPr>
            <w:tcW w:type="dxa" w:w="2253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</w:r>
          </w:p>
        </w:tc>
        <w:tc>
          <w:tcPr>
            <w:tcW w:type="dxa" w:w="2253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</w:r>
          </w:p>
        </w:tc>
        <w:tc>
          <w:tcPr>
            <w:tcW w:type="dxa" w:w="2253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</w:r>
          </w:p>
        </w:tc>
      </w:tr>
      <w:tr>
        <w:trPr>
          <w:trHeight w:hRule="atLeast" w:val="351"/>
        </w:trPr>
        <w:tc>
          <w:tcPr>
            <w:tcW w:type="dxa" w:w="2253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Discount logic</w:t>
            </w:r>
          </w:p>
        </w:tc>
        <w:tc>
          <w:tcPr>
            <w:tcW w:type="dxa" w:w="2253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</w:r>
          </w:p>
        </w:tc>
        <w:tc>
          <w:tcPr>
            <w:tcW w:type="dxa" w:w="2253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</w:r>
          </w:p>
        </w:tc>
        <w:tc>
          <w:tcPr>
            <w:tcW w:type="dxa" w:w="2253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</w:r>
          </w:p>
        </w:tc>
      </w:tr>
      <w:tr>
        <w:trPr>
          <w:trHeight w:hRule="atLeast" w:val="351"/>
        </w:trPr>
        <w:tc>
          <w:tcPr>
            <w:tcW w:type="dxa" w:w="2253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Investor base</w:t>
            </w:r>
          </w:p>
        </w:tc>
        <w:tc>
          <w:tcPr>
            <w:tcW w:type="dxa" w:w="2253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</w:r>
          </w:p>
        </w:tc>
        <w:tc>
          <w:tcPr>
            <w:tcW w:type="dxa" w:w="2253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</w:r>
          </w:p>
        </w:tc>
        <w:tc>
          <w:tcPr>
            <w:tcW w:type="dxa" w:w="2253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</w:r>
          </w:p>
        </w:tc>
      </w:tr>
      <w:tr>
        <w:trPr>
          <w:trHeight w:hRule="atLeast" w:val="351"/>
        </w:trPr>
        <w:tc>
          <w:tcPr>
            <w:tcW w:type="dxa" w:w="2253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Execution certainty</w:t>
            </w:r>
          </w:p>
        </w:tc>
        <w:tc>
          <w:tcPr>
            <w:tcW w:type="dxa" w:w="2253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</w:r>
          </w:p>
        </w:tc>
        <w:tc>
          <w:tcPr>
            <w:tcW w:type="dxa" w:w="2253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</w:r>
          </w:p>
        </w:tc>
        <w:tc>
          <w:tcPr>
            <w:tcW w:type="dxa" w:w="2253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</w:r>
          </w:p>
        </w:tc>
      </w:tr>
      <w:tr>
        <w:trPr>
          <w:trHeight w:hRule="atLeast" w:val="351"/>
        </w:trPr>
        <w:tc>
          <w:tcPr>
            <w:tcW w:type="dxa" w:w="2253"/>
            <w:vAlign w:val="center"/>
            <w:tcBorders>
              <w:top w:val="nil"/>
              <w:bottom w:val="single" w:sz="8" w:space="0" w:color="000000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Disclosure and process</w:t>
            </w:r>
          </w:p>
        </w:tc>
        <w:tc>
          <w:tcPr>
            <w:tcW w:type="dxa" w:w="2253"/>
            <w:vAlign w:val="center"/>
            <w:tcBorders>
              <w:top w:val="nil"/>
              <w:bottom w:val="single" w:sz="8" w:space="0" w:color="000000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</w:r>
          </w:p>
        </w:tc>
        <w:tc>
          <w:tcPr>
            <w:tcW w:type="dxa" w:w="2253"/>
            <w:vAlign w:val="center"/>
            <w:tcBorders>
              <w:top w:val="nil"/>
              <w:bottom w:val="single" w:sz="8" w:space="0" w:color="000000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</w:r>
          </w:p>
        </w:tc>
        <w:tc>
          <w:tcPr>
            <w:tcW w:type="dxa" w:w="2253"/>
            <w:vAlign w:val="center"/>
            <w:tcBorders>
              <w:top w:val="nil"/>
              <w:bottom w:val="single" w:sz="8" w:space="0" w:color="000000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</w:r>
          </w:p>
        </w:tc>
      </w:tr>
    </w:tbl>
    <w:p>
      <w:pPr>
        <w:spacing w:before="40" w:after="60" w:line="240" w:lineRule="auto"/>
      </w:pPr>
    </w:p>
    <w:p>
      <w:pPr>
        <w:pStyle w:val="CaseHeading2"/>
        <w:spacing w:line="276" w:lineRule="auto"/>
      </w:pPr>
      <w:r>
        <w:rPr>
          <w:rFonts w:ascii="EB Garamond" w:hAnsi="EB Garamond" w:eastAsia="EB Garamond"/>
        </w:rPr>
        <w:t>7.2 Underwriting risk</w:t>
      </w:r>
    </w:p>
    <w:p>
      <w:pPr>
        <w:spacing w:line="276" w:lineRule="auto"/>
      </w:pPr>
      <w:r>
        <w:rPr>
          <w:rFonts w:ascii="EB Garamond" w:hAnsi="EB Garamond" w:eastAsia="EB Garamond"/>
        </w:rPr>
        <w:t>Forklar underwriting som en risikooverførsel. Underwriters hjælper issuer med execution certainty, men de påtager sig risiko for, at aktier ikke bliver tegnet af markedet på de aftalte vilkår.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07"/>
        <w:gridCol w:w="4507"/>
      </w:tblGrid>
      <w:tr>
        <w:trPr>
          <w:trHeight w:hRule="atLeast" w:val="351"/>
          <w:tblHeader w:val="true"/>
        </w:trPr>
        <w:tc>
          <w:tcPr>
            <w:tcW w:type="dxa" w:w="4507"/>
            <w:vAlign w:val="center"/>
            <w:tcBorders>
              <w:top w:val="single" w:sz="8" w:space="0" w:color="000000"/>
              <w:bottom w:val="single" w:sz="4" w:space="0" w:color="000000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b/>
                <w:sz w:val="18"/>
              </w:rPr>
            </w:r>
            <w:r>
              <w:rPr>
                <w:rFonts w:ascii="EB Garamond" w:hAnsi="EB Garamond" w:eastAsia="EB Garamond"/>
                <w:b/>
                <w:sz w:val="18"/>
              </w:rPr>
              <w:t>Question</w:t>
            </w:r>
          </w:p>
        </w:tc>
        <w:tc>
          <w:tcPr>
            <w:tcW w:type="dxa" w:w="4507"/>
            <w:vAlign w:val="center"/>
            <w:tcBorders>
              <w:top w:val="single" w:sz="8" w:space="0" w:color="000000"/>
              <w:bottom w:val="single" w:sz="4" w:space="0" w:color="000000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b/>
                <w:sz w:val="18"/>
              </w:rPr>
            </w:r>
            <w:r>
              <w:rPr>
                <w:rFonts w:ascii="EB Garamond" w:hAnsi="EB Garamond" w:eastAsia="EB Garamond"/>
                <w:b/>
                <w:sz w:val="18"/>
              </w:rPr>
              <w:t>Your answer</w:t>
            </w:r>
          </w:p>
        </w:tc>
      </w:tr>
      <w:tr>
        <w:trPr>
          <w:trHeight w:hRule="atLeast" w:val="351"/>
        </w:trPr>
        <w:tc>
          <w:tcPr>
            <w:tcW w:type="dxa" w:w="4507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What risk is the bank taking?</w:t>
            </w:r>
          </w:p>
        </w:tc>
        <w:tc>
          <w:tcPr>
            <w:tcW w:type="dxa" w:w="4507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</w:r>
          </w:p>
        </w:tc>
      </w:tr>
      <w:tr>
        <w:trPr>
          <w:trHeight w:hRule="atLeast" w:val="351"/>
        </w:trPr>
        <w:tc>
          <w:tcPr>
            <w:tcW w:type="dxa" w:w="4507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How does a state subscription commitment reduce risk?</w:t>
            </w:r>
          </w:p>
        </w:tc>
        <w:tc>
          <w:tcPr>
            <w:tcW w:type="dxa" w:w="4507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</w:r>
          </w:p>
        </w:tc>
      </w:tr>
      <w:tr>
        <w:trPr>
          <w:trHeight w:hRule="atLeast" w:val="351"/>
        </w:trPr>
        <w:tc>
          <w:tcPr>
            <w:tcW w:type="dxa" w:w="4507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What happens if existing shareholders do not take up their rights?</w:t>
            </w:r>
          </w:p>
        </w:tc>
        <w:tc>
          <w:tcPr>
            <w:tcW w:type="dxa" w:w="4507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</w:r>
          </w:p>
        </w:tc>
      </w:tr>
      <w:tr>
        <w:trPr>
          <w:trHeight w:hRule="atLeast" w:val="351"/>
        </w:trPr>
        <w:tc>
          <w:tcPr>
            <w:tcW w:type="dxa" w:w="4507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Why is a large discount relevant for underwriting risk?</w:t>
            </w:r>
          </w:p>
        </w:tc>
        <w:tc>
          <w:tcPr>
            <w:tcW w:type="dxa" w:w="4507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</w:r>
          </w:p>
        </w:tc>
      </w:tr>
      <w:tr>
        <w:trPr>
          <w:trHeight w:hRule="atLeast" w:val="351"/>
        </w:trPr>
        <w:tc>
          <w:tcPr>
            <w:tcW w:type="dxa" w:w="4507"/>
            <w:vAlign w:val="center"/>
            <w:tcBorders>
              <w:top w:val="nil"/>
              <w:bottom w:val="single" w:sz="8" w:space="0" w:color="000000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What would you monitor during the subscription period?</w:t>
            </w:r>
          </w:p>
        </w:tc>
        <w:tc>
          <w:tcPr>
            <w:tcW w:type="dxa" w:w="4507"/>
            <w:vAlign w:val="center"/>
            <w:tcBorders>
              <w:top w:val="nil"/>
              <w:bottom w:val="single" w:sz="8" w:space="0" w:color="000000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</w:r>
          </w:p>
        </w:tc>
      </w:tr>
    </w:tbl>
    <w:p>
      <w:pPr>
        <w:spacing w:before="40" w:after="60" w:line="240" w:lineRule="auto"/>
      </w:pPr>
    </w:p>
    <w:p>
      <w:pPr>
        <w:pStyle w:val="CaseHeading2"/>
        <w:spacing w:line="276" w:lineRule="auto"/>
      </w:pPr>
      <w:r>
        <w:rPr>
          <w:rFonts w:ascii="EB Garamond" w:hAnsi="EB Garamond" w:eastAsia="EB Garamond"/>
        </w:rPr>
        <w:t>7.3 State shareholder dynamics</w:t>
      </w:r>
    </w:p>
    <w:p>
      <w:pPr>
        <w:spacing w:line="276" w:lineRule="auto"/>
      </w:pPr>
      <w:r>
        <w:rPr>
          <w:rFonts w:ascii="EB Garamond" w:hAnsi="EB Garamond" w:eastAsia="EB Garamond"/>
        </w:rPr>
        <w:t>Skriv 120 til 180 ord om statens rolle som majoritetsaktionær. Forklar både kapitalmarkedslogikken og den strategiske ejerskabslogik.</w:t>
      </w:r>
    </w:p>
    <w:p>
      <w:pPr>
        <w:spacing w:after="40" w:line="240" w:lineRule="auto"/>
      </w:pPr>
      <w:r>
        <w:rPr>
          <w:rFonts w:ascii="EB Garamond" w:hAnsi="EB Garamond" w:eastAsia="EB Garamond"/>
          <w:sz w:val="18"/>
        </w:rPr>
        <w:t>____________________________________________________________________________________________</w:t>
      </w:r>
    </w:p>
    <w:p>
      <w:pPr>
        <w:spacing w:after="40" w:line="240" w:lineRule="auto"/>
      </w:pPr>
      <w:r>
        <w:rPr>
          <w:rFonts w:ascii="EB Garamond" w:hAnsi="EB Garamond" w:eastAsia="EB Garamond"/>
          <w:sz w:val="18"/>
        </w:rPr>
        <w:t>____________________________________________________________________________________________</w:t>
      </w:r>
    </w:p>
    <w:p>
      <w:pPr>
        <w:spacing w:after="40" w:line="240" w:lineRule="auto"/>
      </w:pPr>
      <w:r>
        <w:rPr>
          <w:rFonts w:ascii="EB Garamond" w:hAnsi="EB Garamond" w:eastAsia="EB Garamond"/>
          <w:sz w:val="18"/>
        </w:rPr>
        <w:t>____________________________________________________________________________________________</w:t>
      </w:r>
    </w:p>
    <w:p>
      <w:pPr>
        <w:spacing w:after="40" w:line="240" w:lineRule="auto"/>
      </w:pPr>
      <w:r>
        <w:rPr>
          <w:rFonts w:ascii="EB Garamond" w:hAnsi="EB Garamond" w:eastAsia="EB Garamond"/>
          <w:sz w:val="18"/>
        </w:rPr>
        <w:t>____________________________________________________________________________________________</w:t>
      </w:r>
    </w:p>
    <w:p>
      <w:pPr>
        <w:spacing w:after="40" w:line="240" w:lineRule="auto"/>
      </w:pPr>
      <w:r>
        <w:rPr>
          <w:rFonts w:ascii="EB Garamond" w:hAnsi="EB Garamond" w:eastAsia="EB Garamond"/>
          <w:sz w:val="18"/>
        </w:rPr>
        <w:t>____________________________________________________________________________________________</w:t>
      </w:r>
    </w:p>
    <w:p>
      <w:pPr>
        <w:spacing w:after="40" w:line="240" w:lineRule="auto"/>
      </w:pPr>
      <w:r>
        <w:rPr>
          <w:rFonts w:ascii="EB Garamond" w:hAnsi="EB Garamond" w:eastAsia="EB Garamond"/>
          <w:sz w:val="18"/>
        </w:rPr>
        <w:t>____________________________________________________________________________________________</w:t>
      </w:r>
    </w:p>
    <w:p>
      <w:pPr>
        <w:spacing w:after="40" w:line="240" w:lineRule="auto"/>
      </w:pPr>
      <w:r>
        <w:rPr>
          <w:rFonts w:ascii="EB Garamond" w:hAnsi="EB Garamond" w:eastAsia="EB Garamond"/>
          <w:sz w:val="18"/>
        </w:rPr>
        <w:t>____________________________________________________________________________________________</w:t>
      </w:r>
    </w:p>
    <w:p>
      <w:pPr>
        <w:spacing w:after="40" w:line="240" w:lineRule="auto"/>
      </w:pPr>
      <w:r>
        <w:rPr>
          <w:rFonts w:ascii="EB Garamond" w:hAnsi="EB Garamond" w:eastAsia="EB Garamond"/>
          <w:sz w:val="18"/>
        </w:rPr>
        <w:t>____________________________________________________________________________________________</w:t>
      </w:r>
    </w:p>
    <w:p>
      <w:pPr>
        <w:spacing w:after="40" w:line="240" w:lineRule="auto"/>
      </w:pPr>
      <w:r>
        <w:rPr>
          <w:rFonts w:ascii="EB Garamond" w:hAnsi="EB Garamond" w:eastAsia="EB Garamond"/>
          <w:sz w:val="18"/>
        </w:rPr>
        <w:t>____________________________________________________________________________________________</w:t>
      </w:r>
    </w:p>
    <w:p>
      <w:pPr>
        <w:pStyle w:val="CaseHeading1"/>
        <w:spacing w:line="276" w:lineRule="auto"/>
      </w:pPr>
      <w:r>
        <w:rPr>
          <w:rFonts w:ascii="EB Garamond" w:hAnsi="EB Garamond" w:eastAsia="EB Garamond"/>
        </w:rPr>
        <w:t>8. Minimum visuals and dashboard requirements</w:t>
      </w:r>
    </w:p>
    <w:p>
      <w:pPr>
        <w:spacing w:line="276" w:lineRule="auto"/>
      </w:pPr>
      <w:r>
        <w:rPr>
          <w:rFonts w:ascii="EB Garamond" w:hAnsi="EB Garamond" w:eastAsia="EB Garamond"/>
        </w:rPr>
        <w:t>The dashboard must be clear enough that an Associate can understand the case in under 60 seconds. Include exactly the outputs needed to answer the brief. Avoid decorative charts.</w:t>
      </w:r>
    </w:p>
    <w:p>
      <w:pPr>
        <w:pStyle w:val="CaseHeading2"/>
        <w:spacing w:line="276" w:lineRule="auto"/>
      </w:pPr>
      <w:r>
        <w:rPr>
          <w:rFonts w:ascii="EB Garamond" w:hAnsi="EB Garamond" w:eastAsia="EB Garamond"/>
        </w:rPr>
        <w:t>Required visuals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05"/>
        <w:gridCol w:w="3005"/>
        <w:gridCol w:w="3005"/>
      </w:tblGrid>
      <w:tr>
        <w:trPr>
          <w:trHeight w:hRule="atLeast" w:val="351"/>
          <w:tblHeader w:val="true"/>
        </w:trPr>
        <w:tc>
          <w:tcPr>
            <w:tcW w:type="dxa" w:w="3005"/>
            <w:vAlign w:val="center"/>
            <w:tcBorders>
              <w:top w:val="single" w:sz="8" w:space="0" w:color="000000"/>
              <w:bottom w:val="single" w:sz="4" w:space="0" w:color="000000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b/>
                <w:sz w:val="18"/>
              </w:rPr>
            </w:r>
            <w:r>
              <w:rPr>
                <w:rFonts w:ascii="EB Garamond" w:hAnsi="EB Garamond" w:eastAsia="EB Garamond"/>
                <w:b/>
                <w:sz w:val="18"/>
              </w:rPr>
              <w:t>Visual</w:t>
            </w:r>
          </w:p>
        </w:tc>
        <w:tc>
          <w:tcPr>
            <w:tcW w:type="dxa" w:w="3005"/>
            <w:vAlign w:val="center"/>
            <w:tcBorders>
              <w:top w:val="single" w:sz="8" w:space="0" w:color="000000"/>
              <w:bottom w:val="single" w:sz="4" w:space="0" w:color="000000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b/>
                <w:sz w:val="18"/>
              </w:rPr>
            </w:r>
            <w:r>
              <w:rPr>
                <w:rFonts w:ascii="EB Garamond" w:hAnsi="EB Garamond" w:eastAsia="EB Garamond"/>
                <w:b/>
                <w:sz w:val="18"/>
              </w:rPr>
              <w:t>Minimum content</w:t>
            </w:r>
          </w:p>
        </w:tc>
        <w:tc>
          <w:tcPr>
            <w:tcW w:type="dxa" w:w="3005"/>
            <w:vAlign w:val="center"/>
            <w:tcBorders>
              <w:top w:val="single" w:sz="8" w:space="0" w:color="000000"/>
              <w:bottom w:val="single" w:sz="4" w:space="0" w:color="000000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b/>
                <w:sz w:val="18"/>
              </w:rPr>
            </w:r>
            <w:r>
              <w:rPr>
                <w:rFonts w:ascii="EB Garamond" w:hAnsi="EB Garamond" w:eastAsia="EB Garamond"/>
                <w:b/>
                <w:sz w:val="18"/>
              </w:rPr>
              <w:t>What it should teach</w:t>
            </w:r>
          </w:p>
        </w:tc>
      </w:tr>
      <w:tr>
        <w:trPr>
          <w:trHeight w:hRule="atLeast" w:val="351"/>
        </w:trPr>
        <w:tc>
          <w:tcPr>
            <w:tcW w:type="dxa" w:w="300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Price bridge</w:t>
            </w:r>
          </w:p>
        </w:tc>
        <w:tc>
          <w:tcPr>
            <w:tcW w:type="dxa" w:w="300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Pre-rights price -&gt; TERP -&gt; subscription price</w:t>
            </w:r>
          </w:p>
        </w:tc>
        <w:tc>
          <w:tcPr>
            <w:tcW w:type="dxa" w:w="300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Why subscription price and TERP are different</w:t>
            </w:r>
          </w:p>
        </w:tc>
      </w:tr>
      <w:tr>
        <w:trPr>
          <w:trHeight w:hRule="atLeast" w:val="351"/>
        </w:trPr>
        <w:tc>
          <w:tcPr>
            <w:tcW w:type="dxa" w:w="300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Ownership before/after</w:t>
            </w:r>
          </w:p>
        </w:tc>
        <w:tc>
          <w:tcPr>
            <w:tcW w:type="dxa" w:w="300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Participating vs non-participating shareholder</w:t>
            </w:r>
          </w:p>
        </w:tc>
        <w:tc>
          <w:tcPr>
            <w:tcW w:type="dxa" w:w="300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How pre-emption protects participating shareholders</w:t>
            </w:r>
          </w:p>
        </w:tc>
      </w:tr>
      <w:tr>
        <w:trPr>
          <w:trHeight w:hRule="atLeast" w:val="351"/>
        </w:trPr>
        <w:tc>
          <w:tcPr>
            <w:tcW w:type="dxa" w:w="300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Sensitivity heatmap</w:t>
            </w:r>
          </w:p>
        </w:tc>
        <w:tc>
          <w:tcPr>
            <w:tcW w:type="dxa" w:w="300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Subscription price vs issue size</w:t>
            </w:r>
          </w:p>
        </w:tc>
        <w:tc>
          <w:tcPr>
            <w:tcW w:type="dxa" w:w="300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What drives TERP and dilution</w:t>
            </w:r>
          </w:p>
        </w:tc>
      </w:tr>
      <w:tr>
        <w:trPr>
          <w:trHeight w:hRule="atLeast" w:val="351"/>
        </w:trPr>
        <w:tc>
          <w:tcPr>
            <w:tcW w:type="dxa" w:w="3005"/>
            <w:vAlign w:val="center"/>
            <w:tcBorders>
              <w:top w:val="nil"/>
              <w:bottom w:val="single" w:sz="8" w:space="0" w:color="000000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Optional proceeds bridge</w:t>
            </w:r>
          </w:p>
        </w:tc>
        <w:tc>
          <w:tcPr>
            <w:tcW w:type="dxa" w:w="3005"/>
            <w:vAlign w:val="center"/>
            <w:tcBorders>
              <w:top w:val="nil"/>
              <w:bottom w:val="single" w:sz="8" w:space="0" w:color="000000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Gross proceeds -&gt; fees -&gt; net proceeds</w:t>
            </w:r>
          </w:p>
        </w:tc>
        <w:tc>
          <w:tcPr>
            <w:tcW w:type="dxa" w:w="3005"/>
            <w:vAlign w:val="center"/>
            <w:tcBorders>
              <w:top w:val="nil"/>
              <w:bottom w:val="single" w:sz="8" w:space="0" w:color="000000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How much capital is actually available to issuer</w:t>
            </w:r>
          </w:p>
        </w:tc>
      </w:tr>
    </w:tbl>
    <w:p>
      <w:pPr>
        <w:spacing w:before="40" w:after="60" w:line="240" w:lineRule="auto"/>
      </w:pPr>
    </w:p>
    <w:p>
      <w:pPr>
        <w:pStyle w:val="CaseHeading2"/>
        <w:spacing w:line="276" w:lineRule="auto"/>
      </w:pPr>
      <w:r>
        <w:rPr>
          <w:rFonts w:ascii="EB Garamond" w:hAnsi="EB Garamond" w:eastAsia="EB Garamond"/>
        </w:rPr>
        <w:t>Dashboard boxes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07"/>
        <w:gridCol w:w="4507"/>
      </w:tblGrid>
      <w:tr>
        <w:trPr>
          <w:trHeight w:hRule="atLeast" w:val="351"/>
          <w:tblHeader w:val="true"/>
        </w:trPr>
        <w:tc>
          <w:tcPr>
            <w:tcW w:type="dxa" w:w="4507"/>
            <w:vAlign w:val="center"/>
            <w:tcBorders>
              <w:top w:val="single" w:sz="8" w:space="0" w:color="000000"/>
              <w:bottom w:val="single" w:sz="4" w:space="0" w:color="000000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b/>
                <w:sz w:val="18"/>
              </w:rPr>
            </w:r>
            <w:r>
              <w:rPr>
                <w:rFonts w:ascii="EB Garamond" w:hAnsi="EB Garamond" w:eastAsia="EB Garamond"/>
                <w:b/>
                <w:sz w:val="18"/>
              </w:rPr>
              <w:t>Box</w:t>
            </w:r>
          </w:p>
        </w:tc>
        <w:tc>
          <w:tcPr>
            <w:tcW w:type="dxa" w:w="4507"/>
            <w:vAlign w:val="center"/>
            <w:tcBorders>
              <w:top w:val="single" w:sz="8" w:space="0" w:color="000000"/>
              <w:bottom w:val="single" w:sz="4" w:space="0" w:color="000000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b/>
                <w:sz w:val="18"/>
              </w:rPr>
            </w:r>
            <w:r>
              <w:rPr>
                <w:rFonts w:ascii="EB Garamond" w:hAnsi="EB Garamond" w:eastAsia="EB Garamond"/>
                <w:b/>
                <w:sz w:val="18"/>
              </w:rPr>
              <w:t>Content requirement</w:t>
            </w:r>
          </w:p>
        </w:tc>
      </w:tr>
      <w:tr>
        <w:trPr>
          <w:trHeight w:hRule="atLeast" w:val="351"/>
        </w:trPr>
        <w:tc>
          <w:tcPr>
            <w:tcW w:type="dxa" w:w="4507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Box 1: Capital raised</w:t>
            </w:r>
          </w:p>
        </w:tc>
        <w:tc>
          <w:tcPr>
            <w:tcW w:type="dxa" w:w="4507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Gross proceeds, fees and net proceeds</w:t>
            </w:r>
          </w:p>
        </w:tc>
      </w:tr>
      <w:tr>
        <w:trPr>
          <w:trHeight w:hRule="atLeast" w:val="351"/>
        </w:trPr>
        <w:tc>
          <w:tcPr>
            <w:tcW w:type="dxa" w:w="4507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Box 2: TERP and rights value</w:t>
            </w:r>
          </w:p>
        </w:tc>
        <w:tc>
          <w:tcPr>
            <w:tcW w:type="dxa" w:w="4507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TERP, subscription price discount and value per right</w:t>
            </w:r>
          </w:p>
        </w:tc>
      </w:tr>
      <w:tr>
        <w:trPr>
          <w:trHeight w:hRule="atLeast" w:val="351"/>
        </w:trPr>
        <w:tc>
          <w:tcPr>
            <w:tcW w:type="dxa" w:w="4507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Box 3: Ownership impact</w:t>
            </w:r>
          </w:p>
        </w:tc>
        <w:tc>
          <w:tcPr>
            <w:tcW w:type="dxa" w:w="4507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Participating vs non-participating outcome</w:t>
            </w:r>
          </w:p>
        </w:tc>
      </w:tr>
      <w:tr>
        <w:trPr>
          <w:trHeight w:hRule="atLeast" w:val="351"/>
        </w:trPr>
        <w:tc>
          <w:tcPr>
            <w:tcW w:type="dxa" w:w="4507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Box 4: Execution risk</w:t>
            </w:r>
          </w:p>
        </w:tc>
        <w:tc>
          <w:tcPr>
            <w:tcW w:type="dxa" w:w="4507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Take-up, underwriting and state commitment commentary</w:t>
            </w:r>
          </w:p>
        </w:tc>
      </w:tr>
      <w:tr>
        <w:trPr>
          <w:trHeight w:hRule="atLeast" w:val="351"/>
        </w:trPr>
        <w:tc>
          <w:tcPr>
            <w:tcW w:type="dxa" w:w="4507"/>
            <w:vAlign w:val="center"/>
            <w:tcBorders>
              <w:top w:val="nil"/>
              <w:bottom w:val="single" w:sz="8" w:space="0" w:color="000000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Box 5: Analyst conclusion</w:t>
            </w:r>
          </w:p>
        </w:tc>
        <w:tc>
          <w:tcPr>
            <w:tcW w:type="dxa" w:w="4507"/>
            <w:vAlign w:val="center"/>
            <w:tcBorders>
              <w:top w:val="nil"/>
              <w:bottom w:val="single" w:sz="8" w:space="0" w:color="000000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Three bullets: what matters, what is fragile, what to check next</w:t>
            </w:r>
          </w:p>
        </w:tc>
      </w:tr>
    </w:tbl>
    <w:p>
      <w:pPr>
        <w:spacing w:before="40" w:after="60" w:line="240" w:lineRule="auto"/>
      </w:pPr>
    </w:p>
    <w:p>
      <w:pPr>
        <w:pStyle w:val="CaseHeading1"/>
        <w:spacing w:line="276" w:lineRule="auto"/>
      </w:pPr>
      <w:r>
        <w:rPr>
          <w:rFonts w:ascii="EB Garamond" w:hAnsi="EB Garamond" w:eastAsia="EB Garamond"/>
        </w:rPr>
        <w:t>9. Interpretation prompts and 60-second explanation</w:t>
      </w:r>
    </w:p>
    <w:p>
      <w:pPr>
        <w:pStyle w:val="CaseHeading2"/>
        <w:spacing w:line="276" w:lineRule="auto"/>
      </w:pPr>
      <w:r>
        <w:rPr>
          <w:rFonts w:ascii="EB Garamond" w:hAnsi="EB Garamond" w:eastAsia="EB Garamond"/>
        </w:rPr>
        <w:t>9.1 Core prompts</w:t>
      </w:r>
    </w:p>
    <w:p>
      <w:pPr>
        <w:spacing w:after="40" w:line="276" w:lineRule="auto"/>
      </w:pPr>
      <w:r>
        <w:rPr>
          <w:rFonts w:ascii="EB Garamond" w:hAnsi="EB Garamond" w:eastAsia="EB Garamond"/>
          <w:b/>
        </w:rPr>
        <w:t>Why does a company use a rights issue instead of an ABB?</w:t>
      </w:r>
    </w:p>
    <w:p>
      <w:pPr>
        <w:spacing w:after="40" w:line="240" w:lineRule="auto"/>
      </w:pPr>
      <w:r>
        <w:rPr>
          <w:rFonts w:ascii="EB Garamond" w:hAnsi="EB Garamond" w:eastAsia="EB Garamond"/>
          <w:sz w:val="18"/>
        </w:rPr>
        <w:t>____________________________________________________________________________________________</w:t>
      </w:r>
    </w:p>
    <w:p>
      <w:pPr>
        <w:spacing w:after="40" w:line="240" w:lineRule="auto"/>
      </w:pPr>
      <w:r>
        <w:rPr>
          <w:rFonts w:ascii="EB Garamond" w:hAnsi="EB Garamond" w:eastAsia="EB Garamond"/>
          <w:sz w:val="18"/>
        </w:rPr>
        <w:t>____________________________________________________________________________________________</w:t>
      </w:r>
    </w:p>
    <w:p>
      <w:pPr>
        <w:spacing w:after="40" w:line="240" w:lineRule="auto"/>
      </w:pPr>
      <w:r>
        <w:rPr>
          <w:rFonts w:ascii="EB Garamond" w:hAnsi="EB Garamond" w:eastAsia="EB Garamond"/>
          <w:sz w:val="18"/>
        </w:rPr>
        <w:t>____________________________________________________________________________________________</w:t>
      </w:r>
    </w:p>
    <w:p>
      <w:pPr>
        <w:spacing w:after="40" w:line="276" w:lineRule="auto"/>
      </w:pPr>
      <w:r>
        <w:rPr>
          <w:rFonts w:ascii="EB Garamond" w:hAnsi="EB Garamond" w:eastAsia="EB Garamond"/>
          <w:b/>
        </w:rPr>
        <w:t>Why is the subscription price set at a large discount?</w:t>
      </w:r>
    </w:p>
    <w:p>
      <w:pPr>
        <w:spacing w:after="40" w:line="240" w:lineRule="auto"/>
      </w:pPr>
      <w:r>
        <w:rPr>
          <w:rFonts w:ascii="EB Garamond" w:hAnsi="EB Garamond" w:eastAsia="EB Garamond"/>
          <w:sz w:val="18"/>
        </w:rPr>
        <w:t>____________________________________________________________________________________________</w:t>
      </w:r>
    </w:p>
    <w:p>
      <w:pPr>
        <w:spacing w:after="40" w:line="240" w:lineRule="auto"/>
      </w:pPr>
      <w:r>
        <w:rPr>
          <w:rFonts w:ascii="EB Garamond" w:hAnsi="EB Garamond" w:eastAsia="EB Garamond"/>
          <w:sz w:val="18"/>
        </w:rPr>
        <w:t>____________________________________________________________________________________________</w:t>
      </w:r>
    </w:p>
    <w:p>
      <w:pPr>
        <w:spacing w:after="40" w:line="240" w:lineRule="auto"/>
      </w:pPr>
      <w:r>
        <w:rPr>
          <w:rFonts w:ascii="EB Garamond" w:hAnsi="EB Garamond" w:eastAsia="EB Garamond"/>
          <w:sz w:val="18"/>
        </w:rPr>
        <w:t>____________________________________________________________________________________________</w:t>
      </w:r>
    </w:p>
    <w:p>
      <w:pPr>
        <w:spacing w:after="40" w:line="276" w:lineRule="auto"/>
      </w:pPr>
      <w:r>
        <w:rPr>
          <w:rFonts w:ascii="EB Garamond" w:hAnsi="EB Garamond" w:eastAsia="EB Garamond"/>
          <w:b/>
        </w:rPr>
        <w:t>Who is protected by pre-emption rights?</w:t>
      </w:r>
    </w:p>
    <w:p>
      <w:pPr>
        <w:spacing w:after="40" w:line="240" w:lineRule="auto"/>
      </w:pPr>
      <w:r>
        <w:rPr>
          <w:rFonts w:ascii="EB Garamond" w:hAnsi="EB Garamond" w:eastAsia="EB Garamond"/>
          <w:sz w:val="18"/>
        </w:rPr>
        <w:t>____________________________________________________________________________________________</w:t>
      </w:r>
    </w:p>
    <w:p>
      <w:pPr>
        <w:spacing w:after="40" w:line="240" w:lineRule="auto"/>
      </w:pPr>
      <w:r>
        <w:rPr>
          <w:rFonts w:ascii="EB Garamond" w:hAnsi="EB Garamond" w:eastAsia="EB Garamond"/>
          <w:sz w:val="18"/>
        </w:rPr>
        <w:t>____________________________________________________________________________________________</w:t>
      </w:r>
    </w:p>
    <w:p>
      <w:pPr>
        <w:spacing w:after="40" w:line="240" w:lineRule="auto"/>
      </w:pPr>
      <w:r>
        <w:rPr>
          <w:rFonts w:ascii="EB Garamond" w:hAnsi="EB Garamond" w:eastAsia="EB Garamond"/>
          <w:sz w:val="18"/>
        </w:rPr>
        <w:t>____________________________________________________________________________________________</w:t>
      </w:r>
    </w:p>
    <w:p>
      <w:pPr>
        <w:spacing w:after="40" w:line="276" w:lineRule="auto"/>
      </w:pPr>
      <w:r>
        <w:rPr>
          <w:rFonts w:ascii="EB Garamond" w:hAnsi="EB Garamond" w:eastAsia="EB Garamond"/>
          <w:b/>
        </w:rPr>
        <w:t>Who is diluted and why?</w:t>
      </w:r>
    </w:p>
    <w:p>
      <w:pPr>
        <w:spacing w:after="40" w:line="240" w:lineRule="auto"/>
      </w:pPr>
      <w:r>
        <w:rPr>
          <w:rFonts w:ascii="EB Garamond" w:hAnsi="EB Garamond" w:eastAsia="EB Garamond"/>
          <w:sz w:val="18"/>
        </w:rPr>
        <w:t>____________________________________________________________________________________________</w:t>
      </w:r>
    </w:p>
    <w:p>
      <w:pPr>
        <w:spacing w:after="40" w:line="240" w:lineRule="auto"/>
      </w:pPr>
      <w:r>
        <w:rPr>
          <w:rFonts w:ascii="EB Garamond" w:hAnsi="EB Garamond" w:eastAsia="EB Garamond"/>
          <w:sz w:val="18"/>
        </w:rPr>
        <w:t>____________________________________________________________________________________________</w:t>
      </w:r>
    </w:p>
    <w:p>
      <w:pPr>
        <w:spacing w:after="40" w:line="240" w:lineRule="auto"/>
      </w:pPr>
      <w:r>
        <w:rPr>
          <w:rFonts w:ascii="EB Garamond" w:hAnsi="EB Garamond" w:eastAsia="EB Garamond"/>
          <w:sz w:val="18"/>
        </w:rPr>
        <w:t>____________________________________________________________________________________________</w:t>
      </w:r>
    </w:p>
    <w:p>
      <w:pPr>
        <w:spacing w:after="40" w:line="276" w:lineRule="auto"/>
      </w:pPr>
      <w:r>
        <w:rPr>
          <w:rFonts w:ascii="EB Garamond" w:hAnsi="EB Garamond" w:eastAsia="EB Garamond"/>
          <w:b/>
        </w:rPr>
        <w:t>What is the bank underwriting risk?</w:t>
      </w:r>
    </w:p>
    <w:p>
      <w:pPr>
        <w:spacing w:after="40" w:line="240" w:lineRule="auto"/>
      </w:pPr>
      <w:r>
        <w:rPr>
          <w:rFonts w:ascii="EB Garamond" w:hAnsi="EB Garamond" w:eastAsia="EB Garamond"/>
          <w:sz w:val="18"/>
        </w:rPr>
        <w:t>____________________________________________________________________________________________</w:t>
      </w:r>
    </w:p>
    <w:p>
      <w:pPr>
        <w:spacing w:after="40" w:line="240" w:lineRule="auto"/>
      </w:pPr>
      <w:r>
        <w:rPr>
          <w:rFonts w:ascii="EB Garamond" w:hAnsi="EB Garamond" w:eastAsia="EB Garamond"/>
          <w:sz w:val="18"/>
        </w:rPr>
        <w:t>____________________________________________________________________________________________</w:t>
      </w:r>
    </w:p>
    <w:p>
      <w:pPr>
        <w:spacing w:after="40" w:line="240" w:lineRule="auto"/>
      </w:pPr>
      <w:r>
        <w:rPr>
          <w:rFonts w:ascii="EB Garamond" w:hAnsi="EB Garamond" w:eastAsia="EB Garamond"/>
          <w:sz w:val="18"/>
        </w:rPr>
        <w:t>____________________________________________________________________________________________</w:t>
      </w:r>
    </w:p>
    <w:p>
      <w:pPr>
        <w:spacing w:after="40" w:line="276" w:lineRule="auto"/>
      </w:pPr>
      <w:r>
        <w:rPr>
          <w:rFonts w:ascii="EB Garamond" w:hAnsi="EB Garamond" w:eastAsia="EB Garamond"/>
          <w:b/>
        </w:rPr>
        <w:t>Why does the discount not equal value destruction?</w:t>
      </w:r>
    </w:p>
    <w:p>
      <w:pPr>
        <w:spacing w:after="40" w:line="240" w:lineRule="auto"/>
      </w:pPr>
      <w:r>
        <w:rPr>
          <w:rFonts w:ascii="EB Garamond" w:hAnsi="EB Garamond" w:eastAsia="EB Garamond"/>
          <w:sz w:val="18"/>
        </w:rPr>
        <w:t>____________________________________________________________________________________________</w:t>
      </w:r>
    </w:p>
    <w:p>
      <w:pPr>
        <w:spacing w:after="40" w:line="240" w:lineRule="auto"/>
      </w:pPr>
      <w:r>
        <w:rPr>
          <w:rFonts w:ascii="EB Garamond" w:hAnsi="EB Garamond" w:eastAsia="EB Garamond"/>
          <w:sz w:val="18"/>
        </w:rPr>
        <w:t>____________________________________________________________________________________________</w:t>
      </w:r>
    </w:p>
    <w:p>
      <w:pPr>
        <w:spacing w:after="40" w:line="240" w:lineRule="auto"/>
      </w:pPr>
      <w:r>
        <w:rPr>
          <w:rFonts w:ascii="EB Garamond" w:hAnsi="EB Garamond" w:eastAsia="EB Garamond"/>
          <w:sz w:val="18"/>
        </w:rPr>
        <w:t>____________________________________________________________________________________________</w:t>
      </w:r>
    </w:p>
    <w:p>
      <w:pPr>
        <w:spacing w:after="40" w:line="276" w:lineRule="auto"/>
      </w:pPr>
      <w:r>
        <w:rPr>
          <w:rFonts w:ascii="EB Garamond" w:hAnsi="EB Garamond" w:eastAsia="EB Garamond"/>
          <w:b/>
        </w:rPr>
        <w:t>What would you sanity-check first before sending the model?</w:t>
      </w:r>
    </w:p>
    <w:p>
      <w:pPr>
        <w:spacing w:after="40" w:line="240" w:lineRule="auto"/>
      </w:pPr>
      <w:r>
        <w:rPr>
          <w:rFonts w:ascii="EB Garamond" w:hAnsi="EB Garamond" w:eastAsia="EB Garamond"/>
          <w:sz w:val="18"/>
        </w:rPr>
        <w:t>____________________________________________________________________________________________</w:t>
      </w:r>
    </w:p>
    <w:p>
      <w:pPr>
        <w:spacing w:after="40" w:line="240" w:lineRule="auto"/>
      </w:pPr>
      <w:r>
        <w:rPr>
          <w:rFonts w:ascii="EB Garamond" w:hAnsi="EB Garamond" w:eastAsia="EB Garamond"/>
          <w:sz w:val="18"/>
        </w:rPr>
        <w:t>____________________________________________________________________________________________</w:t>
      </w:r>
    </w:p>
    <w:p>
      <w:pPr>
        <w:spacing w:after="40" w:line="240" w:lineRule="auto"/>
      </w:pPr>
      <w:r>
        <w:rPr>
          <w:rFonts w:ascii="EB Garamond" w:hAnsi="EB Garamond" w:eastAsia="EB Garamond"/>
          <w:sz w:val="18"/>
        </w:rPr>
        <w:t>____________________________________________________________________________________________</w:t>
      </w:r>
    </w:p>
    <w:p>
      <w:pPr>
        <w:pStyle w:val="CaseHeading2"/>
        <w:spacing w:line="276" w:lineRule="auto"/>
      </w:pPr>
      <w:r>
        <w:rPr>
          <w:rFonts w:ascii="EB Garamond" w:hAnsi="EB Garamond" w:eastAsia="EB Garamond"/>
        </w:rPr>
        <w:t>9.2 Gold-standard intuition</w:t>
      </w:r>
    </w:p>
    <w:p>
      <w:pPr>
        <w:pStyle w:val="InstructionQuote"/>
        <w:spacing w:line="276" w:lineRule="auto"/>
      </w:pPr>
      <w:r>
        <w:rPr>
          <w:rFonts w:ascii="EB Garamond" w:hAnsi="EB Garamond" w:eastAsia="EB Garamond"/>
        </w:rPr>
        <w:t>A rights issue is not just “selling cheap shares”. It is a structure that protects existing shareholders by giving them the right to maintain ownership, while giving the company more execution certainty in a large capital raise.</w:t>
      </w:r>
    </w:p>
    <w:p>
      <w:pPr>
        <w:pStyle w:val="CaseHeading2"/>
        <w:spacing w:line="276" w:lineRule="auto"/>
      </w:pPr>
      <w:r>
        <w:rPr>
          <w:rFonts w:ascii="EB Garamond" w:hAnsi="EB Garamond" w:eastAsia="EB Garamond"/>
        </w:rPr>
        <w:t>9.3 8-line Associate email</w:t>
      </w:r>
    </w:p>
    <w:p>
      <w:pPr>
        <w:spacing w:line="276" w:lineRule="auto"/>
      </w:pPr>
      <w:r>
        <w:rPr>
          <w:rFonts w:ascii="EB Garamond" w:hAnsi="EB Garamond" w:eastAsia="EB Garamond"/>
        </w:rPr>
        <w:t>Write an email to the Associate with exactly eight lines: conclusion, two evidence lines, two risk lines, one ask, one next step, and one attachment note.</w:t>
      </w:r>
    </w:p>
    <w:p>
      <w:pPr>
        <w:spacing w:after="40" w:line="240" w:lineRule="auto"/>
      </w:pPr>
      <w:r>
        <w:rPr>
          <w:rFonts w:ascii="EB Garamond" w:hAnsi="EB Garamond" w:eastAsia="EB Garamond"/>
          <w:sz w:val="18"/>
        </w:rPr>
        <w:t>____________________________________________________________________________________________</w:t>
      </w:r>
    </w:p>
    <w:p>
      <w:pPr>
        <w:spacing w:after="40" w:line="240" w:lineRule="auto"/>
      </w:pPr>
      <w:r>
        <w:rPr>
          <w:rFonts w:ascii="EB Garamond" w:hAnsi="EB Garamond" w:eastAsia="EB Garamond"/>
          <w:sz w:val="18"/>
        </w:rPr>
        <w:t>____________________________________________________________________________________________</w:t>
      </w:r>
    </w:p>
    <w:p>
      <w:pPr>
        <w:spacing w:after="40" w:line="240" w:lineRule="auto"/>
      </w:pPr>
      <w:r>
        <w:rPr>
          <w:rFonts w:ascii="EB Garamond" w:hAnsi="EB Garamond" w:eastAsia="EB Garamond"/>
          <w:sz w:val="18"/>
        </w:rPr>
        <w:t>____________________________________________________________________________________________</w:t>
      </w:r>
    </w:p>
    <w:p>
      <w:pPr>
        <w:spacing w:after="40" w:line="240" w:lineRule="auto"/>
      </w:pPr>
      <w:r>
        <w:rPr>
          <w:rFonts w:ascii="EB Garamond" w:hAnsi="EB Garamond" w:eastAsia="EB Garamond"/>
          <w:sz w:val="18"/>
        </w:rPr>
        <w:t>____________________________________________________________________________________________</w:t>
      </w:r>
    </w:p>
    <w:p>
      <w:pPr>
        <w:spacing w:after="40" w:line="240" w:lineRule="auto"/>
      </w:pPr>
      <w:r>
        <w:rPr>
          <w:rFonts w:ascii="EB Garamond" w:hAnsi="EB Garamond" w:eastAsia="EB Garamond"/>
          <w:sz w:val="18"/>
        </w:rPr>
        <w:t>____________________________________________________________________________________________</w:t>
      </w:r>
    </w:p>
    <w:p>
      <w:pPr>
        <w:spacing w:after="40" w:line="240" w:lineRule="auto"/>
      </w:pPr>
      <w:r>
        <w:rPr>
          <w:rFonts w:ascii="EB Garamond" w:hAnsi="EB Garamond" w:eastAsia="EB Garamond"/>
          <w:sz w:val="18"/>
        </w:rPr>
        <w:t>____________________________________________________________________________________________</w:t>
      </w:r>
    </w:p>
    <w:p>
      <w:pPr>
        <w:spacing w:after="40" w:line="240" w:lineRule="auto"/>
      </w:pPr>
      <w:r>
        <w:rPr>
          <w:rFonts w:ascii="EB Garamond" w:hAnsi="EB Garamond" w:eastAsia="EB Garamond"/>
          <w:sz w:val="18"/>
        </w:rPr>
        <w:t>____________________________________________________________________________________________</w:t>
      </w:r>
    </w:p>
    <w:p>
      <w:pPr>
        <w:spacing w:after="40" w:line="240" w:lineRule="auto"/>
      </w:pPr>
      <w:r>
        <w:rPr>
          <w:rFonts w:ascii="EB Garamond" w:hAnsi="EB Garamond" w:eastAsia="EB Garamond"/>
          <w:sz w:val="18"/>
        </w:rPr>
        <w:t>____________________________________________________________________________________________</w:t>
      </w:r>
    </w:p>
    <w:p>
      <w:pPr>
        <w:spacing w:after="40" w:line="240" w:lineRule="auto"/>
      </w:pPr>
      <w:r>
        <w:rPr>
          <w:rFonts w:ascii="EB Garamond" w:hAnsi="EB Garamond" w:eastAsia="EB Garamond"/>
          <w:sz w:val="18"/>
        </w:rPr>
        <w:t>____________________________________________________________________________________________</w:t>
      </w:r>
    </w:p>
    <w:p>
      <w:pPr>
        <w:spacing w:after="40" w:line="240" w:lineRule="auto"/>
      </w:pPr>
      <w:r>
        <w:rPr>
          <w:rFonts w:ascii="EB Garamond" w:hAnsi="EB Garamond" w:eastAsia="EB Garamond"/>
          <w:sz w:val="18"/>
        </w:rPr>
        <w:t>____________________________________________________________________________________________</w:t>
      </w:r>
    </w:p>
    <w:p>
      <w:pPr>
        <w:pStyle w:val="CaseHeading2"/>
        <w:spacing w:line="276" w:lineRule="auto"/>
      </w:pPr>
      <w:r>
        <w:rPr>
          <w:rFonts w:ascii="EB Garamond" w:hAnsi="EB Garamond" w:eastAsia="EB Garamond"/>
        </w:rPr>
        <w:t>9.4 60-second explanation</w:t>
      </w:r>
    </w:p>
    <w:p>
      <w:pPr>
        <w:spacing w:line="276" w:lineRule="auto"/>
      </w:pPr>
      <w:r>
        <w:rPr>
          <w:rFonts w:ascii="EB Garamond" w:hAnsi="EB Garamond" w:eastAsia="EB Garamond"/>
        </w:rPr>
        <w:t>Prepare a spoken explanation to the following prompt. You should be able to deliver it without reading.</w:t>
      </w:r>
    </w:p>
    <w:p>
      <w:pPr>
        <w:pStyle w:val="InstructionQuote"/>
        <w:spacing w:line="276" w:lineRule="auto"/>
      </w:pPr>
      <w:r>
        <w:rPr>
          <w:rFonts w:ascii="EB Garamond" w:hAnsi="EB Garamond" w:eastAsia="EB Garamond"/>
        </w:rPr>
        <w:t>“Explain the Ørsted rights issue, what TERP means, who is diluted, why pre-emption matters, and where the bank takes execution risk.”</w:t>
      </w:r>
    </w:p>
    <w:p>
      <w:pPr>
        <w:spacing w:after="40" w:line="240" w:lineRule="auto"/>
      </w:pPr>
      <w:r>
        <w:rPr>
          <w:rFonts w:ascii="EB Garamond" w:hAnsi="EB Garamond" w:eastAsia="EB Garamond"/>
          <w:sz w:val="18"/>
        </w:rPr>
        <w:t>____________________________________________________________________________________________</w:t>
      </w:r>
    </w:p>
    <w:p>
      <w:pPr>
        <w:spacing w:after="40" w:line="240" w:lineRule="auto"/>
      </w:pPr>
      <w:r>
        <w:rPr>
          <w:rFonts w:ascii="EB Garamond" w:hAnsi="EB Garamond" w:eastAsia="EB Garamond"/>
          <w:sz w:val="18"/>
        </w:rPr>
        <w:t>____________________________________________________________________________________________</w:t>
      </w:r>
    </w:p>
    <w:p>
      <w:pPr>
        <w:spacing w:after="40" w:line="240" w:lineRule="auto"/>
      </w:pPr>
      <w:r>
        <w:rPr>
          <w:rFonts w:ascii="EB Garamond" w:hAnsi="EB Garamond" w:eastAsia="EB Garamond"/>
          <w:sz w:val="18"/>
        </w:rPr>
        <w:t>____________________________________________________________________________________________</w:t>
      </w:r>
    </w:p>
    <w:p>
      <w:pPr>
        <w:spacing w:after="40" w:line="240" w:lineRule="auto"/>
      </w:pPr>
      <w:r>
        <w:rPr>
          <w:rFonts w:ascii="EB Garamond" w:hAnsi="EB Garamond" w:eastAsia="EB Garamond"/>
          <w:sz w:val="18"/>
        </w:rPr>
        <w:t>____________________________________________________________________________________________</w:t>
      </w:r>
    </w:p>
    <w:p>
      <w:pPr>
        <w:spacing w:after="40" w:line="240" w:lineRule="auto"/>
      </w:pPr>
      <w:r>
        <w:rPr>
          <w:rFonts w:ascii="EB Garamond" w:hAnsi="EB Garamond" w:eastAsia="EB Garamond"/>
          <w:sz w:val="18"/>
        </w:rPr>
        <w:t>____________________________________________________________________________________________</w:t>
      </w:r>
    </w:p>
    <w:p>
      <w:pPr>
        <w:spacing w:after="40" w:line="240" w:lineRule="auto"/>
      </w:pPr>
      <w:r>
        <w:rPr>
          <w:rFonts w:ascii="EB Garamond" w:hAnsi="EB Garamond" w:eastAsia="EB Garamond"/>
          <w:sz w:val="18"/>
        </w:rPr>
        <w:t>____________________________________________________________________________________________</w:t>
      </w:r>
    </w:p>
    <w:p>
      <w:pPr>
        <w:spacing w:after="40" w:line="240" w:lineRule="auto"/>
      </w:pPr>
      <w:r>
        <w:rPr>
          <w:rFonts w:ascii="EB Garamond" w:hAnsi="EB Garamond" w:eastAsia="EB Garamond"/>
          <w:sz w:val="18"/>
        </w:rPr>
        <w:t>____________________________________________________________________________________________</w:t>
      </w:r>
    </w:p>
    <w:p>
      <w:pPr>
        <w:spacing w:after="40" w:line="240" w:lineRule="auto"/>
      </w:pPr>
      <w:r>
        <w:rPr>
          <w:rFonts w:ascii="EB Garamond" w:hAnsi="EB Garamond" w:eastAsia="EB Garamond"/>
          <w:sz w:val="18"/>
        </w:rPr>
        <w:t>____________________________________________________________________________________________</w:t>
      </w:r>
    </w:p>
    <w:p>
      <w:pPr>
        <w:pStyle w:val="CaseHeading1"/>
        <w:spacing w:line="276" w:lineRule="auto"/>
      </w:pPr>
      <w:r>
        <w:rPr>
          <w:rFonts w:ascii="EB Garamond" w:hAnsi="EB Garamond" w:eastAsia="EB Garamond"/>
        </w:rPr>
        <w:t>10. Review, critique and QC checklist</w:t>
      </w:r>
    </w:p>
    <w:p>
      <w:pPr>
        <w:spacing w:line="276" w:lineRule="auto"/>
      </w:pPr>
      <w:r>
        <w:rPr>
          <w:rFonts w:ascii="EB Garamond" w:hAnsi="EB Garamond" w:eastAsia="EB Garamond"/>
        </w:rPr>
        <w:t>When you paste your model outputs or screenshots, I will review the model like an Associate. I will focus on whether the mechanics are correct and whether you can explain the outputs commercially.</w:t>
      </w:r>
    </w:p>
    <w:p>
      <w:pPr>
        <w:pStyle w:val="CaseHeading2"/>
        <w:spacing w:line="276" w:lineRule="auto"/>
      </w:pPr>
      <w:r>
        <w:rPr>
          <w:rFonts w:ascii="EB Garamond" w:hAnsi="EB Garamond" w:eastAsia="EB Garamond"/>
        </w:rPr>
        <w:t>Review focus</w:t>
      </w:r>
    </w:p>
    <w:p>
      <w:pPr>
        <w:spacing w:after="40" w:line="276" w:lineRule="auto"/>
      </w:pPr>
      <w:r>
        <w:rPr>
          <w:rFonts w:ascii="EB Garamond" w:hAnsi="EB Garamond" w:eastAsia="EB Garamond"/>
          <w:sz w:val="21"/>
        </w:rPr>
        <w:t xml:space="preserve">☐  </w:t>
      </w:r>
      <w:r>
        <w:rPr>
          <w:rFonts w:ascii="EB Garamond" w:hAnsi="EB Garamond" w:eastAsia="EB Garamond"/>
          <w:sz w:val="21"/>
        </w:rPr>
        <w:t>Whether TERP is correctly calculated.</w:t>
      </w:r>
    </w:p>
    <w:p>
      <w:pPr>
        <w:spacing w:after="40" w:line="276" w:lineRule="auto"/>
      </w:pPr>
      <w:r>
        <w:rPr>
          <w:rFonts w:ascii="EB Garamond" w:hAnsi="EB Garamond" w:eastAsia="EB Garamond"/>
          <w:sz w:val="21"/>
        </w:rPr>
        <w:t xml:space="preserve">☐  </w:t>
      </w:r>
      <w:r>
        <w:rPr>
          <w:rFonts w:ascii="EB Garamond" w:hAnsi="EB Garamond" w:eastAsia="EB Garamond"/>
          <w:sz w:val="21"/>
        </w:rPr>
        <w:t>Whether dilution is correctly defined and separated for participating vs non-participating shareholders.</w:t>
      </w:r>
    </w:p>
    <w:p>
      <w:pPr>
        <w:spacing w:after="40" w:line="276" w:lineRule="auto"/>
      </w:pPr>
      <w:r>
        <w:rPr>
          <w:rFonts w:ascii="EB Garamond" w:hAnsi="EB Garamond" w:eastAsia="EB Garamond"/>
          <w:sz w:val="21"/>
        </w:rPr>
        <w:t xml:space="preserve">☐  </w:t>
      </w:r>
      <w:r>
        <w:rPr>
          <w:rFonts w:ascii="EB Garamond" w:hAnsi="EB Garamond" w:eastAsia="EB Garamond"/>
          <w:sz w:val="21"/>
        </w:rPr>
        <w:t>Whether gross proceeds and net proceeds tie to the inputs.</w:t>
      </w:r>
    </w:p>
    <w:p>
      <w:pPr>
        <w:spacing w:after="40" w:line="276" w:lineRule="auto"/>
      </w:pPr>
      <w:r>
        <w:rPr>
          <w:rFonts w:ascii="EB Garamond" w:hAnsi="EB Garamond" w:eastAsia="EB Garamond"/>
          <w:sz w:val="21"/>
        </w:rPr>
        <w:t xml:space="preserve">☐  </w:t>
      </w:r>
      <w:r>
        <w:rPr>
          <w:rFonts w:ascii="EB Garamond" w:hAnsi="EB Garamond" w:eastAsia="EB Garamond"/>
          <w:sz w:val="21"/>
        </w:rPr>
        <w:t>Whether subscription price and TERP are not confused.</w:t>
      </w:r>
    </w:p>
    <w:p>
      <w:pPr>
        <w:spacing w:after="40" w:line="276" w:lineRule="auto"/>
      </w:pPr>
      <w:r>
        <w:rPr>
          <w:rFonts w:ascii="EB Garamond" w:hAnsi="EB Garamond" w:eastAsia="EB Garamond"/>
          <w:sz w:val="21"/>
        </w:rPr>
        <w:t xml:space="preserve">☐  </w:t>
      </w:r>
      <w:r>
        <w:rPr>
          <w:rFonts w:ascii="EB Garamond" w:hAnsi="EB Garamond" w:eastAsia="EB Garamond"/>
          <w:sz w:val="21"/>
        </w:rPr>
        <w:t>Whether the price bridge and ownership chart are linked to output cells, not manually typed.</w:t>
      </w:r>
    </w:p>
    <w:p>
      <w:pPr>
        <w:spacing w:after="40" w:line="276" w:lineRule="auto"/>
      </w:pPr>
      <w:r>
        <w:rPr>
          <w:rFonts w:ascii="EB Garamond" w:hAnsi="EB Garamond" w:eastAsia="EB Garamond"/>
          <w:sz w:val="21"/>
        </w:rPr>
        <w:t xml:space="preserve">☐  </w:t>
      </w:r>
      <w:r>
        <w:rPr>
          <w:rFonts w:ascii="EB Garamond" w:hAnsi="EB Garamond" w:eastAsia="EB Garamond"/>
          <w:sz w:val="21"/>
        </w:rPr>
        <w:t>Whether the dashboard has no calculations in presentation cells.</w:t>
      </w:r>
    </w:p>
    <w:p>
      <w:pPr>
        <w:spacing w:after="40" w:line="276" w:lineRule="auto"/>
      </w:pPr>
      <w:r>
        <w:rPr>
          <w:rFonts w:ascii="EB Garamond" w:hAnsi="EB Garamond" w:eastAsia="EB Garamond"/>
          <w:sz w:val="21"/>
        </w:rPr>
        <w:t xml:space="preserve">☐  </w:t>
      </w:r>
      <w:r>
        <w:rPr>
          <w:rFonts w:ascii="EB Garamond" w:hAnsi="EB Garamond" w:eastAsia="EB Garamond"/>
          <w:sz w:val="21"/>
        </w:rPr>
        <w:t>Whether you can explain why the discount does not equal value destruction.</w:t>
      </w:r>
    </w:p>
    <w:p>
      <w:pPr>
        <w:pStyle w:val="CaseHeading2"/>
        <w:spacing w:line="276" w:lineRule="auto"/>
      </w:pPr>
      <w:r>
        <w:rPr>
          <w:rFonts w:ascii="EB Garamond" w:hAnsi="EB Garamond" w:eastAsia="EB Garamond"/>
        </w:rPr>
        <w:t>90_Checks tab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05"/>
        <w:gridCol w:w="3005"/>
        <w:gridCol w:w="3005"/>
      </w:tblGrid>
      <w:tr>
        <w:trPr>
          <w:trHeight w:hRule="atLeast" w:val="351"/>
          <w:tblHeader w:val="true"/>
        </w:trPr>
        <w:tc>
          <w:tcPr>
            <w:tcW w:type="dxa" w:w="3005"/>
            <w:vAlign w:val="center"/>
            <w:tcBorders>
              <w:top w:val="single" w:sz="8" w:space="0" w:color="000000"/>
              <w:bottom w:val="single" w:sz="4" w:space="0" w:color="000000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b/>
                <w:sz w:val="18"/>
              </w:rPr>
            </w:r>
            <w:r>
              <w:rPr>
                <w:rFonts w:ascii="EB Garamond" w:hAnsi="EB Garamond" w:eastAsia="EB Garamond"/>
                <w:b/>
                <w:sz w:val="18"/>
              </w:rPr>
              <w:t>Check</w:t>
            </w:r>
          </w:p>
        </w:tc>
        <w:tc>
          <w:tcPr>
            <w:tcW w:type="dxa" w:w="3005"/>
            <w:vAlign w:val="center"/>
            <w:tcBorders>
              <w:top w:val="single" w:sz="8" w:space="0" w:color="000000"/>
              <w:bottom w:val="single" w:sz="4" w:space="0" w:color="000000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b/>
                <w:sz w:val="18"/>
              </w:rPr>
            </w:r>
            <w:r>
              <w:rPr>
                <w:rFonts w:ascii="EB Garamond" w:hAnsi="EB Garamond" w:eastAsia="EB Garamond"/>
                <w:b/>
                <w:sz w:val="18"/>
              </w:rPr>
              <w:t>Formula logic</w:t>
            </w:r>
          </w:p>
        </w:tc>
        <w:tc>
          <w:tcPr>
            <w:tcW w:type="dxa" w:w="3005"/>
            <w:vAlign w:val="center"/>
            <w:tcBorders>
              <w:top w:val="single" w:sz="8" w:space="0" w:color="000000"/>
              <w:bottom w:val="single" w:sz="4" w:space="0" w:color="000000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b/>
                <w:sz w:val="18"/>
              </w:rPr>
            </w:r>
            <w:r>
              <w:rPr>
                <w:rFonts w:ascii="EB Garamond" w:hAnsi="EB Garamond" w:eastAsia="EB Garamond"/>
                <w:b/>
                <w:sz w:val="18"/>
              </w:rPr>
              <w:t>Pass criteria</w:t>
            </w:r>
          </w:p>
        </w:tc>
      </w:tr>
      <w:tr>
        <w:trPr>
          <w:trHeight w:hRule="atLeast" w:val="351"/>
        </w:trPr>
        <w:tc>
          <w:tcPr>
            <w:tcW w:type="dxa" w:w="300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Share count tie</w:t>
            </w:r>
          </w:p>
        </w:tc>
        <w:tc>
          <w:tcPr>
            <w:tcW w:type="dxa" w:w="300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Old shares + new shares = post shares</w:t>
            </w:r>
          </w:p>
        </w:tc>
        <w:tc>
          <w:tcPr>
            <w:tcW w:type="dxa" w:w="300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Difference = 0</w:t>
            </w:r>
          </w:p>
        </w:tc>
      </w:tr>
      <w:tr>
        <w:trPr>
          <w:trHeight w:hRule="atLeast" w:val="351"/>
        </w:trPr>
        <w:tc>
          <w:tcPr>
            <w:tcW w:type="dxa" w:w="300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Gross proceeds tie</w:t>
            </w:r>
          </w:p>
        </w:tc>
        <w:tc>
          <w:tcPr>
            <w:tcW w:type="dxa" w:w="300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New shares × subscription price = gross proceeds</w:t>
            </w:r>
          </w:p>
        </w:tc>
        <w:tc>
          <w:tcPr>
            <w:tcW w:type="dxa" w:w="300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Difference = 0 or rounding only</w:t>
            </w:r>
          </w:p>
        </w:tc>
      </w:tr>
      <w:tr>
        <w:trPr>
          <w:trHeight w:hRule="atLeast" w:val="351"/>
        </w:trPr>
        <w:tc>
          <w:tcPr>
            <w:tcW w:type="dxa" w:w="300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Net proceeds tie</w:t>
            </w:r>
          </w:p>
        </w:tc>
        <w:tc>
          <w:tcPr>
            <w:tcW w:type="dxa" w:w="300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Gross proceeds - fees = net proceeds</w:t>
            </w:r>
          </w:p>
        </w:tc>
        <w:tc>
          <w:tcPr>
            <w:tcW w:type="dxa" w:w="300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Difference = 0</w:t>
            </w:r>
          </w:p>
        </w:tc>
      </w:tr>
      <w:tr>
        <w:trPr>
          <w:trHeight w:hRule="atLeast" w:val="351"/>
        </w:trPr>
        <w:tc>
          <w:tcPr>
            <w:tcW w:type="dxa" w:w="300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TERP range check</w:t>
            </w:r>
          </w:p>
        </w:tc>
        <w:tc>
          <w:tcPr>
            <w:tcW w:type="dxa" w:w="300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TERP should sit between subscription price and pre-rights price in base case</w:t>
            </w:r>
          </w:p>
        </w:tc>
        <w:tc>
          <w:tcPr>
            <w:tcW w:type="dxa" w:w="300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TRUE</w:t>
            </w:r>
          </w:p>
        </w:tc>
      </w:tr>
      <w:tr>
        <w:trPr>
          <w:trHeight w:hRule="atLeast" w:val="351"/>
        </w:trPr>
        <w:tc>
          <w:tcPr>
            <w:tcW w:type="dxa" w:w="300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Ownership total check</w:t>
            </w:r>
          </w:p>
        </w:tc>
        <w:tc>
          <w:tcPr>
            <w:tcW w:type="dxa" w:w="300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Post-issue ownership percentages sum to 100%</w:t>
            </w:r>
          </w:p>
        </w:tc>
        <w:tc>
          <w:tcPr>
            <w:tcW w:type="dxa" w:w="300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100.0%</w:t>
            </w:r>
          </w:p>
        </w:tc>
      </w:tr>
      <w:tr>
        <w:trPr>
          <w:trHeight w:hRule="atLeast" w:val="351"/>
        </w:trPr>
        <w:tc>
          <w:tcPr>
            <w:tcW w:type="dxa" w:w="300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Scenario check</w:t>
            </w:r>
          </w:p>
        </w:tc>
        <w:tc>
          <w:tcPr>
            <w:tcW w:type="dxa" w:w="300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Base, downside and upside are all populated</w:t>
            </w:r>
          </w:p>
        </w:tc>
        <w:tc>
          <w:tcPr>
            <w:tcW w:type="dxa" w:w="300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No blanks</w:t>
            </w:r>
          </w:p>
        </w:tc>
      </w:tr>
      <w:tr>
        <w:trPr>
          <w:trHeight w:hRule="atLeast" w:val="351"/>
        </w:trPr>
        <w:tc>
          <w:tcPr>
            <w:tcW w:type="dxa" w:w="3005"/>
            <w:vAlign w:val="center"/>
            <w:tcBorders>
              <w:top w:val="nil"/>
              <w:bottom w:val="single" w:sz="8" w:space="0" w:color="000000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Dashboard link check</w:t>
            </w:r>
          </w:p>
        </w:tc>
        <w:tc>
          <w:tcPr>
            <w:tcW w:type="dxa" w:w="3005"/>
            <w:vAlign w:val="center"/>
            <w:tcBorders>
              <w:top w:val="nil"/>
              <w:bottom w:val="single" w:sz="8" w:space="0" w:color="000000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Dashboard values link to model outputs</w:t>
            </w:r>
          </w:p>
        </w:tc>
        <w:tc>
          <w:tcPr>
            <w:tcW w:type="dxa" w:w="3005"/>
            <w:vAlign w:val="center"/>
            <w:tcBorders>
              <w:top w:val="nil"/>
              <w:bottom w:val="single" w:sz="8" w:space="0" w:color="000000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No hardcoded dashboard numbers</w:t>
            </w:r>
          </w:p>
        </w:tc>
      </w:tr>
    </w:tbl>
    <w:p>
      <w:pPr>
        <w:spacing w:before="40" w:after="60" w:line="240" w:lineRule="auto"/>
      </w:pPr>
    </w:p>
    <w:p>
      <w:pPr>
        <w:pStyle w:val="CaseHeading2"/>
        <w:spacing w:line="276" w:lineRule="auto"/>
      </w:pPr>
      <w:r>
        <w:rPr>
          <w:rFonts w:ascii="EB Garamond" w:hAnsi="EB Garamond" w:eastAsia="EB Garamond"/>
        </w:rPr>
        <w:t>Pass / fail standard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05"/>
        <w:gridCol w:w="3005"/>
        <w:gridCol w:w="3005"/>
      </w:tblGrid>
      <w:tr>
        <w:trPr>
          <w:trHeight w:hRule="atLeast" w:val="351"/>
          <w:tblHeader w:val="true"/>
        </w:trPr>
        <w:tc>
          <w:tcPr>
            <w:tcW w:type="dxa" w:w="3005"/>
            <w:vAlign w:val="center"/>
            <w:tcBorders>
              <w:top w:val="single" w:sz="8" w:space="0" w:color="000000"/>
              <w:bottom w:val="single" w:sz="4" w:space="0" w:color="000000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b/>
                <w:sz w:val="18"/>
              </w:rPr>
            </w:r>
            <w:r>
              <w:rPr>
                <w:rFonts w:ascii="EB Garamond" w:hAnsi="EB Garamond" w:eastAsia="EB Garamond"/>
                <w:b/>
                <w:sz w:val="18"/>
              </w:rPr>
              <w:t>Area</w:t>
            </w:r>
          </w:p>
        </w:tc>
        <w:tc>
          <w:tcPr>
            <w:tcW w:type="dxa" w:w="3005"/>
            <w:vAlign w:val="center"/>
            <w:tcBorders>
              <w:top w:val="single" w:sz="8" w:space="0" w:color="000000"/>
              <w:bottom w:val="single" w:sz="4" w:space="0" w:color="000000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b/>
                <w:sz w:val="18"/>
              </w:rPr>
            </w:r>
            <w:r>
              <w:rPr>
                <w:rFonts w:ascii="EB Garamond" w:hAnsi="EB Garamond" w:eastAsia="EB Garamond"/>
                <w:b/>
                <w:sz w:val="18"/>
              </w:rPr>
              <w:t>Pass</w:t>
            </w:r>
          </w:p>
        </w:tc>
        <w:tc>
          <w:tcPr>
            <w:tcW w:type="dxa" w:w="3005"/>
            <w:vAlign w:val="center"/>
            <w:tcBorders>
              <w:top w:val="single" w:sz="8" w:space="0" w:color="000000"/>
              <w:bottom w:val="single" w:sz="4" w:space="0" w:color="000000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b/>
                <w:sz w:val="18"/>
              </w:rPr>
            </w:r>
            <w:r>
              <w:rPr>
                <w:rFonts w:ascii="EB Garamond" w:hAnsi="EB Garamond" w:eastAsia="EB Garamond"/>
                <w:b/>
                <w:sz w:val="18"/>
              </w:rPr>
              <w:t>Fail</w:t>
            </w:r>
          </w:p>
        </w:tc>
      </w:tr>
      <w:tr>
        <w:trPr>
          <w:trHeight w:hRule="atLeast" w:val="351"/>
        </w:trPr>
        <w:tc>
          <w:tcPr>
            <w:tcW w:type="dxa" w:w="300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TERP mechanics</w:t>
            </w:r>
          </w:p>
        </w:tc>
        <w:tc>
          <w:tcPr>
            <w:tcW w:type="dxa" w:w="300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Correct formula and interpretation</w:t>
            </w:r>
          </w:p>
        </w:tc>
        <w:tc>
          <w:tcPr>
            <w:tcW w:type="dxa" w:w="300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Confuses TERP and subscription price</w:t>
            </w:r>
          </w:p>
        </w:tc>
      </w:tr>
      <w:tr>
        <w:trPr>
          <w:trHeight w:hRule="atLeast" w:val="351"/>
        </w:trPr>
        <w:tc>
          <w:tcPr>
            <w:tcW w:type="dxa" w:w="300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Dilution</w:t>
            </w:r>
          </w:p>
        </w:tc>
        <w:tc>
          <w:tcPr>
            <w:tcW w:type="dxa" w:w="300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Separates participating and non-participating cases</w:t>
            </w:r>
          </w:p>
        </w:tc>
        <w:tc>
          <w:tcPr>
            <w:tcW w:type="dxa" w:w="300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Reports dilution without definition</w:t>
            </w:r>
          </w:p>
        </w:tc>
      </w:tr>
      <w:tr>
        <w:trPr>
          <w:trHeight w:hRule="atLeast" w:val="351"/>
        </w:trPr>
        <w:tc>
          <w:tcPr>
            <w:tcW w:type="dxa" w:w="300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Proceeds</w:t>
            </w:r>
          </w:p>
        </w:tc>
        <w:tc>
          <w:tcPr>
            <w:tcW w:type="dxa" w:w="300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Gross and net proceeds tie</w:t>
            </w:r>
          </w:p>
        </w:tc>
        <w:tc>
          <w:tcPr>
            <w:tcW w:type="dxa" w:w="300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Fees missing or proceeds do not tie</w:t>
            </w:r>
          </w:p>
        </w:tc>
      </w:tr>
      <w:tr>
        <w:trPr>
          <w:trHeight w:hRule="atLeast" w:val="351"/>
        </w:trPr>
        <w:tc>
          <w:tcPr>
            <w:tcW w:type="dxa" w:w="300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Stakeholders</w:t>
            </w:r>
          </w:p>
        </w:tc>
        <w:tc>
          <w:tcPr>
            <w:tcW w:type="dxa" w:w="300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Explains issuer, state, investors and underwriters</w:t>
            </w:r>
          </w:p>
        </w:tc>
        <w:tc>
          <w:tcPr>
            <w:tcW w:type="dxa" w:w="300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Only describes the company perspective</w:t>
            </w:r>
          </w:p>
        </w:tc>
      </w:tr>
      <w:tr>
        <w:trPr>
          <w:trHeight w:hRule="atLeast" w:val="351"/>
        </w:trPr>
        <w:tc>
          <w:tcPr>
            <w:tcW w:type="dxa" w:w="300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Visuals</w:t>
            </w:r>
          </w:p>
        </w:tc>
        <w:tc>
          <w:tcPr>
            <w:tcW w:type="dxa" w:w="300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At least two clear charts linked to outputs</w:t>
            </w:r>
          </w:p>
        </w:tc>
        <w:tc>
          <w:tcPr>
            <w:tcW w:type="dxa" w:w="300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Charts are manual or decorative</w:t>
            </w:r>
          </w:p>
        </w:tc>
      </w:tr>
      <w:tr>
        <w:trPr>
          <w:trHeight w:hRule="atLeast" w:val="351"/>
        </w:trPr>
        <w:tc>
          <w:tcPr>
            <w:tcW w:type="dxa" w:w="3005"/>
            <w:vAlign w:val="center"/>
            <w:tcBorders>
              <w:top w:val="nil"/>
              <w:bottom w:val="single" w:sz="8" w:space="0" w:color="000000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Communication</w:t>
            </w:r>
          </w:p>
        </w:tc>
        <w:tc>
          <w:tcPr>
            <w:tcW w:type="dxa" w:w="3005"/>
            <w:vAlign w:val="center"/>
            <w:tcBorders>
              <w:top w:val="nil"/>
              <w:bottom w:val="single" w:sz="8" w:space="0" w:color="000000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Clear 8-line email and 60-second explanation</w:t>
            </w:r>
          </w:p>
        </w:tc>
        <w:tc>
          <w:tcPr>
            <w:tcW w:type="dxa" w:w="3005"/>
            <w:vAlign w:val="center"/>
            <w:tcBorders>
              <w:top w:val="nil"/>
              <w:bottom w:val="single" w:sz="8" w:space="0" w:color="000000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Long, vague or purely mechanical</w:t>
            </w:r>
          </w:p>
        </w:tc>
      </w:tr>
    </w:tbl>
    <w:p>
      <w:pPr>
        <w:spacing w:before="40" w:after="60" w:line="240" w:lineRule="auto"/>
      </w:pPr>
    </w:p>
    <w:p>
      <w:pPr>
        <w:pStyle w:val="CaseHeading1"/>
        <w:spacing w:line="276" w:lineRule="auto"/>
      </w:pPr>
      <w:r>
        <w:rPr>
          <w:rFonts w:ascii="EB Garamond" w:hAnsi="EB Garamond" w:eastAsia="EB Garamond"/>
        </w:rPr>
        <w:t>11. Glossary exercise and source notes</w:t>
      </w:r>
    </w:p>
    <w:p>
      <w:pPr>
        <w:spacing w:line="276" w:lineRule="auto"/>
      </w:pPr>
      <w:r>
        <w:rPr>
          <w:rFonts w:ascii="EB Garamond" w:hAnsi="EB Garamond" w:eastAsia="EB Garamond"/>
        </w:rPr>
        <w:t>Build a glossary with at least 30 terms. Each term must include practical meaning and the common junior misunderstanding.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53"/>
        <w:gridCol w:w="2253"/>
        <w:gridCol w:w="2253"/>
        <w:gridCol w:w="2253"/>
      </w:tblGrid>
      <w:tr>
        <w:trPr>
          <w:trHeight w:hRule="atLeast" w:val="351"/>
          <w:tblHeader w:val="true"/>
        </w:trPr>
        <w:tc>
          <w:tcPr>
            <w:tcW w:type="dxa" w:w="2253"/>
            <w:vAlign w:val="center"/>
            <w:tcBorders>
              <w:top w:val="single" w:sz="8" w:space="0" w:color="000000"/>
              <w:bottom w:val="single" w:sz="4" w:space="0" w:color="000000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b/>
                <w:sz w:val="18"/>
              </w:rPr>
            </w:r>
            <w:r>
              <w:rPr>
                <w:rFonts w:ascii="EB Garamond" w:hAnsi="EB Garamond" w:eastAsia="EB Garamond"/>
                <w:b/>
                <w:sz w:val="18"/>
              </w:rPr>
              <w:t>Term</w:t>
            </w:r>
          </w:p>
        </w:tc>
        <w:tc>
          <w:tcPr>
            <w:tcW w:type="dxa" w:w="2253"/>
            <w:vAlign w:val="center"/>
            <w:tcBorders>
              <w:top w:val="single" w:sz="8" w:space="0" w:color="000000"/>
              <w:bottom w:val="single" w:sz="4" w:space="0" w:color="000000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b/>
                <w:sz w:val="18"/>
              </w:rPr>
            </w:r>
            <w:r>
              <w:rPr>
                <w:rFonts w:ascii="EB Garamond" w:hAnsi="EB Garamond" w:eastAsia="EB Garamond"/>
                <w:b/>
                <w:sz w:val="18"/>
              </w:rPr>
              <w:t>Practical meaning</w:t>
            </w:r>
          </w:p>
        </w:tc>
        <w:tc>
          <w:tcPr>
            <w:tcW w:type="dxa" w:w="2253"/>
            <w:vAlign w:val="center"/>
            <w:tcBorders>
              <w:top w:val="single" w:sz="8" w:space="0" w:color="000000"/>
              <w:bottom w:val="single" w:sz="4" w:space="0" w:color="000000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b/>
                <w:sz w:val="18"/>
              </w:rPr>
            </w:r>
            <w:r>
              <w:rPr>
                <w:rFonts w:ascii="EB Garamond" w:hAnsi="EB Garamond" w:eastAsia="EB Garamond"/>
                <w:b/>
                <w:sz w:val="18"/>
              </w:rPr>
              <w:t>Where in model</w:t>
            </w:r>
          </w:p>
        </w:tc>
        <w:tc>
          <w:tcPr>
            <w:tcW w:type="dxa" w:w="2253"/>
            <w:vAlign w:val="center"/>
            <w:tcBorders>
              <w:top w:val="single" w:sz="8" w:space="0" w:color="000000"/>
              <w:bottom w:val="single" w:sz="4" w:space="0" w:color="000000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b/>
                <w:sz w:val="18"/>
              </w:rPr>
            </w:r>
            <w:r>
              <w:rPr>
                <w:rFonts w:ascii="EB Garamond" w:hAnsi="EB Garamond" w:eastAsia="EB Garamond"/>
                <w:b/>
                <w:sz w:val="18"/>
              </w:rPr>
              <w:t>Common misunderstanding</w:t>
            </w:r>
          </w:p>
        </w:tc>
      </w:tr>
      <w:tr>
        <w:trPr>
          <w:trHeight w:hRule="atLeast" w:val="351"/>
        </w:trPr>
        <w:tc>
          <w:tcPr>
            <w:tcW w:type="dxa" w:w="2253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Rights issue</w:t>
            </w:r>
          </w:p>
        </w:tc>
        <w:tc>
          <w:tcPr>
            <w:tcW w:type="dxa" w:w="2253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</w:r>
          </w:p>
        </w:tc>
        <w:tc>
          <w:tcPr>
            <w:tcW w:type="dxa" w:w="2253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</w:r>
          </w:p>
        </w:tc>
        <w:tc>
          <w:tcPr>
            <w:tcW w:type="dxa" w:w="2253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</w:r>
          </w:p>
        </w:tc>
      </w:tr>
      <w:tr>
        <w:trPr>
          <w:trHeight w:hRule="atLeast" w:val="351"/>
        </w:trPr>
        <w:tc>
          <w:tcPr>
            <w:tcW w:type="dxa" w:w="2253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Pre-emption right</w:t>
            </w:r>
          </w:p>
        </w:tc>
        <w:tc>
          <w:tcPr>
            <w:tcW w:type="dxa" w:w="2253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</w:r>
          </w:p>
        </w:tc>
        <w:tc>
          <w:tcPr>
            <w:tcW w:type="dxa" w:w="2253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</w:r>
          </w:p>
        </w:tc>
        <w:tc>
          <w:tcPr>
            <w:tcW w:type="dxa" w:w="2253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</w:r>
          </w:p>
        </w:tc>
      </w:tr>
      <w:tr>
        <w:trPr>
          <w:trHeight w:hRule="atLeast" w:val="351"/>
        </w:trPr>
        <w:tc>
          <w:tcPr>
            <w:tcW w:type="dxa" w:w="2253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Subscription price</w:t>
            </w:r>
          </w:p>
        </w:tc>
        <w:tc>
          <w:tcPr>
            <w:tcW w:type="dxa" w:w="2253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</w:r>
          </w:p>
        </w:tc>
        <w:tc>
          <w:tcPr>
            <w:tcW w:type="dxa" w:w="2253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</w:r>
          </w:p>
        </w:tc>
        <w:tc>
          <w:tcPr>
            <w:tcW w:type="dxa" w:w="2253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</w:r>
          </w:p>
        </w:tc>
      </w:tr>
      <w:tr>
        <w:trPr>
          <w:trHeight w:hRule="atLeast" w:val="351"/>
        </w:trPr>
        <w:tc>
          <w:tcPr>
            <w:tcW w:type="dxa" w:w="2253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TERP</w:t>
            </w:r>
          </w:p>
        </w:tc>
        <w:tc>
          <w:tcPr>
            <w:tcW w:type="dxa" w:w="2253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</w:r>
          </w:p>
        </w:tc>
        <w:tc>
          <w:tcPr>
            <w:tcW w:type="dxa" w:w="2253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</w:r>
          </w:p>
        </w:tc>
        <w:tc>
          <w:tcPr>
            <w:tcW w:type="dxa" w:w="2253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</w:r>
          </w:p>
        </w:tc>
      </w:tr>
      <w:tr>
        <w:trPr>
          <w:trHeight w:hRule="atLeast" w:val="351"/>
        </w:trPr>
        <w:tc>
          <w:tcPr>
            <w:tcW w:type="dxa" w:w="2253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Theoretical value of right</w:t>
            </w:r>
          </w:p>
        </w:tc>
        <w:tc>
          <w:tcPr>
            <w:tcW w:type="dxa" w:w="2253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</w:r>
          </w:p>
        </w:tc>
        <w:tc>
          <w:tcPr>
            <w:tcW w:type="dxa" w:w="2253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</w:r>
          </w:p>
        </w:tc>
        <w:tc>
          <w:tcPr>
            <w:tcW w:type="dxa" w:w="2253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</w:r>
          </w:p>
        </w:tc>
      </w:tr>
      <w:tr>
        <w:trPr>
          <w:trHeight w:hRule="atLeast" w:val="351"/>
        </w:trPr>
        <w:tc>
          <w:tcPr>
            <w:tcW w:type="dxa" w:w="2253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Take-up rate</w:t>
            </w:r>
          </w:p>
        </w:tc>
        <w:tc>
          <w:tcPr>
            <w:tcW w:type="dxa" w:w="2253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</w:r>
          </w:p>
        </w:tc>
        <w:tc>
          <w:tcPr>
            <w:tcW w:type="dxa" w:w="2253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</w:r>
          </w:p>
        </w:tc>
        <w:tc>
          <w:tcPr>
            <w:tcW w:type="dxa" w:w="2253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</w:r>
          </w:p>
        </w:tc>
      </w:tr>
      <w:tr>
        <w:trPr>
          <w:trHeight w:hRule="atLeast" w:val="351"/>
        </w:trPr>
        <w:tc>
          <w:tcPr>
            <w:tcW w:type="dxa" w:w="2253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Rump shares</w:t>
            </w:r>
          </w:p>
        </w:tc>
        <w:tc>
          <w:tcPr>
            <w:tcW w:type="dxa" w:w="2253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</w:r>
          </w:p>
        </w:tc>
        <w:tc>
          <w:tcPr>
            <w:tcW w:type="dxa" w:w="2253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</w:r>
          </w:p>
        </w:tc>
        <w:tc>
          <w:tcPr>
            <w:tcW w:type="dxa" w:w="2253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</w:r>
          </w:p>
        </w:tc>
      </w:tr>
      <w:tr>
        <w:trPr>
          <w:trHeight w:hRule="atLeast" w:val="351"/>
        </w:trPr>
        <w:tc>
          <w:tcPr>
            <w:tcW w:type="dxa" w:w="2253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Underwriting</w:t>
            </w:r>
          </w:p>
        </w:tc>
        <w:tc>
          <w:tcPr>
            <w:tcW w:type="dxa" w:w="2253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</w:r>
          </w:p>
        </w:tc>
        <w:tc>
          <w:tcPr>
            <w:tcW w:type="dxa" w:w="2253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</w:r>
          </w:p>
        </w:tc>
        <w:tc>
          <w:tcPr>
            <w:tcW w:type="dxa" w:w="2253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</w:r>
          </w:p>
        </w:tc>
      </w:tr>
      <w:tr>
        <w:trPr>
          <w:trHeight w:hRule="atLeast" w:val="351"/>
        </w:trPr>
        <w:tc>
          <w:tcPr>
            <w:tcW w:type="dxa" w:w="2253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Backstop</w:t>
            </w:r>
          </w:p>
        </w:tc>
        <w:tc>
          <w:tcPr>
            <w:tcW w:type="dxa" w:w="2253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</w:r>
          </w:p>
        </w:tc>
        <w:tc>
          <w:tcPr>
            <w:tcW w:type="dxa" w:w="2253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</w:r>
          </w:p>
        </w:tc>
        <w:tc>
          <w:tcPr>
            <w:tcW w:type="dxa" w:w="2253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</w:r>
          </w:p>
        </w:tc>
      </w:tr>
      <w:tr>
        <w:trPr>
          <w:trHeight w:hRule="atLeast" w:val="351"/>
        </w:trPr>
        <w:tc>
          <w:tcPr>
            <w:tcW w:type="dxa" w:w="2253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Gross proceeds</w:t>
            </w:r>
          </w:p>
        </w:tc>
        <w:tc>
          <w:tcPr>
            <w:tcW w:type="dxa" w:w="2253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</w:r>
          </w:p>
        </w:tc>
        <w:tc>
          <w:tcPr>
            <w:tcW w:type="dxa" w:w="2253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</w:r>
          </w:p>
        </w:tc>
        <w:tc>
          <w:tcPr>
            <w:tcW w:type="dxa" w:w="2253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</w:r>
          </w:p>
        </w:tc>
      </w:tr>
      <w:tr>
        <w:trPr>
          <w:trHeight w:hRule="atLeast" w:val="351"/>
        </w:trPr>
        <w:tc>
          <w:tcPr>
            <w:tcW w:type="dxa" w:w="2253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Net proceeds</w:t>
            </w:r>
          </w:p>
        </w:tc>
        <w:tc>
          <w:tcPr>
            <w:tcW w:type="dxa" w:w="2253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</w:r>
          </w:p>
        </w:tc>
        <w:tc>
          <w:tcPr>
            <w:tcW w:type="dxa" w:w="2253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</w:r>
          </w:p>
        </w:tc>
        <w:tc>
          <w:tcPr>
            <w:tcW w:type="dxa" w:w="2253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</w:r>
          </w:p>
        </w:tc>
      </w:tr>
      <w:tr>
        <w:trPr>
          <w:trHeight w:hRule="atLeast" w:val="351"/>
        </w:trPr>
        <w:tc>
          <w:tcPr>
            <w:tcW w:type="dxa" w:w="2253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Dilution</w:t>
            </w:r>
          </w:p>
        </w:tc>
        <w:tc>
          <w:tcPr>
            <w:tcW w:type="dxa" w:w="2253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</w:r>
          </w:p>
        </w:tc>
        <w:tc>
          <w:tcPr>
            <w:tcW w:type="dxa" w:w="2253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</w:r>
          </w:p>
        </w:tc>
        <w:tc>
          <w:tcPr>
            <w:tcW w:type="dxa" w:w="2253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</w:r>
          </w:p>
        </w:tc>
      </w:tr>
      <w:tr>
        <w:trPr>
          <w:trHeight w:hRule="atLeast" w:val="351"/>
        </w:trPr>
        <w:tc>
          <w:tcPr>
            <w:tcW w:type="dxa" w:w="2253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Non-participating shareholder</w:t>
            </w:r>
          </w:p>
        </w:tc>
        <w:tc>
          <w:tcPr>
            <w:tcW w:type="dxa" w:w="2253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</w:r>
          </w:p>
        </w:tc>
        <w:tc>
          <w:tcPr>
            <w:tcW w:type="dxa" w:w="2253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</w:r>
          </w:p>
        </w:tc>
        <w:tc>
          <w:tcPr>
            <w:tcW w:type="dxa" w:w="2253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</w:r>
          </w:p>
        </w:tc>
      </w:tr>
      <w:tr>
        <w:trPr>
          <w:trHeight w:hRule="atLeast" w:val="351"/>
        </w:trPr>
        <w:tc>
          <w:tcPr>
            <w:tcW w:type="dxa" w:w="2253"/>
            <w:vAlign w:val="center"/>
            <w:tcBorders>
              <w:top w:val="nil"/>
              <w:bottom w:val="single" w:sz="8" w:space="0" w:color="000000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Subscription ratio</w:t>
            </w:r>
          </w:p>
        </w:tc>
        <w:tc>
          <w:tcPr>
            <w:tcW w:type="dxa" w:w="2253"/>
            <w:vAlign w:val="center"/>
            <w:tcBorders>
              <w:top w:val="nil"/>
              <w:bottom w:val="single" w:sz="8" w:space="0" w:color="000000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</w:r>
          </w:p>
        </w:tc>
        <w:tc>
          <w:tcPr>
            <w:tcW w:type="dxa" w:w="2253"/>
            <w:vAlign w:val="center"/>
            <w:tcBorders>
              <w:top w:val="nil"/>
              <w:bottom w:val="single" w:sz="8" w:space="0" w:color="000000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</w:r>
          </w:p>
        </w:tc>
        <w:tc>
          <w:tcPr>
            <w:tcW w:type="dxa" w:w="2253"/>
            <w:vAlign w:val="center"/>
            <w:tcBorders>
              <w:top w:val="nil"/>
              <w:bottom w:val="single" w:sz="8" w:space="0" w:color="000000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</w:r>
          </w:p>
        </w:tc>
      </w:tr>
    </w:tbl>
    <w:p>
      <w:pPr>
        <w:spacing w:before="40" w:after="60" w:line="240" w:lineRule="auto"/>
      </w:pPr>
    </w:p>
    <w:p>
      <w:pPr>
        <w:pStyle w:val="CaseHeading2"/>
        <w:spacing w:line="276" w:lineRule="auto"/>
      </w:pPr>
      <w:r>
        <w:rPr>
          <w:rFonts w:ascii="EB Garamond" w:hAnsi="EB Garamond" w:eastAsia="EB Garamond"/>
        </w:rPr>
        <w:t>Selected source notes</w:t>
      </w:r>
    </w:p>
    <w:p>
      <w:pPr>
        <w:pStyle w:val="SmallAcademic"/>
        <w:spacing w:line="276" w:lineRule="auto"/>
      </w:pPr>
      <w:r>
        <w:rPr>
          <w:rFonts w:ascii="EB Garamond" w:hAnsi="EB Garamond" w:eastAsia="EB Garamond"/>
        </w:rPr>
        <w:t>Use these as reference points only. In a live deal output, always verify terms directly against the prospectus, company announcement and exchange announcements.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07"/>
        <w:gridCol w:w="4507"/>
      </w:tblGrid>
      <w:tr>
        <w:trPr>
          <w:trHeight w:hRule="atLeast" w:val="351"/>
          <w:tblHeader w:val="true"/>
        </w:trPr>
        <w:tc>
          <w:tcPr>
            <w:tcW w:type="dxa" w:w="4507"/>
            <w:vAlign w:val="center"/>
            <w:tcBorders>
              <w:top w:val="single" w:sz="8" w:space="0" w:color="000000"/>
              <w:bottom w:val="single" w:sz="4" w:space="0" w:color="000000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b/>
                <w:sz w:val="18"/>
              </w:rPr>
            </w:r>
            <w:r>
              <w:rPr>
                <w:rFonts w:ascii="EB Garamond" w:hAnsi="EB Garamond" w:eastAsia="EB Garamond"/>
                <w:b/>
                <w:sz w:val="18"/>
              </w:rPr>
              <w:t>Topic</w:t>
            </w:r>
          </w:p>
        </w:tc>
        <w:tc>
          <w:tcPr>
            <w:tcW w:type="dxa" w:w="4507"/>
            <w:vAlign w:val="center"/>
            <w:tcBorders>
              <w:top w:val="single" w:sz="8" w:space="0" w:color="000000"/>
              <w:bottom w:val="single" w:sz="4" w:space="0" w:color="000000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b/>
                <w:sz w:val="18"/>
              </w:rPr>
            </w:r>
            <w:r>
              <w:rPr>
                <w:rFonts w:ascii="EB Garamond" w:hAnsi="EB Garamond" w:eastAsia="EB Garamond"/>
                <w:b/>
                <w:sz w:val="18"/>
              </w:rPr>
              <w:t>Reference point</w:t>
            </w:r>
          </w:p>
        </w:tc>
      </w:tr>
      <w:tr>
        <w:trPr>
          <w:trHeight w:hRule="atLeast" w:val="351"/>
        </w:trPr>
        <w:tc>
          <w:tcPr>
            <w:tcW w:type="dxa" w:w="4507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Offering size</w:t>
            </w:r>
          </w:p>
        </w:tc>
        <w:tc>
          <w:tcPr>
            <w:tcW w:type="dxa" w:w="4507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Ørsted announced 900,816,600 new shares with pre-emptive rights for existing shareholders.</w:t>
            </w:r>
          </w:p>
        </w:tc>
      </w:tr>
      <w:tr>
        <w:trPr>
          <w:trHeight w:hRule="atLeast" w:val="351"/>
        </w:trPr>
        <w:tc>
          <w:tcPr>
            <w:tcW w:type="dxa" w:w="4507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Subscription price</w:t>
            </w:r>
          </w:p>
        </w:tc>
        <w:tc>
          <w:tcPr>
            <w:tcW w:type="dxa" w:w="4507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The subscription price was DKK 66.60 per new share.</w:t>
            </w:r>
          </w:p>
        </w:tc>
      </w:tr>
      <w:tr>
        <w:trPr>
          <w:trHeight w:hRule="atLeast" w:val="351"/>
        </w:trPr>
        <w:tc>
          <w:tcPr>
            <w:tcW w:type="dxa" w:w="4507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Gross proceeds</w:t>
            </w:r>
          </w:p>
        </w:tc>
        <w:tc>
          <w:tcPr>
            <w:tcW w:type="dxa" w:w="4507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Expected gross proceeds were approximately DKK 60 billion.</w:t>
            </w:r>
          </w:p>
        </w:tc>
      </w:tr>
      <w:tr>
        <w:trPr>
          <w:trHeight w:hRule="atLeast" w:val="351"/>
        </w:trPr>
        <w:tc>
          <w:tcPr>
            <w:tcW w:type="dxa" w:w="4507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Subscription ratio</w:t>
            </w:r>
          </w:p>
        </w:tc>
        <w:tc>
          <w:tcPr>
            <w:tcW w:type="dxa" w:w="4507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Each existing share received 15 pre-emptive rights, and 7 rights entitled the holder to subscribe for 1 new share.</w:t>
            </w:r>
          </w:p>
        </w:tc>
      </w:tr>
      <w:tr>
        <w:trPr>
          <w:trHeight w:hRule="atLeast" w:val="351"/>
        </w:trPr>
        <w:tc>
          <w:tcPr>
            <w:tcW w:type="dxa" w:w="4507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Underwriting</w:t>
            </w:r>
          </w:p>
        </w:tc>
        <w:tc>
          <w:tcPr>
            <w:tcW w:type="dxa" w:w="4507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The offering was described as fully underwritten, including a Danish State subscription commitment and an underwriting syndicate.</w:t>
            </w:r>
          </w:p>
        </w:tc>
      </w:tr>
      <w:tr>
        <w:trPr>
          <w:trHeight w:hRule="atLeast" w:val="351"/>
        </w:trPr>
        <w:tc>
          <w:tcPr>
            <w:tcW w:type="dxa" w:w="4507"/>
            <w:vAlign w:val="center"/>
            <w:tcBorders>
              <w:top w:val="nil"/>
              <w:bottom w:val="single" w:sz="8" w:space="0" w:color="000000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Completion</w:t>
            </w:r>
          </w:p>
        </w:tc>
        <w:tc>
          <w:tcPr>
            <w:tcW w:type="dxa" w:w="4507"/>
            <w:vAlign w:val="center"/>
            <w:tcBorders>
              <w:top w:val="nil"/>
              <w:bottom w:val="single" w:sz="8" w:space="0" w:color="000000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The rights issue was completed in October 2025.</w:t>
            </w:r>
          </w:p>
        </w:tc>
      </w:tr>
    </w:tbl>
    <w:p>
      <w:pPr>
        <w:spacing w:before="40" w:after="60" w:line="240" w:lineRule="auto"/>
      </w:pPr>
    </w:p>
    <w:p>
      <w:pPr>
        <w:pStyle w:val="CaseHeading1"/>
        <w:spacing w:line="276" w:lineRule="auto"/>
      </w:pPr>
      <w:r>
        <w:rPr>
          <w:rFonts w:ascii="EB Garamond" w:hAnsi="EB Garamond" w:eastAsia="EB Garamond"/>
        </w:rPr>
        <w:t>12. Level-up: underwriting, rump shares and take-up scenarios</w:t>
      </w:r>
    </w:p>
    <w:p>
      <w:pPr>
        <w:spacing w:line="276" w:lineRule="auto"/>
      </w:pPr>
      <w:r>
        <w:rPr>
          <w:rFonts w:ascii="EB Garamond" w:hAnsi="EB Garamond" w:eastAsia="EB Garamond"/>
        </w:rPr>
        <w:t>When you complete v01, the next difficulty is to add the execution layer. This is where the case becomes more like a live ECM workstream.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05"/>
        <w:gridCol w:w="3005"/>
        <w:gridCol w:w="3005"/>
      </w:tblGrid>
      <w:tr>
        <w:trPr>
          <w:trHeight w:hRule="atLeast" w:val="351"/>
          <w:tblHeader w:val="true"/>
        </w:trPr>
        <w:tc>
          <w:tcPr>
            <w:tcW w:type="dxa" w:w="3005"/>
            <w:vAlign w:val="center"/>
            <w:tcBorders>
              <w:top w:val="single" w:sz="8" w:space="0" w:color="000000"/>
              <w:bottom w:val="single" w:sz="4" w:space="0" w:color="000000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b/>
                <w:sz w:val="18"/>
              </w:rPr>
            </w:r>
            <w:r>
              <w:rPr>
                <w:rFonts w:ascii="EB Garamond" w:hAnsi="EB Garamond" w:eastAsia="EB Garamond"/>
                <w:b/>
                <w:sz w:val="18"/>
              </w:rPr>
              <w:t>New module</w:t>
            </w:r>
          </w:p>
        </w:tc>
        <w:tc>
          <w:tcPr>
            <w:tcW w:type="dxa" w:w="3005"/>
            <w:vAlign w:val="center"/>
            <w:tcBorders>
              <w:top w:val="single" w:sz="8" w:space="0" w:color="000000"/>
              <w:bottom w:val="single" w:sz="4" w:space="0" w:color="000000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b/>
                <w:sz w:val="18"/>
              </w:rPr>
            </w:r>
            <w:r>
              <w:rPr>
                <w:rFonts w:ascii="EB Garamond" w:hAnsi="EB Garamond" w:eastAsia="EB Garamond"/>
                <w:b/>
                <w:sz w:val="18"/>
              </w:rPr>
              <w:t>What to add</w:t>
            </w:r>
          </w:p>
        </w:tc>
        <w:tc>
          <w:tcPr>
            <w:tcW w:type="dxa" w:w="3005"/>
            <w:vAlign w:val="center"/>
            <w:tcBorders>
              <w:top w:val="single" w:sz="8" w:space="0" w:color="000000"/>
              <w:bottom w:val="single" w:sz="4" w:space="0" w:color="000000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b/>
                <w:sz w:val="18"/>
              </w:rPr>
            </w:r>
            <w:r>
              <w:rPr>
                <w:rFonts w:ascii="EB Garamond" w:hAnsi="EB Garamond" w:eastAsia="EB Garamond"/>
                <w:b/>
                <w:sz w:val="18"/>
              </w:rPr>
              <w:t>Why it matters</w:t>
            </w:r>
          </w:p>
        </w:tc>
      </w:tr>
      <w:tr>
        <w:trPr>
          <w:trHeight w:hRule="atLeast" w:val="351"/>
        </w:trPr>
        <w:tc>
          <w:tcPr>
            <w:tcW w:type="dxa" w:w="300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Take-up scenarios</w:t>
            </w:r>
          </w:p>
        </w:tc>
        <w:tc>
          <w:tcPr>
            <w:tcW w:type="dxa" w:w="300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Assume 70%, 85%, 95% and 100% take-up by existing shareholders</w:t>
            </w:r>
          </w:p>
        </w:tc>
        <w:tc>
          <w:tcPr>
            <w:tcW w:type="dxa" w:w="300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Shows reliance on underwriters and residual demand</w:t>
            </w:r>
          </w:p>
        </w:tc>
      </w:tr>
      <w:tr>
        <w:trPr>
          <w:trHeight w:hRule="atLeast" w:val="351"/>
        </w:trPr>
        <w:tc>
          <w:tcPr>
            <w:tcW w:type="dxa" w:w="300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Rump shares</w:t>
            </w:r>
          </w:p>
        </w:tc>
        <w:tc>
          <w:tcPr>
            <w:tcW w:type="dxa" w:w="300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Calculate shares not taken up by rights holders</w:t>
            </w:r>
          </w:p>
        </w:tc>
        <w:tc>
          <w:tcPr>
            <w:tcW w:type="dxa" w:w="300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Shows what must be placed or underwritten</w:t>
            </w:r>
          </w:p>
        </w:tc>
      </w:tr>
      <w:tr>
        <w:trPr>
          <w:trHeight w:hRule="atLeast" w:val="351"/>
        </w:trPr>
        <w:tc>
          <w:tcPr>
            <w:tcW w:type="dxa" w:w="300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Underwriting exposure</w:t>
            </w:r>
          </w:p>
        </w:tc>
        <w:tc>
          <w:tcPr>
            <w:tcW w:type="dxa" w:w="300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Allocate residual shares across state commitment and bank syndicate assumptions</w:t>
            </w:r>
          </w:p>
        </w:tc>
        <w:tc>
          <w:tcPr>
            <w:tcW w:type="dxa" w:w="300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Shows where execution risk sits</w:t>
            </w:r>
          </w:p>
        </w:tc>
      </w:tr>
      <w:tr>
        <w:trPr>
          <w:trHeight w:hRule="atLeast" w:val="351"/>
        </w:trPr>
        <w:tc>
          <w:tcPr>
            <w:tcW w:type="dxa" w:w="300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Backstop economics</w:t>
            </w:r>
          </w:p>
        </w:tc>
        <w:tc>
          <w:tcPr>
            <w:tcW w:type="dxa" w:w="300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Estimate fee income and risk exposure for underwriting banks</w:t>
            </w:r>
          </w:p>
        </w:tc>
        <w:tc>
          <w:tcPr>
            <w:tcW w:type="dxa" w:w="300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Links bank economics to risk</w:t>
            </w:r>
          </w:p>
        </w:tc>
      </w:tr>
      <w:tr>
        <w:trPr>
          <w:trHeight w:hRule="atLeast" w:val="351"/>
        </w:trPr>
        <w:tc>
          <w:tcPr>
            <w:tcW w:type="dxa" w:w="3005"/>
            <w:vAlign w:val="center"/>
            <w:tcBorders>
              <w:top w:val="nil"/>
              <w:bottom w:val="single" w:sz="8" w:space="0" w:color="000000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Market reaction note</w:t>
            </w:r>
          </w:p>
        </w:tc>
        <w:tc>
          <w:tcPr>
            <w:tcW w:type="dxa" w:w="3005"/>
            <w:vAlign w:val="center"/>
            <w:tcBorders>
              <w:top w:val="nil"/>
              <w:bottom w:val="single" w:sz="8" w:space="0" w:color="000000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Write a short note on why the share price may adjust around ex-rights date</w:t>
            </w:r>
          </w:p>
        </w:tc>
        <w:tc>
          <w:tcPr>
            <w:tcW w:type="dxa" w:w="3005"/>
            <w:vAlign w:val="center"/>
            <w:tcBorders>
              <w:top w:val="nil"/>
              <w:bottom w:val="single" w:sz="8" w:space="0" w:color="000000"/>
              <w:left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EB Garamond" w:hAnsi="EB Garamond" w:eastAsia="EB Garamond"/>
                <w:sz w:val="18"/>
              </w:rPr>
            </w:r>
            <w:r>
              <w:rPr>
                <w:rFonts w:ascii="EB Garamond" w:hAnsi="EB Garamond" w:eastAsia="EB Garamond"/>
                <w:sz w:val="18"/>
              </w:rPr>
              <w:t>Connects technical mechanics to market pricing</w:t>
            </w:r>
          </w:p>
        </w:tc>
      </w:tr>
    </w:tbl>
    <w:p>
      <w:pPr>
        <w:spacing w:before="40" w:after="60" w:line="240" w:lineRule="auto"/>
      </w:pPr>
    </w:p>
    <w:p>
      <w:pPr>
        <w:pStyle w:val="CaseHeading2"/>
        <w:spacing w:line="276" w:lineRule="auto"/>
      </w:pPr>
      <w:r>
        <w:rPr>
          <w:rFonts w:ascii="EB Garamond" w:hAnsi="EB Garamond" w:eastAsia="EB Garamond"/>
        </w:rPr>
        <w:t>Final instruction</w:t>
      </w:r>
    </w:p>
    <w:p>
      <w:pPr>
        <w:pStyle w:val="InstructionQuote"/>
        <w:spacing w:line="276" w:lineRule="auto"/>
      </w:pPr>
      <w:r>
        <w:rPr>
          <w:rFonts w:ascii="EB Garamond" w:hAnsi="EB Garamond" w:eastAsia="EB Garamond"/>
        </w:rPr>
        <w:t>Save the workbook as 2026-05-XX_Orsted_ECM_RightsIssueModel_v01_JK.xlsx. Export the dashboard as PDF, write the 8-line Associate email, and be ready to explain the case orally in 60 seconds.</w:t>
      </w:r>
    </w:p>
    <w:p>
      <w:pPr>
        <w:spacing w:after="0" w:line="276" w:lineRule="auto"/>
        <w:jc w:val="center"/>
      </w:pPr>
      <w:r>
        <w:rPr>
          <w:rFonts w:ascii="EB Garamond" w:hAnsi="EB Garamond" w:eastAsia="EB Garamond"/>
          <w:i/>
        </w:rPr>
        <w:t>End of case set.</w:t>
      </w:r>
    </w:p>
    <w:sectPr>
      <w:headerReference w:type="default" r:id="rId9"/>
      <w:footerReference w:type="default" r:id="rId10"/>
      <w:pgSz w:w="11906" w:h="16838"/>
      <w:pgMar w:top="1389" w:right="1446" w:bottom="1276" w:left="144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EB Garamond" w:hAnsi="EB Garamond" w:eastAsia="EB Garamond"/>
        <w:sz w:val="18"/>
      </w:rPr>
      <w:t xml:space="preserve">Side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EB Garamond" w:hAnsi="EB Garamond" w:eastAsia="EB Garamond"/>
        <w:sz w:val="18"/>
      </w:rPr>
      <w:t>Case 1: Ørsted Rights Issue 2025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EB Garamond" w:hAnsi="EB Garamond" w:eastAsia="EB 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EB Garamond" w:hAnsi="EB Garamond" w:eastAsia="EB Garamond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EB Garamond" w:hAnsi="EB Garamond" w:eastAsia="EB Garamond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seTitle">
    <w:name w:val="Case Title"/>
    <w:basedOn w:val="Normal"/>
    <w:pPr>
      <w:spacing w:after="160" w:line="252" w:lineRule="auto"/>
    </w:pPr>
    <w:rPr>
      <w:rFonts w:ascii="EB Garamond" w:hAnsi="EB Garamond" w:eastAsia="EB Garamond"/>
      <w:b/>
      <w:sz w:val="38"/>
    </w:rPr>
  </w:style>
  <w:style w:type="paragraph" w:customStyle="1" w:styleId="CaseSubtitle">
    <w:name w:val="Case Subtitle"/>
    <w:basedOn w:val="Normal"/>
    <w:pPr>
      <w:spacing w:after="280"/>
    </w:pPr>
    <w:rPr>
      <w:rFonts w:ascii="EB Garamond" w:hAnsi="EB Garamond" w:eastAsia="EB Garamond"/>
      <w:i/>
      <w:sz w:val="24"/>
    </w:rPr>
  </w:style>
  <w:style w:type="paragraph" w:customStyle="1" w:styleId="CaseHeading1">
    <w:name w:val="Case Heading 1"/>
    <w:basedOn w:val="Normal"/>
    <w:pPr>
      <w:keepNext/>
      <w:spacing w:before="320" w:after="120"/>
    </w:pPr>
    <w:rPr>
      <w:rFonts w:ascii="EB Garamond" w:hAnsi="EB Garamond" w:eastAsia="EB Garamond"/>
      <w:b/>
      <w:sz w:val="28"/>
    </w:rPr>
  </w:style>
  <w:style w:type="paragraph" w:customStyle="1" w:styleId="CaseHeading2">
    <w:name w:val="Case Heading 2"/>
    <w:basedOn w:val="Normal"/>
    <w:pPr>
      <w:keepNext/>
      <w:spacing w:before="200" w:after="80"/>
    </w:pPr>
    <w:rPr>
      <w:rFonts w:ascii="EB Garamond" w:hAnsi="EB Garamond" w:eastAsia="EB Garamond"/>
      <w:b/>
      <w:i/>
      <w:sz w:val="24"/>
    </w:rPr>
  </w:style>
  <w:style w:type="paragraph" w:customStyle="1" w:styleId="CaseHeading3">
    <w:name w:val="Case Heading 3"/>
    <w:basedOn w:val="Normal"/>
    <w:pPr>
      <w:keepNext/>
      <w:spacing w:before="160" w:after="40"/>
    </w:pPr>
    <w:rPr>
      <w:rFonts w:ascii="EB Garamond" w:hAnsi="EB Garamond" w:eastAsia="EB Garamond"/>
      <w:b/>
      <w:sz w:val="22"/>
    </w:rPr>
  </w:style>
  <w:style w:type="paragraph" w:customStyle="1" w:styleId="SmallAcademic">
    <w:name w:val="Small Academic"/>
    <w:basedOn w:val="Normal"/>
    <w:pPr>
      <w:spacing w:line="252" w:lineRule="auto" w:after="80"/>
    </w:pPr>
    <w:rPr>
      <w:rFonts w:ascii="EB Garamond" w:hAnsi="EB Garamond" w:eastAsia="EB Garamond"/>
      <w:sz w:val="18"/>
    </w:rPr>
  </w:style>
  <w:style w:type="paragraph" w:customStyle="1" w:styleId="InstructionQuote">
    <w:name w:val="Instruction Quote"/>
    <w:basedOn w:val="Normal"/>
    <w:pPr>
      <w:spacing w:before="80" w:after="160"/>
      <w:ind w:left="227" w:right="227"/>
    </w:pPr>
    <w:rPr>
      <w:rFonts w:ascii="EB Garamond" w:hAnsi="EB Garamond" w:eastAsia="EB Garamond"/>
      <w:i/>
      <w:sz w:val="21"/>
    </w:rPr>
  </w:style>
  <w:style w:type="paragraph" w:customStyle="1" w:styleId="EquationCentered">
    <w:name w:val="Equation Centered"/>
    <w:basedOn w:val="Normal"/>
    <w:pPr>
      <w:spacing w:before="60" w:after="160"/>
      <w:jc w:val="center"/>
    </w:pPr>
    <w:rPr>
      <w:rFonts w:ascii="EB Garamond" w:hAnsi="EB Garamond" w:eastAsia="EB Garamond"/>
      <w:sz w:val="23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