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rPr>
          <w:rFonts w:ascii="EB Garamond" w:hAnsi="EB Garamond"/>
        </w:rPr>
        <w:t>Analyst IB Prep · M&amp;A / ECM</w:t>
      </w:r>
    </w:p>
    <w:p>
      <w:pPr>
        <w:spacing w:before="1800"/>
        <w:jc w:val="center"/>
      </w:pPr>
      <w:r>
        <w:rPr>
          <w:rFonts w:ascii="EB Garamond" w:hAnsi="EB Garamond" w:eastAsia="EB Garamond"/>
          <w:b/>
          <w:sz w:val="36"/>
        </w:rPr>
        <w:t>Case 2</w:t>
      </w:r>
    </w:p>
    <w:p>
      <w:pPr>
        <w:jc w:val="center"/>
      </w:pPr>
      <w:r>
        <w:rPr>
          <w:rFonts w:ascii="EB Garamond" w:hAnsi="EB Garamond" w:eastAsia="EB Garamond"/>
          <w:b/>
          <w:sz w:val="48"/>
        </w:rPr>
        <w:t>DSV Accelerated Bookbuilding 2024</w:t>
      </w:r>
    </w:p>
    <w:p>
      <w:pPr>
        <w:jc w:val="center"/>
      </w:pPr>
      <w:r>
        <w:rPr>
          <w:rFonts w:ascii="EB Garamond" w:hAnsi="EB Garamond" w:eastAsia="EB Garamond"/>
          <w:i/>
          <w:sz w:val="24"/>
        </w:rPr>
        <w:t>Directed issue, private placement, market clearing, dilution and acquisition financing</w:t>
      </w:r>
    </w:p>
    <w:p>
      <w:pPr>
        <w:spacing w:before="600"/>
        <w:jc w:val="center"/>
      </w:pPr>
      <w:r>
        <w:rPr>
          <w:rFonts w:ascii="EB Garamond" w:hAnsi="EB Garamond" w:eastAsia="EB Garamond"/>
          <w:sz w:val="24"/>
        </w:rPr>
        <w:t>Opgavesæt til praktisk og konceptuel træning</w:t>
      </w:r>
    </w:p>
    <w:p>
      <w:pPr>
        <w:jc w:val="center"/>
      </w:pPr>
      <w:r>
        <w:rPr>
          <w:rFonts w:ascii="EB Garamond" w:hAnsi="EB Garamond" w:eastAsia="EB Garamond"/>
          <w:i/>
          <w:sz w:val="20"/>
        </w:rPr>
        <w:t>Current level: Level 1.5 · Foundation to Deal-ready</w:t>
      </w:r>
    </w:p>
    <w:p>
      <w:r>
        <w:br w:type="page"/>
      </w:r>
    </w:p>
    <w:p>
      <w:pPr>
        <w:pStyle w:val="Heading1"/>
      </w:pPr>
      <w:r>
        <w:rPr>
          <w:rFonts w:ascii="EB Garamond" w:hAnsi="EB Garamond" w:eastAsia="EB Garamond"/>
        </w:rPr>
        <w:t>1. Associate-style task brief</w:t>
      </w:r>
    </w:p>
    <w:p>
      <w:r>
        <w:rPr>
          <w:rFonts w:ascii="EB Garamond" w:hAnsi="EB Garamond" w:eastAsia="EB Garamond"/>
          <w:b w:val="0"/>
          <w:i w:val="0"/>
        </w:rPr>
        <w:t>Build a simplified ABB model for DSV’s equity raise. I want to understand proceeds, new shares, dilution, discount, cornerstone demand, allocation logic and how the raise helps finance the Schenker acquisition.</w:t>
      </w:r>
    </w:p>
    <w:p>
      <w:pPr>
        <w:pStyle w:val="Instruction"/>
      </w:pPr>
      <w:r>
        <w:rPr>
          <w:rFonts w:ascii="EB Garamond" w:hAnsi="EB Garamond" w:eastAsia="EB Garamond"/>
          <w:b w:val="0"/>
          <w:i w:val="0"/>
        </w:rPr>
        <w:t>Deadline: 2.5 to 3.0 hours. Output: Excel workbook, two charts, a 90_Checks tab and an 8-line Associate email.</w:t>
      </w:r>
    </w:p>
    <w:p>
      <w:pPr>
        <w:pStyle w:val="Heading1"/>
      </w:pPr>
      <w:r>
        <w:rPr>
          <w:rFonts w:ascii="EB Garamond" w:hAnsi="EB Garamond" w:eastAsia="EB Garamond"/>
        </w:rPr>
        <w:t>2. Case background and data pack</w:t>
      </w:r>
    </w:p>
    <w:p>
      <w:r>
        <w:rPr>
          <w:rFonts w:ascii="EB Garamond" w:hAnsi="EB Garamond" w:eastAsia="EB Garamond"/>
          <w:b w:val="0"/>
          <w:i w:val="0"/>
        </w:rPr>
        <w:t>DSV launched an underwritten directed issue and private placement through an accelerated bookbuilding process in October 2024. The stated purpose was to raise equity to partially finance the expected acquisition of Schenker and support the company’s financing profile. The offering was made to institutional investors in Denmark and internationally, at market price and without pre-emption rights for existing shareholders.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9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Item</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Case fact</w:t>
            </w:r>
          </w:p>
        </w:tc>
        <w:tc>
          <w:tcPr>
            <w:tcW w:type="dxa" w:w="3402"/>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Use in model</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Issuer</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DSV A/S</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Company / issuer name</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Offering type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Underwritten directed issue and private placement</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Deal type and transaction structure</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Execution format</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Accelerated bookbuilding process</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Pricing and allocation mechanism</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proceeds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DKK 37.3bn</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Issue size</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New shares issued</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26,444,523 shares</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Share count roll-forward</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Offer price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DKK 1,410.50 per share</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Pricing and proceeds calculation</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Post-issue share count</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240,444,523 shares</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Post money ownership base</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Implied pre-issue shares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214,000,000 shares</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Pre money ownership base</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Cornerstone commitments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DKK 21.0bn</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Demand de-risking and residual book size</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Use of proceeds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Partial financing of Schenker acquisition</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Strategic rationale</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Schenker transaction EV</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Approx. DKK 107bn / EUR 14.3bn</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Acquisition financing context</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Joint global coordinators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BNP Paribas, Danske Bank, HSBC, J.P. Morgan, Nordea</w:t>
            </w:r>
          </w:p>
        </w:tc>
        <w:tc>
          <w:tcPr>
            <w:tcW w:type="dxa" w:w="3402"/>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Banking syndicate</w:t>
            </w:r>
          </w:p>
        </w:tc>
      </w:tr>
    </w:tbl>
    <w:p>
      <w:pPr>
        <w:pStyle w:val="Instruction"/>
      </w:pPr>
      <w:r>
        <w:rPr>
          <w:rFonts w:ascii="EB Garamond" w:hAnsi="EB Garamond" w:eastAsia="EB Garamond"/>
          <w:b w:val="0"/>
          <w:i w:val="0"/>
        </w:rPr>
        <w:t>Source note: The case facts are based on DSV company announcements no. 1132, 1136 and 1137, plus public market releases. Any reference share price or VWAP used for discount analysis must be sourced separately and clearly labelled.</w:t>
      </w:r>
    </w:p>
    <w:p>
      <w:pPr>
        <w:pStyle w:val="Heading1"/>
      </w:pPr>
      <w:r>
        <w:rPr>
          <w:rFonts w:ascii="EB Garamond" w:hAnsi="EB Garamond" w:eastAsia="EB Garamond"/>
        </w:rPr>
        <w:t>3. Learning objectives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70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Objective</w:t>
            </w:r>
          </w:p>
        </w:tc>
        <w:tc>
          <w:tcPr>
            <w:tcW w:type="dxa" w:w="351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What you must learn</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Observable output</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Conceptual</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Understand why a company uses an ABB rather than a rights issue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Clear 60-second explanation</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Technical</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Calculate proceeds, new shares, dilution and discount</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Correct Excel mechanics</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Market</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Understand bookbuilding as demand discovery and market clearing</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Pricing sensitivity and allocation logic</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Stakeholder</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Map issuer, investors, underwriters, existing shareholders and regulators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Stakeholder incentive table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QC</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Avoid junior errors in share count, proceeds, primary/secondary and dilution</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90_Checks tab with pass/fail logic</w:t>
            </w:r>
          </w:p>
        </w:tc>
      </w:tr>
    </w:tbl>
    <w:p>
      <w:pPr>
        <w:pStyle w:val="Heading1"/>
      </w:pPr>
      <w:r>
        <w:rPr>
          <w:rFonts w:ascii="EB Garamond" w:hAnsi="EB Garamond" w:eastAsia="EB Garamond"/>
        </w:rPr>
        <w:t>4. Deep understanding framework</w:t>
      </w:r>
    </w:p>
    <w:p>
      <w:r>
        <w:rPr>
          <w:rFonts w:ascii="EB Garamond" w:hAnsi="EB Garamond" w:eastAsia="EB Garamond"/>
          <w:b w:val="0"/>
          <w:i w:val="0"/>
        </w:rPr>
        <w:t>Use the same five-part framework as in Case 0 and Case 1. Your answers should be precise, commercial and linked to the Excel model.</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89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Question</w:t>
            </w:r>
          </w:p>
        </w:tc>
        <w:tc>
          <w:tcPr>
            <w:tcW w:type="dxa" w:w="5556"/>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Specific application to DSV ABB</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1. What are we trying to solve?</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How can DSV raise a very large amount of equity quickly to support the Schenker acquisition while limiting market risk and preserving credit profile?</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2. Who wants what?</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Issuer wants proceeds and certainty; investors want attractive entry price; underwriters want execution control; existing shareholders want limited dilution and fair process.</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3. What is the technical mechanism?</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Directed issue, private placement, accelerated bookbuild, institutional allocation, cornerstone demand and no pre-emption rights.</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4. What would the analyst build?</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ABB sizing model, dilution model, proceeds bridge, allocation summary, discount sensitivity and 90_Checks.</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5. What are the common junior mistakes?</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Confusing discount with dilution, ignoring pre-emption rights, using post shares incorrectly, mixing gross and net proceeds, treating bookbuilding as a fixed-price sale.</w:t>
            </w:r>
          </w:p>
        </w:tc>
      </w:tr>
    </w:tbl>
    <w:p>
      <w:pPr>
        <w:pStyle w:val="Heading1"/>
      </w:pPr>
      <w:r>
        <w:rPr>
          <w:rFonts w:ascii="EB Garamond" w:hAnsi="EB Garamond" w:eastAsia="EB Garamond"/>
        </w:rPr>
        <w:t>5. Excel build instructions</w:t>
      </w:r>
    </w:p>
    <w:p>
      <w:r>
        <w:rPr>
          <w:rFonts w:ascii="EB Garamond" w:hAnsi="EB Garamond" w:eastAsia="EB Garamond"/>
          <w:b w:val="0"/>
          <w:i w:val="0"/>
        </w:rPr>
        <w:t>Build one workbook with the tabs below. Follow the same discipline as previous cases: inputs separate from calculations, outputs separate from workings, and all checks gathered in 90_Checks.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87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Tab</w:t>
            </w:r>
          </w:p>
        </w:tc>
        <w:tc>
          <w:tcPr>
            <w:tcW w:type="dxa" w:w="238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Purpose</w:t>
            </w:r>
          </w:p>
        </w:tc>
        <w:tc>
          <w:tcPr>
            <w:tcW w:type="dxa" w:w="4252"/>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Required blocks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00_Cover</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Metadata and change log</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Version, owner, sources, key assumptions, open items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01_Inputs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Manual inputs and case facts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price, gross proceeds, share counts, fees, reference price, VWAP, acquisition EV</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02_ABB_Sizing</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Core issue mechanics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New shares, gross proceeds check, post shares, issue size</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03_Dilution</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Ownership and dilution</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Pre/post ownership, non-participating shareholder, share count roll-forward</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04_Discount_MarketClearing</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Pricing and demand logic</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Reference price, offer price, discount, demand scenarios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05_Allocation</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Cornerstone and book allocation</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Cornerstone commitments, residual book, oversubscription, allocation assumptions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06_Proceeds_Use</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Acquisition financing context</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Gross to net proceeds, use of proceeds, % of Schenker EV/equity value financed</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07_Output</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Decision dashboard</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Key outputs, two charts, headline conclusion</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90_Checks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QC hub</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Proceeds tie, share tie, dilution tie, no missing inputs, scenario alignment</w:t>
            </w:r>
          </w:p>
        </w:tc>
      </w:tr>
    </w:tbl>
    <w:p>
      <w:pPr>
        <w:pStyle w:val="Heading1"/>
      </w:pPr>
      <w:r>
        <w:rPr>
          <w:rFonts w:ascii="EB Garamond" w:hAnsi="EB Garamond" w:eastAsia="EB Garamond"/>
        </w:rPr>
        <w:t>6. Core calculations</w:t>
      </w:r>
    </w:p>
    <w:p>
      <w:r>
        <w:rPr>
          <w:rFonts w:ascii="EB Garamond" w:hAnsi="EB Garamond" w:eastAsia="EB Garamond"/>
          <w:b w:val="0"/>
          <w:i w:val="0"/>
        </w:rPr>
        <w:t>Build the following calculations. All formulas should reference input cells, not hardcoded numbers inside formulas.</w:t>
      </w:r>
    </w:p>
    <w:p>
      <w:pPr>
        <w:spacing w:before="120" w:after="160"/>
        <w:jc w:val="center"/>
      </w:pPr>
      <w:r>
        <w:rPr>
          <w:rFonts w:ascii="EB Garamond" w:hAnsi="EB Garamond" w:eastAsia="EB Garamond"/>
          <w:i/>
          <w:sz w:val="22"/>
        </w:rPr>
        <w:t>New shares: N_new = Gross proceeds / Offer price</w:t>
      </w:r>
    </w:p>
    <w:p>
      <w:pPr>
        <w:spacing w:before="120" w:after="160"/>
        <w:jc w:val="center"/>
      </w:pPr>
      <w:r>
        <w:rPr>
          <w:rFonts w:ascii="EB Garamond" w:hAnsi="EB Garamond" w:eastAsia="EB Garamond"/>
          <w:i/>
          <w:sz w:val="22"/>
        </w:rPr>
        <w:t>Pre-issue shares: N_old = Post shares - N_new</w:t>
      </w:r>
    </w:p>
    <w:p>
      <w:pPr>
        <w:spacing w:before="120" w:after="160"/>
        <w:jc w:val="center"/>
      </w:pPr>
      <w:r>
        <w:rPr>
          <w:rFonts w:ascii="EB Garamond" w:hAnsi="EB Garamond" w:eastAsia="EB Garamond"/>
          <w:i/>
          <w:sz w:val="22"/>
        </w:rPr>
        <w:t>Post-issue shares: N_post = N_old + N_new</w:t>
      </w:r>
    </w:p>
    <w:p>
      <w:pPr>
        <w:spacing w:before="120" w:after="160"/>
        <w:jc w:val="center"/>
      </w:pPr>
      <w:r>
        <w:rPr>
          <w:rFonts w:ascii="EB Garamond" w:hAnsi="EB Garamond" w:eastAsia="EB Garamond"/>
          <w:i/>
          <w:sz w:val="22"/>
        </w:rPr>
        <w:t>Gross proceeds check: Gross proceeds = N_new × Offer price</w:t>
      </w:r>
    </w:p>
    <w:p>
      <w:pPr>
        <w:spacing w:before="120" w:after="160"/>
        <w:jc w:val="center"/>
      </w:pPr>
      <w:r>
        <w:rPr>
          <w:rFonts w:ascii="EB Garamond" w:hAnsi="EB Garamond" w:eastAsia="EB Garamond"/>
          <w:i/>
          <w:sz w:val="22"/>
        </w:rPr>
        <w:t>Net proceeds: Net proceeds = Gross proceeds - Fees</w:t>
      </w:r>
    </w:p>
    <w:p>
      <w:pPr>
        <w:spacing w:before="120" w:after="160"/>
        <w:jc w:val="center"/>
      </w:pPr>
      <w:r>
        <w:rPr>
          <w:rFonts w:ascii="EB Garamond" w:hAnsi="EB Garamond" w:eastAsia="EB Garamond"/>
          <w:i/>
          <w:sz w:val="22"/>
        </w:rPr>
        <w:t>Issue size as % of pre shares: Issue % pre = N_new / N_old</w:t>
      </w:r>
    </w:p>
    <w:p>
      <w:pPr>
        <w:spacing w:before="120" w:after="160"/>
        <w:jc w:val="center"/>
      </w:pPr>
      <w:r>
        <w:rPr>
          <w:rFonts w:ascii="EB Garamond" w:hAnsi="EB Garamond" w:eastAsia="EB Garamond"/>
          <w:i/>
          <w:sz w:val="22"/>
        </w:rPr>
        <w:t>Issue size as % of post shares: Issue % post = N_new / N_post</w:t>
      </w:r>
    </w:p>
    <w:p>
      <w:pPr>
        <w:spacing w:before="120" w:after="160"/>
        <w:jc w:val="center"/>
      </w:pPr>
      <w:r>
        <w:rPr>
          <w:rFonts w:ascii="EB Garamond" w:hAnsi="EB Garamond" w:eastAsia="EB Garamond"/>
          <w:i/>
          <w:sz w:val="22"/>
        </w:rPr>
        <w:t>Non-participating ownership dilution: Dilution = 1 - (N_old / N_post)</w:t>
      </w:r>
    </w:p>
    <w:p>
      <w:pPr>
        <w:spacing w:before="120" w:after="160"/>
        <w:jc w:val="center"/>
      </w:pPr>
      <w:r>
        <w:rPr>
          <w:rFonts w:ascii="EB Garamond" w:hAnsi="EB Garamond" w:eastAsia="EB Garamond"/>
          <w:i/>
          <w:sz w:val="22"/>
        </w:rPr>
        <w:t>Offer discount: Discount = Offer price / Reference price - 1</w:t>
      </w:r>
    </w:p>
    <w:p>
      <w:pPr>
        <w:spacing w:before="120" w:after="160"/>
        <w:jc w:val="center"/>
      </w:pPr>
      <w:r>
        <w:rPr>
          <w:rFonts w:ascii="EB Garamond" w:hAnsi="EB Garamond" w:eastAsia="EB Garamond"/>
          <w:i/>
          <w:sz w:val="22"/>
        </w:rPr>
        <w:t>Cornerstone coverage: Cornerstone coverage = Cornerstone commitments / Gross proceeds</w:t>
      </w:r>
    </w:p>
    <w:p>
      <w:pPr>
        <w:spacing w:before="120" w:after="160"/>
        <w:jc w:val="center"/>
      </w:pPr>
      <w:r>
        <w:rPr>
          <w:rFonts w:ascii="EB Garamond" w:hAnsi="EB Garamond" w:eastAsia="EB Garamond"/>
          <w:i/>
          <w:sz w:val="22"/>
        </w:rPr>
        <w:t>Residual book size: Residual book = Gross proceeds - Cornerstone commitments</w:t>
      </w:r>
    </w:p>
    <w:p>
      <w:pPr>
        <w:spacing w:before="120" w:after="160"/>
        <w:jc w:val="center"/>
      </w:pPr>
      <w:r>
        <w:rPr>
          <w:rFonts w:ascii="EB Garamond" w:hAnsi="EB Garamond" w:eastAsia="EB Garamond"/>
          <w:i/>
          <w:sz w:val="22"/>
        </w:rPr>
        <w:t>Equity raise as % of Schenker EV: Raise / Schenker EV = Gross proceeds / Schenker EV</w:t>
      </w:r>
    </w:p>
    <w:p>
      <w:pPr>
        <w:pStyle w:val="Heading1"/>
      </w:pPr>
      <w:r>
        <w:rPr>
          <w:rFonts w:ascii="EB Garamond" w:hAnsi="EB Garamond" w:eastAsia="EB Garamond"/>
        </w:rPr>
        <w:t>7. Task A, conceptual questions</w:t>
      </w:r>
    </w:p>
    <w:p>
      <w:r>
        <w:rPr>
          <w:rFonts w:ascii="EB Garamond" w:hAnsi="EB Garamond" w:eastAsia="EB Garamond"/>
          <w:b w:val="0"/>
          <w:i w:val="0"/>
        </w:rPr>
        <w:t>Answer these before building the model. Keep each answer to 4 to 6 lines. Your goal is not to sound theoretical, but to explain the economics clearly.</w:t>
      </w:r>
    </w:p>
    <w:p>
      <w:r>
        <w:rPr>
          <w:rFonts w:ascii="EB Garamond" w:hAnsi="EB Garamond" w:eastAsia="EB Garamond"/>
          <w:b/>
          <w:i w:val="0"/>
        </w:rPr>
        <w:t>Why would DSV use an ABB instead of a rights issue for this raise?</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r>
        <w:rPr>
          <w:rFonts w:ascii="EB Garamond" w:hAnsi="EB Garamond" w:eastAsia="EB Garamond"/>
          <w:b/>
          <w:i w:val="0"/>
        </w:rPr>
        <w:t>Why is speed valuable in an acquisition-related equity raise?</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r>
        <w:rPr>
          <w:rFonts w:ascii="EB Garamond" w:hAnsi="EB Garamond" w:eastAsia="EB Garamond"/>
          <w:b/>
          <w:i w:val="0"/>
        </w:rPr>
        <w:t>Why might existing shareholders accept dilution when pre-emption rights are not used?</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r>
        <w:rPr>
          <w:rFonts w:ascii="EB Garamond" w:hAnsi="EB Garamond" w:eastAsia="EB Garamond"/>
          <w:b/>
          <w:i w:val="0"/>
        </w:rPr>
        <w:t>What does it mean that the offering is made at market price?</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r>
        <w:rPr>
          <w:rFonts w:ascii="EB Garamond" w:hAnsi="EB Garamond" w:eastAsia="EB Garamond"/>
          <w:b/>
          <w:i w:val="0"/>
        </w:rPr>
        <w:t>Why do cornerstone commitments matter before or during bookbuilding?</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r>
        <w:rPr>
          <w:rFonts w:ascii="EB Garamond" w:hAnsi="EB Garamond" w:eastAsia="EB Garamond"/>
          <w:b/>
          <w:i w:val="0"/>
        </w:rPr>
        <w:t>What does “oversubscribed” tell you, and what does it not tell you?</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r>
        <w:rPr>
          <w:rFonts w:ascii="EB Garamond" w:hAnsi="EB Garamond" w:eastAsia="EB Garamond"/>
          <w:b/>
          <w:i w:val="0"/>
        </w:rPr>
        <w:t>Why is allocation strategic rather than purely mechanical?</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r>
        <w:rPr>
          <w:rFonts w:ascii="EB Garamond" w:hAnsi="EB Garamond" w:eastAsia="EB Garamond"/>
          <w:b/>
          <w:i w:val="0"/>
        </w:rPr>
        <w:t>Where is Danske Bank’s role economically and practically valuable in this case?</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pStyle w:val="Heading1"/>
      </w:pPr>
      <w:r>
        <w:rPr>
          <w:rFonts w:ascii="EB Garamond" w:hAnsi="EB Garamond" w:eastAsia="EB Garamond"/>
        </w:rPr>
        <w:t>8. Task B, build the ABB sizing model</w:t>
      </w:r>
    </w:p>
    <w:p>
      <w:r>
        <w:rPr>
          <w:rFonts w:ascii="EB Garamond" w:hAnsi="EB Garamond" w:eastAsia="EB Garamond"/>
          <w:b w:val="0"/>
          <w:i w:val="0"/>
        </w:rPr>
        <w:t>Use the case data pack as hard inputs. Add a separate manual input for reference share price and VWAP. If you cannot source these, use training placeholders and label them clearly.</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66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Line item</w:t>
            </w:r>
          </w:p>
        </w:tc>
        <w:tc>
          <w:tcPr>
            <w:tcW w:type="dxa" w:w="368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Formula / source</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Your output</w:t>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proceeds</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Hard input: DKK 37.3bn</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Offer price</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Hard input: DKK 1,410.50</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New shares</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proceeds / offer price</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Post shares</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Hard input: 240,444,523</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Pre shares</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Post shares - new shares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Issue size as % of pre shares</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New shares / pre shares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Issue size as % of post shares</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New shares / post shares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Net proceeds</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proceeds - fees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bl>
    <w:p>
      <w:pPr>
        <w:pStyle w:val="Heading1"/>
      </w:pPr>
      <w:r>
        <w:rPr>
          <w:rFonts w:ascii="EB Garamond" w:hAnsi="EB Garamond" w:eastAsia="EB Garamond"/>
        </w:rPr>
        <w:t>9. Task C, dilution and ownership</w:t>
      </w:r>
    </w:p>
    <w:p>
      <w:r>
        <w:rPr>
          <w:rFonts w:ascii="EB Garamond" w:hAnsi="EB Garamond" w:eastAsia="EB Garamond"/>
          <w:b w:val="0"/>
          <w:i w:val="0"/>
        </w:rPr>
        <w:t>Build a simple ownership analysis for a non-participating shareholder. Use a dummy shareholder with 5.0m shares before the offering. Then add a second scenario where the shareholder is allocated enough new shares to maintain pro rata ownership.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1596"/>
        <w:gridCol w:w="1596"/>
        <w:gridCol w:w="1596"/>
        <w:gridCol w:w="1596"/>
        <w:gridCol w:w="1596"/>
        <w:gridCol w:w="1596"/>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Scenario</w:t>
            </w:r>
          </w:p>
        </w:tc>
        <w:tc>
          <w:tcPr>
            <w:tcW w:type="dxa" w:w="1531"/>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Shareholder shares before</w:t>
            </w:r>
          </w:p>
        </w:tc>
        <w:tc>
          <w:tcPr>
            <w:tcW w:type="dxa" w:w="1531"/>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New shares allocated</w:t>
            </w:r>
          </w:p>
        </w:tc>
        <w:tc>
          <w:tcPr>
            <w:tcW w:type="dxa" w:w="1191"/>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Ownership before</w:t>
            </w:r>
          </w:p>
        </w:tc>
        <w:tc>
          <w:tcPr>
            <w:tcW w:type="dxa" w:w="1191"/>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Ownership after</w:t>
            </w:r>
          </w:p>
        </w:tc>
        <w:tc>
          <w:tcPr>
            <w:tcW w:type="dxa" w:w="1020"/>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Dilution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Does not participate</w:t>
            </w:r>
          </w:p>
        </w:tc>
        <w:tc>
          <w:tcPr>
            <w:tcW w:type="dxa" w:w="153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5.0m</w:t>
            </w:r>
          </w:p>
        </w:tc>
        <w:tc>
          <w:tcPr>
            <w:tcW w:type="dxa" w:w="153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0.0m</w:t>
            </w:r>
          </w:p>
        </w:tc>
        <w:tc>
          <w:tcPr>
            <w:tcW w:type="dxa" w:w="119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19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020"/>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Maintains pro rata ownership</w:t>
            </w:r>
          </w:p>
        </w:tc>
        <w:tc>
          <w:tcPr>
            <w:tcW w:type="dxa" w:w="153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5.0m</w:t>
            </w:r>
          </w:p>
        </w:tc>
        <w:tc>
          <w:tcPr>
            <w:tcW w:type="dxa" w:w="153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Formula</w:t>
            </w:r>
          </w:p>
        </w:tc>
        <w:tc>
          <w:tcPr>
            <w:tcW w:type="dxa" w:w="119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19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020"/>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Partial allocation</w:t>
            </w:r>
          </w:p>
        </w:tc>
        <w:tc>
          <w:tcPr>
            <w:tcW w:type="dxa" w:w="153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5.0m</w:t>
            </w:r>
          </w:p>
        </w:tc>
        <w:tc>
          <w:tcPr>
            <w:tcW w:type="dxa" w:w="153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t>50% of pro rata need</w:t>
            </w:r>
          </w:p>
        </w:tc>
        <w:tc>
          <w:tcPr>
            <w:tcW w:type="dxa" w:w="119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19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020"/>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bl>
    <w:p>
      <w:pPr>
        <w:pStyle w:val="Instruction"/>
      </w:pPr>
      <w:r>
        <w:rPr>
          <w:rFonts w:ascii="EB Garamond" w:hAnsi="EB Garamond" w:eastAsia="EB Garamond"/>
          <w:b w:val="0"/>
          <w:i w:val="0"/>
        </w:rPr>
        <w:t>Interpretation requirement: Explain the difference between absolute ownership reduction and economic value impact. A shareholder can be diluted in percentage ownership even if the capital raise is value-neutral or value-accretive at company level.</w:t>
      </w:r>
    </w:p>
    <w:p>
      <w:r>
        <w:rPr>
          <w:rFonts w:ascii="EB Garamond" w:hAnsi="EB Garamond" w:eastAsia="EB Garamond"/>
          <w:b w:val="0"/>
          <w:i w:val="0"/>
        </w:rPr>
        <w:t>Your answer:</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pStyle w:val="Heading1"/>
      </w:pPr>
      <w:r>
        <w:rPr>
          <w:rFonts w:ascii="EB Garamond" w:hAnsi="EB Garamond" w:eastAsia="EB Garamond"/>
        </w:rPr>
        <w:t>10. Task D, pricing and market clearing</w:t>
      </w:r>
    </w:p>
    <w:p>
      <w:r>
        <w:rPr>
          <w:rFonts w:ascii="EB Garamond" w:hAnsi="EB Garamond" w:eastAsia="EB Garamond"/>
          <w:b w:val="0"/>
          <w:i w:val="0"/>
        </w:rPr>
        <w:t>Create a pricing block that calculates discount to reference price and VWAP. Then create a sensitivity where investor demand changes with different discounts.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289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Input / output</w:t>
            </w:r>
          </w:p>
        </w:tc>
        <w:tc>
          <w:tcPr>
            <w:tcW w:type="dxa" w:w="175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8"/>
              </w:rPr>
            </w:r>
            <w:r>
              <w:rPr>
                <w:rFonts w:ascii="EB Garamond" w:hAnsi="EB Garamond" w:eastAsia="EB Garamond"/>
                <w:b/>
                <w:i w:val="0"/>
                <w:sz w:val="18"/>
              </w:rPr>
              <w:t>Base</w:t>
            </w:r>
          </w:p>
        </w:tc>
        <w:tc>
          <w:tcPr>
            <w:tcW w:type="dxa" w:w="175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8"/>
              </w:rPr>
            </w:r>
            <w:r>
              <w:rPr>
                <w:rFonts w:ascii="EB Garamond" w:hAnsi="EB Garamond" w:eastAsia="EB Garamond"/>
                <w:b/>
                <w:i w:val="0"/>
                <w:sz w:val="18"/>
              </w:rPr>
              <w:t>Downside</w:t>
            </w:r>
          </w:p>
        </w:tc>
        <w:tc>
          <w:tcPr>
            <w:tcW w:type="dxa" w:w="175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8"/>
              </w:rPr>
            </w:r>
            <w:r>
              <w:rPr>
                <w:rFonts w:ascii="EB Garamond" w:hAnsi="EB Garamond" w:eastAsia="EB Garamond"/>
                <w:b/>
                <w:i w:val="0"/>
                <w:sz w:val="18"/>
              </w:rPr>
              <w:t>Upside</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Reference price</w:t>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Offer price</w:t>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t>1,410.50</w:t>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t>1,410.50</w:t>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t>1,410.50</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Discount to reference price</w:t>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Assumed demand coverage</w:t>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proceeds cleared</w:t>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Unplaced shares / residual risk</w:t>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c>
          <w:tcPr>
            <w:tcW w:type="dxa" w:w="175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8"/>
              </w:rPr>
            </w:r>
            <w:r>
              <w:rPr>
                <w:rFonts w:ascii="EB Garamond" w:hAnsi="EB Garamond" w:eastAsia="EB Garamond"/>
                <w:b w:val="0"/>
                <w:i w:val="0"/>
                <w:sz w:val="18"/>
              </w:rPr>
            </w:r>
          </w:p>
        </w:tc>
      </w:tr>
    </w:tbl>
    <w:p>
      <w:r>
        <w:rPr>
          <w:rFonts w:ascii="EB Garamond" w:hAnsi="EB Garamond" w:eastAsia="EB Garamond"/>
          <w:b/>
          <w:i w:val="0"/>
        </w:rPr>
        <w:t>Conceptual prompt: An ABB price is not only a valuation output. It is the price at which the book can clear within a short execution window. Explain this in 5 lines.</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pStyle w:val="Heading1"/>
      </w:pPr>
      <w:r>
        <w:rPr>
          <w:rFonts w:ascii="EB Garamond" w:hAnsi="EB Garamond" w:eastAsia="EB Garamond"/>
        </w:rPr>
        <w:t>11. Task E, cornerstone commitments and allocation</w:t>
      </w:r>
    </w:p>
    <w:p>
      <w:r>
        <w:rPr>
          <w:rFonts w:ascii="EB Garamond" w:hAnsi="EB Garamond" w:eastAsia="EB Garamond"/>
          <w:b w:val="0"/>
          <w:i w:val="0"/>
        </w:rPr>
        <w:t>Model the DKK 21.0bn cornerstone commitments as demand de-risking. Calculate the residual book and the share of the raise covered before residual institutional allocation.</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72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Line item</w:t>
            </w:r>
          </w:p>
        </w:tc>
        <w:tc>
          <w:tcPr>
            <w:tcW w:type="dxa" w:w="37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Formula</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Output</w:t>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proceeds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Hard input</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Cornerstone commitments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Hard input: DKK 21.0bn</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Cornerstone coverage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Cornerstone / gross proceeds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Residual book size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proceeds - cornerstone</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Residual book as % of gross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Residual / gross proceeds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bl>
    <w:p>
      <w:r>
        <w:rPr>
          <w:rFonts w:ascii="EB Garamond" w:hAnsi="EB Garamond" w:eastAsia="EB Garamond"/>
          <w:b/>
          <w:i w:val="0"/>
        </w:rPr>
        <w:t>Allocation question: If the book is oversubscribed, why might the bank still allocate less than requested to some investors and more to others? Discuss investor quality, long-only demand, existing shareholder relations, aftermarket support and strategic relationship value.</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pStyle w:val="Heading1"/>
      </w:pPr>
      <w:r>
        <w:rPr>
          <w:rFonts w:ascii="EB Garamond" w:hAnsi="EB Garamond" w:eastAsia="EB Garamond"/>
        </w:rPr>
        <w:t>12. Task F, proceeds and Schenker acquisition context</w:t>
      </w:r>
    </w:p>
    <w:p>
      <w:r>
        <w:rPr>
          <w:rFonts w:ascii="EB Garamond" w:hAnsi="EB Garamond" w:eastAsia="EB Garamond"/>
          <w:b w:val="0"/>
          <w:i w:val="0"/>
        </w:rPr>
        <w:t>Connect the ABB to the M&amp;A transaction. The raise is not an isolated ECM event; it is part of financing a transformative acquisition. Calculate the raise as a percentage of Schenker enterprise value and discuss why DSV might combine equity and debt financing.</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83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Line item</w:t>
            </w:r>
          </w:p>
        </w:tc>
        <w:tc>
          <w:tcPr>
            <w:tcW w:type="dxa" w:w="368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Input / formula</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Output</w:t>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Schenker enterprise value</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Approx. DKK 107bn</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equity raise</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DKK 37.3bn</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raise as % of Schenker EV</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Gross raise / Schenker EV</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Net raise as % of Schenker EV</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Net proceeds / Schenker EV</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Remaining financing need</w:t>
            </w:r>
          </w:p>
        </w:tc>
        <w:tc>
          <w:tcPr>
            <w:tcW w:type="dxa" w:w="3685"/>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Schenker EV - net proceeds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r>
          </w:p>
        </w:tc>
      </w:tr>
    </w:tbl>
    <w:p>
      <w:r>
        <w:rPr>
          <w:rFonts w:ascii="EB Garamond" w:hAnsi="EB Garamond" w:eastAsia="EB Garamond"/>
          <w:b/>
          <w:i w:val="0"/>
        </w:rPr>
        <w:t>Conceptual prompt: Why does acquisition financing need to balance equity dilution against leverage, credit rating, liquidity, market confidence and deal certainty?</w:t>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spacing w:after="60"/>
        <w:pBdr>
          <w:bottom w:val="single" w:sz="2" w:space="1" w:color="BFBFBF"/>
        </w:pBdr>
      </w:pPr>
      <w:r/>
    </w:p>
    <w:p>
      <w:pPr>
        <w:pStyle w:val="Heading1"/>
      </w:pPr>
      <w:r>
        <w:rPr>
          <w:rFonts w:ascii="EB Garamond" w:hAnsi="EB Garamond" w:eastAsia="EB Garamond"/>
        </w:rPr>
        <w:t>13. Task G, stakeholder incentive map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19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Stakeholder</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Wants</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Fears</w:t>
            </w:r>
          </w:p>
        </w:tc>
        <w:tc>
          <w:tcPr>
            <w:tcW w:type="dxa" w:w="266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Conflict to understand</w:t>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DSV management</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Existing shareholders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New institutional investors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Cornerstone investors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Underwriters / bookrunners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Deutsche Bahn / seller of Schenker</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Rating agencies / lenders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Nasdaq / regulators</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c>
          <w:tcPr>
            <w:tcW w:type="dxa" w:w="266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pPr>
        <w:pStyle w:val="Heading1"/>
      </w:pPr>
      <w:r>
        <w:rPr>
          <w:rFonts w:ascii="EB Garamond" w:hAnsi="EB Garamond" w:eastAsia="EB Garamond"/>
        </w:rPr>
        <w:t>14. Required visuals</w:t>
      </w:r>
    </w:p>
    <w:p>
      <w:r>
        <w:rPr>
          <w:rFonts w:ascii="EB Garamond" w:hAnsi="EB Garamond" w:eastAsia="EB Garamond"/>
          <w:b w:val="0"/>
          <w:i w:val="0"/>
        </w:rPr>
        <w:t>Your Excel output must include at least two charts. Build them directly from output cells, not manually typed chart data.</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43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Visual</w:t>
            </w:r>
          </w:p>
        </w:tc>
        <w:tc>
          <w:tcPr>
            <w:tcW w:type="dxa" w:w="385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Required message</w:t>
            </w:r>
          </w:p>
        </w:tc>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Minimum design</w:t>
            </w:r>
          </w:p>
        </w:tc>
      </w:tr>
      <w:tr>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Proceeds and use bridge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The raise is a major equity funding component of the Schenker acquisition</w:t>
            </w:r>
          </w:p>
        </w:tc>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Bar or waterfall showing gross proceeds, fees, net proceeds and acquisition EV context</w:t>
            </w:r>
          </w:p>
        </w:tc>
      </w:tr>
      <w:tr>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Dilution bridge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New shares increase the denominator and reduce non-participating ownership</w:t>
            </w:r>
          </w:p>
        </w:tc>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Pre/post ownership or ownership dilution chart</w:t>
            </w:r>
          </w:p>
        </w:tc>
      </w:tr>
      <w:tr>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Optional discount sensitivity</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Market clearing depends on price and investor demand</w:t>
            </w:r>
          </w:p>
        </w:tc>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Discount vs assumed demand coverage line or table</w:t>
            </w:r>
          </w:p>
        </w:tc>
      </w:tr>
    </w:tbl>
    <w:p>
      <w:pPr>
        <w:pStyle w:val="Heading1"/>
      </w:pPr>
      <w:r>
        <w:rPr>
          <w:rFonts w:ascii="EB Garamond" w:hAnsi="EB Garamond" w:eastAsia="EB Garamond"/>
        </w:rPr>
        <w:t>15. 90_Checks requirements</w:t>
      </w:r>
    </w:p>
    <w:p>
      <w:r>
        <w:rPr>
          <w:rFonts w:ascii="EB Garamond" w:hAnsi="EB Garamond" w:eastAsia="EB Garamond"/>
          <w:b w:val="0"/>
          <w:i w:val="0"/>
        </w:rPr>
        <w:t>The model is not passable unless the 90_Checks tab is green. Use explicit OK / FAIL flags and make each check traceable to the relevant calculation line.</w:t>
      </w:r>
    </w:p>
    <w:p>
      <w:pPr>
        <w:pStyle w:val="Checklist"/>
      </w:pPr>
      <w:r>
        <w:rPr>
          <w:rFonts w:ascii="EB Garamond" w:hAnsi="EB Garamond"/>
        </w:rPr>
        <w:t xml:space="preserve">☐ </w:t>
      </w:r>
      <w:r>
        <w:rPr>
          <w:rFonts w:ascii="EB Garamond" w:hAnsi="EB Garamond" w:eastAsia="EB Garamond"/>
        </w:rPr>
        <w:t>Gross proceeds equals new shares multiplied by offer price.</w:t>
      </w:r>
    </w:p>
    <w:p>
      <w:pPr>
        <w:pStyle w:val="Checklist"/>
      </w:pPr>
      <w:r>
        <w:rPr>
          <w:rFonts w:ascii="EB Garamond" w:hAnsi="EB Garamond"/>
        </w:rPr>
        <w:t xml:space="preserve">☐ </w:t>
      </w:r>
      <w:r>
        <w:rPr>
          <w:rFonts w:ascii="EB Garamond" w:hAnsi="EB Garamond" w:eastAsia="EB Garamond"/>
        </w:rPr>
        <w:t>Post shares equal pre shares plus new shares.</w:t>
      </w:r>
    </w:p>
    <w:p>
      <w:pPr>
        <w:pStyle w:val="Checklist"/>
      </w:pPr>
      <w:r>
        <w:rPr>
          <w:rFonts w:ascii="EB Garamond" w:hAnsi="EB Garamond"/>
        </w:rPr>
        <w:t xml:space="preserve">☐ </w:t>
      </w:r>
      <w:r>
        <w:rPr>
          <w:rFonts w:ascii="EB Garamond" w:hAnsi="EB Garamond" w:eastAsia="EB Garamond"/>
        </w:rPr>
        <w:t>Pre shares equal 214,000,000 based on the case data pack.</w:t>
      </w:r>
    </w:p>
    <w:p>
      <w:pPr>
        <w:pStyle w:val="Checklist"/>
      </w:pPr>
      <w:r>
        <w:rPr>
          <w:rFonts w:ascii="EB Garamond" w:hAnsi="EB Garamond"/>
        </w:rPr>
        <w:t xml:space="preserve">☐ </w:t>
      </w:r>
      <w:r>
        <w:rPr>
          <w:rFonts w:ascii="EB Garamond" w:hAnsi="EB Garamond" w:eastAsia="EB Garamond"/>
        </w:rPr>
        <w:t>New shares equal 26,444,523 based on the completion announcement.</w:t>
      </w:r>
    </w:p>
    <w:p>
      <w:pPr>
        <w:pStyle w:val="Checklist"/>
      </w:pPr>
      <w:r>
        <w:rPr>
          <w:rFonts w:ascii="EB Garamond" w:hAnsi="EB Garamond"/>
        </w:rPr>
        <w:t xml:space="preserve">☐ </w:t>
      </w:r>
      <w:r>
        <w:rPr>
          <w:rFonts w:ascii="EB Garamond" w:hAnsi="EB Garamond" w:eastAsia="EB Garamond"/>
        </w:rPr>
        <w:t>Ownership percentages calculate on the correct denominator.</w:t>
      </w:r>
    </w:p>
    <w:p>
      <w:pPr>
        <w:pStyle w:val="Checklist"/>
      </w:pPr>
      <w:r>
        <w:rPr>
          <w:rFonts w:ascii="EB Garamond" w:hAnsi="EB Garamond"/>
        </w:rPr>
        <w:t xml:space="preserve">☐ </w:t>
      </w:r>
      <w:r>
        <w:rPr>
          <w:rFonts w:ascii="EB Garamond" w:hAnsi="EB Garamond" w:eastAsia="EB Garamond"/>
        </w:rPr>
        <w:t>Non-participating dilution equals 1 - old shares / post shares.</w:t>
      </w:r>
    </w:p>
    <w:p>
      <w:pPr>
        <w:pStyle w:val="Checklist"/>
      </w:pPr>
      <w:r>
        <w:rPr>
          <w:rFonts w:ascii="EB Garamond" w:hAnsi="EB Garamond"/>
        </w:rPr>
        <w:t xml:space="preserve">☐ </w:t>
      </w:r>
      <w:r>
        <w:rPr>
          <w:rFonts w:ascii="EB Garamond" w:hAnsi="EB Garamond" w:eastAsia="EB Garamond"/>
        </w:rPr>
        <w:t>Net proceeds equal gross proceeds minus fees.</w:t>
      </w:r>
    </w:p>
    <w:p>
      <w:pPr>
        <w:pStyle w:val="Checklist"/>
      </w:pPr>
      <w:r>
        <w:rPr>
          <w:rFonts w:ascii="EB Garamond" w:hAnsi="EB Garamond"/>
        </w:rPr>
        <w:t xml:space="preserve">☐ </w:t>
      </w:r>
      <w:r>
        <w:rPr>
          <w:rFonts w:ascii="EB Garamond" w:hAnsi="EB Garamond" w:eastAsia="EB Garamond"/>
        </w:rPr>
        <w:t>Cornerstone coverage plus residual book equals 100% of gross proceeds.</w:t>
      </w:r>
    </w:p>
    <w:p>
      <w:pPr>
        <w:pStyle w:val="Checklist"/>
      </w:pPr>
      <w:r>
        <w:rPr>
          <w:rFonts w:ascii="EB Garamond" w:hAnsi="EB Garamond"/>
        </w:rPr>
        <w:t xml:space="preserve">☐ </w:t>
      </w:r>
      <w:r>
        <w:rPr>
          <w:rFonts w:ascii="EB Garamond" w:hAnsi="EB Garamond" w:eastAsia="EB Garamond"/>
        </w:rPr>
        <w:t>No dashboard cells contain hardcoded calculations.</w:t>
      </w:r>
    </w:p>
    <w:p>
      <w:pPr>
        <w:pStyle w:val="Checklist"/>
      </w:pPr>
      <w:r>
        <w:rPr>
          <w:rFonts w:ascii="EB Garamond" w:hAnsi="EB Garamond"/>
        </w:rPr>
        <w:t xml:space="preserve">☐ </w:t>
      </w:r>
      <w:r>
        <w:rPr>
          <w:rFonts w:ascii="EB Garamond" w:hAnsi="EB Garamond" w:eastAsia="EB Garamond"/>
        </w:rPr>
        <w:t>Reference price and VWAP are clearly sourced or labelled as training placeholders.</w:t>
      </w:r>
    </w:p>
    <w:p>
      <w:pPr>
        <w:pStyle w:val="Heading1"/>
      </w:pPr>
      <w:r>
        <w:rPr>
          <w:rFonts w:ascii="EB Garamond" w:hAnsi="EB Garamond" w:eastAsia="EB Garamond"/>
        </w:rPr>
        <w:t>16. Interpretation prompts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38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Prompt</w:t>
            </w:r>
          </w:p>
        </w:tc>
        <w:tc>
          <w:tcPr>
            <w:tcW w:type="dxa" w:w="6123"/>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8"/>
              </w:rPr>
            </w:r>
            <w:r>
              <w:rPr>
                <w:rFonts w:ascii="EB Garamond" w:hAnsi="EB Garamond" w:eastAsia="EB Garamond"/>
                <w:b/>
                <w:i w:val="0"/>
                <w:sz w:val="18"/>
              </w:rPr>
              <w:t>Your answer should address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Why an ABB?</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Speed, institutional execution, market window, no long subscription period, acquisition funding need</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Why no pre-emption rights?</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Speed and execution certainty, but with dilution/fairness considerations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Why cornerstone commitments?</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Demand validation, execution de-risking and signalling</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What is the underwriting risk?</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Risk of not placing shares or having to support execution if demand weakens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What is the commercial meaning of oversubscription?</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Demand exceeds supply, but allocation quality and price still matter</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What is the main junior mistake?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8"/>
              </w:rPr>
            </w:r>
            <w:r>
              <w:rPr>
                <w:rFonts w:ascii="EB Garamond" w:hAnsi="EB Garamond" w:eastAsia="EB Garamond"/>
                <w:b w:val="0"/>
                <w:i w:val="0"/>
                <w:sz w:val="18"/>
              </w:rPr>
              <w:t>Confusing discount, dilution and value creation</w:t>
            </w:r>
          </w:p>
        </w:tc>
      </w:tr>
    </w:tbl>
    <w:p>
      <w:pPr>
        <w:pStyle w:val="Heading1"/>
      </w:pPr>
      <w:r>
        <w:rPr>
          <w:rFonts w:ascii="EB Garamond" w:hAnsi="EB Garamond" w:eastAsia="EB Garamond"/>
        </w:rPr>
        <w:t>17. 8-line Associate email</w:t>
      </w:r>
    </w:p>
    <w:p>
      <w:r>
        <w:rPr>
          <w:rFonts w:ascii="EB Garamond" w:hAnsi="EB Garamond" w:eastAsia="EB Garamond"/>
          <w:b w:val="0"/>
          <w:i w:val="0"/>
        </w:rPr>
        <w:t>Write a maximum 8-line email. It must follow this structure: conclusion, two evidence lines, downside/risk, decision/ask and next step.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680"/>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w:t>
            </w:r>
          </w:p>
        </w:tc>
        <w:tc>
          <w:tcPr>
            <w:tcW w:type="dxa" w:w="283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Required content</w:t>
            </w:r>
          </w:p>
        </w:tc>
        <w:tc>
          <w:tcPr>
            <w:tcW w:type="dxa" w:w="4989"/>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draft</w:t>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1</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Conclusion</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Key mechanic: proceeds and shares</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3</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Key mechanic: dilution and discount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4</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Demand / cornerstone point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5</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Schenker financing link</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6</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Main risk / downside</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7</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Decision / ask</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8</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Next step</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pPr>
        <w:pStyle w:val="Heading1"/>
      </w:pPr>
      <w:r>
        <w:rPr>
          <w:rFonts w:ascii="EB Garamond" w:hAnsi="EB Garamond" w:eastAsia="EB Garamond"/>
        </w:rPr>
        <w:t>18. Gold-standard intuition</w:t>
      </w:r>
    </w:p>
    <w:p>
      <w:r>
        <w:rPr>
          <w:rFonts w:ascii="EB Garamond" w:hAnsi="EB Garamond" w:eastAsia="EB Garamond"/>
          <w:b w:val="0"/>
          <w:i w:val="0"/>
        </w:rPr>
        <w:t>An ABB is not just “issuing shares quickly”. It is a market-clearing mechanism used when the issuer wants to raise capital rapidly from institutional investors, typically within a narrow execution window. The bank’s role is to wall-cross investors, build demand, set a price that clears the book, allocate shares to the right investors and reduce execution risk.</w:t>
      </w:r>
    </w:p>
    <w:p>
      <w:r>
        <w:rPr>
          <w:rFonts w:ascii="EB Garamond" w:hAnsi="EB Garamond" w:eastAsia="EB Garamond"/>
          <w:b w:val="0"/>
          <w:i w:val="0"/>
        </w:rPr>
        <w:t>In DSV’s case, the equity raise must be understood together with the Schenker acquisition. The core question is not only how many shares were issued, but how DSV balanced proceeds, dilution, credit profile, acquisition certainty and investor demand.</w:t>
      </w:r>
    </w:p>
    <w:p>
      <w:pPr>
        <w:pStyle w:val="Heading1"/>
      </w:pPr>
      <w:r>
        <w:rPr>
          <w:rFonts w:ascii="EB Garamond" w:hAnsi="EB Garamond" w:eastAsia="EB Garamond"/>
        </w:rPr>
        <w:t>19. Review and critique rubric</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81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Area</w:t>
            </w:r>
          </w:p>
        </w:tc>
        <w:tc>
          <w:tcPr>
            <w:tcW w:type="dxa" w:w="351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Pass standard</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Fail indicator</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Mechanics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Proceeds, new shares and dilution calculate correctly</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Wrong share denominator or proceeds tie</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Conceptual understanding</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Explains ABB as demand discovery and market clearing</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Describes it as a normal fixed-price share sale</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Stakeholders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Issuer, investors, underwriters and existing shareholders mapped clearly</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Generic stakeholder comments</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Schenker link</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Connects raise to acquisition financing and credit profile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Treats raise as isolated ECM event</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Visuals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Two clean charts from linked output cells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Manual chart data or unclear message</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QC</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90_Checks green and traceable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Checks absent or superficial</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Communication</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8-line email gives conclusion and ask</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Email repeats numbers without interpretation</w:t>
            </w:r>
          </w:p>
        </w:tc>
      </w:tr>
    </w:tbl>
    <w:p>
      <w:pPr>
        <w:pStyle w:val="Heading1"/>
      </w:pPr>
      <w:r>
        <w:rPr>
          <w:rFonts w:ascii="EB Garamond" w:hAnsi="EB Garamond" w:eastAsia="EB Garamond"/>
        </w:rPr>
        <w:t>20. Glossary for this case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Term</w:t>
            </w:r>
          </w:p>
        </w:tc>
        <w:tc>
          <w:tcPr>
            <w:tcW w:type="dxa" w:w="6236"/>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Practical definition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ABB</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Accelerated bookbuild; a fast placement of shares to institutional investors, often completed overnight or within a short window.</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Directed issue</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Share issue directed to selected investors rather than offered pro rata to all shareholders.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Private placement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Sale of securities to selected institutional or professional investors.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Pre-emption rights</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Existing shareholders’ right to subscribe pro rata in a new issue. In this case, the offering was made without pre-emption rights.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Bookbuilding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Process where banks collect investor demand to determine price and allocation.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Cornerstone commitment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Large investor commitment that helps de-risk demand and signal support.</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Allocation</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Distribution of shares among investors after the bookbuilding process.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Oversubscription</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Investor demand exceeds the available number of shares.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Gross proceeds</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Capital raised before fees and expenses.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Net proceeds</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Capital available to issuer after fees and expenses.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Dilution</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Reduction in ownership percentage due to new shares being issued.</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Market clearing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The price and allocation point where investor demand absorbs the offered shares.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Underwriting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Bank or syndicate support that reduces issuer execution risk, subject to agreed terms.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Lock-up</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Restriction on selling additional shares for a defined period after the transaction.</w:t>
            </w:r>
          </w:p>
        </w:tc>
      </w:tr>
    </w:tbl>
    <w:p>
      <w:pPr>
        <w:pStyle w:val="Heading1"/>
      </w:pPr>
      <w:r>
        <w:rPr>
          <w:rFonts w:ascii="EB Garamond" w:hAnsi="EB Garamond" w:eastAsia="EB Garamond"/>
        </w:rPr>
        <w:t>21. Level up</w:t>
      </w:r>
    </w:p>
    <w:p>
      <w:r>
        <w:rPr>
          <w:rFonts w:ascii="EB Garamond" w:hAnsi="EB Garamond" w:eastAsia="EB Garamond"/>
          <w:b w:val="0"/>
          <w:i w:val="0"/>
        </w:rPr>
        <w:t>Next difficulty: add detailed investor orders, price sensitivity, oversubscription, allocation priorities, partial wall-crossing, and underwriting exposure before and after cornerstone demand. The next version should answer: how does the bank de-risk a very large equity raise under time pressure?</w:t>
      </w:r>
    </w:p>
    <w:p>
      <w:pPr>
        <w:pStyle w:val="Heading1"/>
      </w:pPr>
      <w:r>
        <w:rPr>
          <w:rFonts w:ascii="EB Garamond" w:hAnsi="EB Garamond" w:eastAsia="EB Garamond"/>
        </w:rPr>
        <w:t>22. Source notes</w:t>
      </w:r>
    </w:p>
    <w:p>
      <w:r>
        <w:rPr>
          <w:rFonts w:ascii="EB Garamond" w:hAnsi="EB Garamond" w:eastAsia="EB Garamond"/>
          <w:b w:val="0"/>
          <w:i w:val="0"/>
        </w:rPr>
        <w:t>Use these sources only as fact anchors. Your model should not depend on copied text; it should translate public information into a structured analyst deliverable.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83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Source</w:t>
            </w:r>
          </w:p>
        </w:tc>
        <w:tc>
          <w:tcPr>
            <w:tcW w:type="dxa" w:w="5669"/>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Relevant data</w:t>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DSV company announcement no. 1136, 3 October 2024</w:t>
            </w:r>
          </w:p>
        </w:tc>
        <w:tc>
          <w:tcPr>
            <w:tcW w:type="dxa" w:w="566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Launch of DKK 37.3bn underwritten directed issue and private placement through ABB; use of proceeds; cornerstone commitments; no pre-emption rights; joint global coordinators.</w:t>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DSV company announcement no. 1137, 4 October 2024</w:t>
            </w:r>
          </w:p>
        </w:tc>
        <w:tc>
          <w:tcPr>
            <w:tcW w:type="dxa" w:w="566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Completion of 26,444,523 new shares at DKK 1,410.50; gross proceeds DKK 37.3bn; oversubscribed; post share count 240,444,523.</w:t>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DSV company announcement no. 1132, 13 September 2024</w:t>
            </w:r>
          </w:p>
        </w:tc>
        <w:tc>
          <w:tcPr>
            <w:tcW w:type="dxa" w:w="566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Schenker acquisition EV approx. EUR 14.3bn / DKK 107bn and all-cash acquisition context.</w:t>
            </w:r>
          </w:p>
        </w:tc>
      </w:tr>
    </w:tbl>
    <w:sectPr w:rsidR="00FC693F" w:rsidRPr="0006063C" w:rsidSect="00034616">
      <w:headerReference w:type="default" r:id="rId9"/>
      <w:footerReference w:type="default" r:id="rId10"/>
      <w:pgSz w:w="12240" w:h="15840"/>
      <w:pgMar w:top="1361" w:right="1332" w:bottom="1304" w:left="1332" w:header="624"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eastAsia="EB Garamond"/>
        <w:i/>
        <w:sz w:val="18"/>
      </w:rPr>
      <w:t>Analyst IB Prep · M&amp;A / ECM · Print-ready exercise 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EB Garamond" w:hAnsi="EB Garamond" w:eastAsia="EB Garamond"/>
        <w:i/>
        <w:sz w:val="18"/>
      </w:rPr>
      <w:t>Case 2 · DSV Accelerated Bookbuilding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before="0"/>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EB Garamond" w:hAnsi="EB Garamond" w:eastAsia="EB Garamond"/>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EB Garamond" w:hAnsi="EB Garamond" w:eastAsia="EB Garamond"/>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EB Garamond" w:hAnsi="EB Garamond" w:eastAsia="EB 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pPr>
      <w:spacing w:after="160"/>
    </w:pPr>
    <w:rPr>
      <w:rFonts w:ascii="EB Garamond" w:hAnsi="EB Garamond" w:eastAsia="EB Garamond"/>
      <w:caps/>
      <w:sz w:val="18"/>
    </w:rPr>
  </w:style>
  <w:style w:type="paragraph" w:customStyle="1" w:styleId="Instruction">
    <w:name w:val="Instruction"/>
    <w:pPr>
      <w:spacing w:before="40" w:after="120"/>
      <w:ind w:left="198"/>
    </w:pPr>
    <w:rPr>
      <w:rFonts w:ascii="EB Garamond" w:hAnsi="EB Garamond" w:eastAsia="EB Garamond"/>
      <w:i/>
      <w:sz w:val="21"/>
    </w:rPr>
  </w:style>
  <w:style w:type="paragraph" w:customStyle="1" w:styleId="Checklist">
    <w:name w:val="Checklist"/>
    <w:pPr>
      <w:spacing w:after="40"/>
      <w:ind w:left="227"/>
    </w:pPr>
    <w:rPr>
      <w:rFonts w:ascii="EB Garamond" w:hAnsi="EB Garamond" w:eastAsia="EB Garamon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