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center"/>
      </w:pPr>
      <w:r>
        <w:rPr>
          <w:rFonts w:ascii="EB Garamond" w:hAnsi="EB Garamond" w:eastAsia="EB Garamond"/>
        </w:rPr>
        <w:t>Analyst IB Prep · Mergers and Acquisitions / ECM</w:t>
      </w:r>
    </w:p>
    <w:p>
      <w:pPr>
        <w:spacing w:before="1800"/>
        <w:jc w:val="center"/>
      </w:pPr>
      <w:r>
        <w:rPr>
          <w:rFonts w:ascii="EB Garamond" w:hAnsi="EB Garamond" w:eastAsia="EB Garamond"/>
          <w:b/>
          <w:sz w:val="36"/>
        </w:rPr>
        <w:t>Case 3</w:t>
      </w:r>
    </w:p>
    <w:p>
      <w:pPr>
        <w:jc w:val="center"/>
      </w:pPr>
      <w:r>
        <w:rPr>
          <w:rFonts w:ascii="EB Garamond" w:hAnsi="EB Garamond" w:eastAsia="EB Garamond"/>
          <w:b/>
          <w:sz w:val="48"/>
        </w:rPr>
        <w:t>Nykredit / Spar Nord Public M&amp;A</w:t>
      </w:r>
    </w:p>
    <w:p>
      <w:pPr>
        <w:jc w:val="center"/>
      </w:pPr>
      <w:r>
        <w:rPr>
          <w:rFonts w:ascii="EB Garamond" w:hAnsi="EB Garamond" w:eastAsia="EB Garamond"/>
          <w:i/>
          <w:sz w:val="24"/>
        </w:rPr>
        <w:t>Voluntary public tender offer, offer premium, acceptance thresholds, squeeze-out and board defensibility</w:t>
      </w:r>
    </w:p>
    <w:p>
      <w:pPr>
        <w:spacing w:before="600"/>
        <w:jc w:val="center"/>
      </w:pPr>
      <w:r>
        <w:rPr>
          <w:rFonts w:ascii="EB Garamond" w:hAnsi="EB Garamond" w:eastAsia="EB Garamond"/>
          <w:sz w:val="24"/>
        </w:rPr>
        <w:t>Opgavesæt til praktisk og konceptuel træning</w:t>
      </w:r>
    </w:p>
    <w:p>
      <w:pPr>
        <w:jc w:val="center"/>
      </w:pPr>
      <w:r>
        <w:rPr>
          <w:rFonts w:ascii="EB Garamond" w:hAnsi="EB Garamond" w:eastAsia="EB Garamond"/>
          <w:i/>
          <w:sz w:val="20"/>
        </w:rPr>
        <w:t>Current level: Level 1.5 · Foundation to Deal-ready</w:t>
      </w:r>
    </w:p>
    <w:p>
      <w:r>
        <w:br w:type="page"/>
      </w:r>
    </w:p>
    <w:p>
      <w:pPr>
        <w:pStyle w:val="Heading1"/>
      </w:pPr>
      <w:r>
        <w:rPr>
          <w:rFonts w:ascii="EB Garamond" w:hAnsi="EB Garamond" w:eastAsia="EB Garamond"/>
        </w:rPr>
        <w:t>1. Associate-style task brief</w:t>
      </w:r>
    </w:p>
    <w:p>
      <w:r>
        <w:rPr>
          <w:rFonts w:ascii="EB Garamond" w:hAnsi="EB Garamond" w:eastAsia="EB Garamond"/>
          <w:b w:val="0"/>
          <w:i w:val="0"/>
        </w:rPr>
        <w:t>Build a public takeover offer model for Nykredit’s recommended voluntary cash offer for Spar Nord. I want to understand offer premium, equity value, implied valuation, acceptance scenarios, squeeze-out logic, delisting path, stakeholder incentives and what makes the board recommendation defensible.</w:t>
      </w:r>
    </w:p>
    <w:p>
      <w:pPr>
        <w:pStyle w:val="Instruction"/>
      </w:pPr>
      <w:r>
        <w:rPr>
          <w:rFonts w:ascii="EB Garamond" w:hAnsi="EB Garamond" w:eastAsia="EB Garamond"/>
          <w:b w:val="0"/>
          <w:i w:val="0"/>
        </w:rPr>
        <w:t>Deadline: 3.0 hours. Output: Excel workbook, two charts, a 90_Checks tab, a stakeholder incentive map and an 8-line Associate email.</w:t>
      </w:r>
    </w:p>
    <w:p>
      <w:pPr>
        <w:pStyle w:val="Heading1"/>
      </w:pPr>
      <w:r>
        <w:rPr>
          <w:rFonts w:ascii="EB Garamond" w:hAnsi="EB Garamond" w:eastAsia="EB Garamond"/>
        </w:rPr>
        <w:t>2. Case background and data pack</w:t>
      </w:r>
    </w:p>
    <w:p>
      <w:r>
        <w:rPr>
          <w:rFonts w:ascii="EB Garamond" w:hAnsi="EB Garamond" w:eastAsia="EB Garamond"/>
          <w:b w:val="0"/>
          <w:i w:val="0"/>
        </w:rPr>
        <w:t>Nykredit announced a recommended voluntary public tender offer for Spar Nord in December 2024 and published the offer document in January 2025. The initial cash offer price was DKK 210 per share, valuing Spar Nord’s total share capital at approximately DKK 24.7bn. After an extension, the offer price was increased to DKK 210.50. The offer was later completed, with Nykredit holding 96.54 per cent of the share capital and voting rights excluding treasury shares, enabling compulsory acquisition and delisting.</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09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Item</w:t>
            </w:r>
          </w:p>
        </w:tc>
        <w:tc>
          <w:tcPr>
            <w:tcW w:type="dxa" w:w="317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Case fact</w:t>
            </w:r>
          </w:p>
        </w:tc>
        <w:tc>
          <w:tcPr>
            <w:tcW w:type="dxa" w:w="323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Use in model</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Offeror</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Nykredit Realkredit A/S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Buyer / offeror</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Target</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Spar Nord Bank A/S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Target company</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Transaction type</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Recommended voluntary public cash tender offer</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Public M&amp;A structure</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Initial offer price</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DKK 210.00 per share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Base offer price</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Final offer price</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DKK 210.50 per share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Revised / final case sensitivity</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Implied equity value</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DKK 24.7bn</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Purchase equity value</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Unaffected closing price</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DKK 140.60 on 9 Dec. 2024</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Premium reference price</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Three-month VWAP</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DKK 133.20</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Premium reference price</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Six-month VWAP</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DKK 132.80</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Premium reference price</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Initial premium to close</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49%</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Board and shareholder attractiveness</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Initial premium to 3m VWAP</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58%</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VWAP premium</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Minimum acceptance condition</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At least 67% of share capital and voting rights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Completion condition</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Spar Nord Foundation undertaking</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20.27% of share capital</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Support / acceptance de-risking</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Board and executive undertakings</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0.3% of share capital</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Support / governance signal</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Final ownership after completion</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96.54%</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Squeeze-out and delisting path</w:t>
            </w:r>
          </w:p>
        </w:tc>
      </w:tr>
      <w:tr>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Compulsory acquisition threshold</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More than 90%</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Minority buy-out logic</w:t>
            </w:r>
          </w:p>
        </w:tc>
      </w:tr>
    </w:tbl>
    <w:p>
      <w:pPr>
        <w:pStyle w:val="Instruction"/>
      </w:pPr>
      <w:r>
        <w:rPr>
          <w:rFonts w:ascii="EB Garamond" w:hAnsi="EB Garamond" w:eastAsia="EB Garamond"/>
          <w:b w:val="0"/>
          <w:i w:val="0"/>
        </w:rPr>
        <w:t>Source note: Use the case facts as public data anchors. Any additional figures such as book value, net income, treasury shares or capital ratios must be sourced and labelled separately.</w:t>
      </w:r>
    </w:p>
    <w:p>
      <w:pPr>
        <w:pStyle w:val="Heading1"/>
      </w:pPr>
      <w:r>
        <w:rPr>
          <w:rFonts w:ascii="EB Garamond" w:hAnsi="EB Garamond" w:eastAsia="EB Garamond"/>
        </w:rPr>
        <w:t>3. Learning objectives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70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Objective</w:t>
            </w:r>
          </w:p>
        </w:tc>
        <w:tc>
          <w:tcPr>
            <w:tcW w:type="dxa" w:w="3572"/>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What you must learn</w:t>
            </w:r>
          </w:p>
        </w:tc>
        <w:tc>
          <w:tcPr>
            <w:tcW w:type="dxa" w:w="328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Observable output</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Conceptual</w:t>
            </w:r>
          </w:p>
        </w:tc>
        <w:tc>
          <w:tcPr>
            <w:tcW w:type="dxa" w:w="357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Understand public M&amp;A as price, process, recommendation and acceptance mechanics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Clear 60-second explanation</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Technical</w:t>
            </w:r>
          </w:p>
        </w:tc>
        <w:tc>
          <w:tcPr>
            <w:tcW w:type="dxa" w:w="357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Calculate offer premium, equity value and acceptance threshold scenarios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Correct Excel mechanics</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Bank valuation</w:t>
            </w:r>
          </w:p>
        </w:tc>
        <w:tc>
          <w:tcPr>
            <w:tcW w:type="dxa" w:w="357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Understand why banks are often analysed with P/BV, P/TNAV and P/E rather than EV/EBITDA</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Valuation method note</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Stakeholder</w:t>
            </w:r>
          </w:p>
        </w:tc>
        <w:tc>
          <w:tcPr>
            <w:tcW w:type="dxa" w:w="357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Map bidder, target board, foundation shareholder, minority holders, regulators and advisers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Stakeholder incentive table</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Process</w:t>
            </w:r>
          </w:p>
        </w:tc>
        <w:tc>
          <w:tcPr>
            <w:tcW w:type="dxa" w:w="357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Understand why 67%, 90%, approvals and delisting matter</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Threshold visual and timeline</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QC</w:t>
            </w:r>
          </w:p>
        </w:tc>
        <w:tc>
          <w:tcPr>
            <w:tcW w:type="dxa" w:w="357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Avoid errors in offer price, share count, premium reference and threshold logic</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90_Checks tab with pass/fail logic</w:t>
            </w:r>
          </w:p>
        </w:tc>
      </w:tr>
    </w:tbl>
    <w:p>
      <w:pPr>
        <w:pStyle w:val="Heading1"/>
      </w:pPr>
      <w:r>
        <w:rPr>
          <w:rFonts w:ascii="EB Garamond" w:hAnsi="EB Garamond" w:eastAsia="EB Garamond"/>
        </w:rPr>
        <w:t>4. Deep understanding framework</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89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Question</w:t>
            </w:r>
          </w:p>
        </w:tc>
        <w:tc>
          <w:tcPr>
            <w:tcW w:type="dxa" w:w="5613"/>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Specific application to Nykredit / Spar Nord</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1. What are we trying to solve?</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How can Nykredit acquire control of Spar Nord on terms the board can recommend and shareholders can accept, while obtaining regulatory approval and a path to integration?</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 Who wants what?</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Nykredit wants control and strategic scale; Spar Nord shareholders want price and certainty; the board wants a defensible process; regulators care about approvals and market integrity.</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3. What is the technical mechanism?</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Voluntary public cash tender offer, offer premium, irrevocable undertakings, acceptance thresholds, regulatory approvals, squeeze-out and delisting.</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4. What would the analyst build?</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premium model, equity value model, acceptance scenario table, threshold chart, timeline, stakeholder map and 90_Checks.</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5. What are the common junior mistakes?</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Using wrong reference price, mixing equity value and EV, ignoring treasury shares, treating 90% as the only threshold, applying EV/EBITDA to a bank without thinking.</w:t>
            </w:r>
          </w:p>
        </w:tc>
      </w:tr>
    </w:tbl>
    <w:p>
      <w:pPr>
        <w:pStyle w:val="Heading1"/>
      </w:pPr>
      <w:r>
        <w:rPr>
          <w:rFonts w:ascii="EB Garamond" w:hAnsi="EB Garamond" w:eastAsia="EB Garamond"/>
        </w:rPr>
        <w:t>5. Excel build instructions</w:t>
      </w:r>
    </w:p>
    <w:p>
      <w:r>
        <w:rPr>
          <w:rFonts w:ascii="EB Garamond" w:hAnsi="EB Garamond" w:eastAsia="EB Garamond"/>
          <w:b w:val="0"/>
          <w:i w:val="0"/>
        </w:rPr>
        <w:t>Build one workbook with the tabs below. Keep public M&amp;A logic separate from bank valuation logic. The output dashboard should answer the key question: is the offer financially attractive, process-defensible and executable?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87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Tab</w:t>
            </w:r>
          </w:p>
        </w:tc>
        <w:tc>
          <w:tcPr>
            <w:tcW w:type="dxa" w:w="238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Purpose</w:t>
            </w:r>
          </w:p>
        </w:tc>
        <w:tc>
          <w:tcPr>
            <w:tcW w:type="dxa" w:w="4252"/>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Required blocks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00_Cover</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Metadata and change log</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Version, owner, sources, key assumptions, open items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01_Inputs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Manual inputs and case facts</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 price, unaffected price, VWAPs, equity value, share count, support stakes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02_Offer_Premium</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 premium mechanics</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Premium to close, 3m VWAP, 6m VWAP, revised price sensitivity</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03_Equity_Value</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Purchase equity value and implied share count</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 equity value, implied shares, value uplift, reference market cap</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04_Bank_Valuation</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Bank-specific valuation bridge</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P/BV, P/TNAV, P/E placeholders and method note</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05_Acceptance_Scenarios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Threshold and acceptance analysis</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67%, 90%, 100%, foundation support, gap to thresholds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06_Process_Timeline</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Public offer process</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Announcement, offer document, extensions, final result, completion, squeeze-out, delisting</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07_Stakeholders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Incentive map</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Offeror, target board, foundation, minorities, FSA, competition authority, advisers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08_Output</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Decision dashboard</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Key outputs, two charts, 60-second explanation</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90_Checks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QC hub</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Premium tie, share count tie, threshold tie, no missing inputs, scenario alignment</w:t>
            </w:r>
          </w:p>
        </w:tc>
      </w:tr>
    </w:tbl>
    <w:p>
      <w:pPr>
        <w:pStyle w:val="Heading1"/>
      </w:pPr>
      <w:r>
        <w:rPr>
          <w:rFonts w:ascii="EB Garamond" w:hAnsi="EB Garamond" w:eastAsia="EB Garamond"/>
        </w:rPr>
        <w:t>6. Core calculations</w:t>
      </w:r>
    </w:p>
    <w:p>
      <w:r>
        <w:rPr>
          <w:rFonts w:ascii="EB Garamond" w:hAnsi="EB Garamond" w:eastAsia="EB Garamond"/>
          <w:b w:val="0"/>
          <w:i w:val="0"/>
        </w:rPr>
        <w:t>Build the following calculations. All formulas should reference input cells, not hardcoded numbers inside formulas.</w:t>
      </w:r>
    </w:p>
    <w:p>
      <w:pPr>
        <w:spacing w:before="100" w:after="140"/>
        <w:jc w:val="center"/>
      </w:pPr>
      <w:r>
        <w:rPr>
          <w:rFonts w:ascii="EB Garamond" w:hAnsi="EB Garamond" w:eastAsia="EB Garamond"/>
          <w:i/>
          <w:sz w:val="22"/>
        </w:rPr>
        <w:t>Offer premium to close: Premium = Offer price / Unaffected closing price - 1</w:t>
      </w:r>
    </w:p>
    <w:p>
      <w:pPr>
        <w:spacing w:before="100" w:after="140"/>
        <w:jc w:val="center"/>
      </w:pPr>
      <w:r>
        <w:rPr>
          <w:rFonts w:ascii="EB Garamond" w:hAnsi="EB Garamond" w:eastAsia="EB Garamond"/>
          <w:i/>
          <w:sz w:val="22"/>
        </w:rPr>
        <w:t>Offer premium to VWAP: Premium = Offer price / VWAP - 1</w:t>
      </w:r>
    </w:p>
    <w:p>
      <w:pPr>
        <w:spacing w:before="100" w:after="140"/>
        <w:jc w:val="center"/>
      </w:pPr>
      <w:r>
        <w:rPr>
          <w:rFonts w:ascii="EB Garamond" w:hAnsi="EB Garamond" w:eastAsia="EB Garamond"/>
          <w:i/>
          <w:sz w:val="22"/>
        </w:rPr>
        <w:t>Implied shares outstanding: Shares = Equity value / Offer price</w:t>
      </w:r>
    </w:p>
    <w:p>
      <w:pPr>
        <w:spacing w:before="100" w:after="140"/>
        <w:jc w:val="center"/>
      </w:pPr>
      <w:r>
        <w:rPr>
          <w:rFonts w:ascii="EB Garamond" w:hAnsi="EB Garamond" w:eastAsia="EB Garamond"/>
          <w:i/>
          <w:sz w:val="22"/>
        </w:rPr>
        <w:t>Reference market cap: Market cap reference = Implied shares × Unaffected price</w:t>
      </w:r>
    </w:p>
    <w:p>
      <w:pPr>
        <w:spacing w:before="100" w:after="140"/>
        <w:jc w:val="center"/>
      </w:pPr>
      <w:r>
        <w:rPr>
          <w:rFonts w:ascii="EB Garamond" w:hAnsi="EB Garamond" w:eastAsia="EB Garamond"/>
          <w:i/>
          <w:sz w:val="22"/>
        </w:rPr>
        <w:t>Value uplift to shareholders: Value uplift = Offer equity value - Reference market cap</w:t>
      </w:r>
    </w:p>
    <w:p>
      <w:pPr>
        <w:spacing w:before="100" w:after="140"/>
        <w:jc w:val="center"/>
      </w:pPr>
      <w:r>
        <w:rPr>
          <w:rFonts w:ascii="EB Garamond" w:hAnsi="EB Garamond" w:eastAsia="EB Garamond"/>
          <w:i/>
          <w:sz w:val="22"/>
        </w:rPr>
        <w:t>Value uplift per share: Uplift per share = Offer price - Unaffected price</w:t>
      </w:r>
    </w:p>
    <w:p>
      <w:pPr>
        <w:spacing w:before="100" w:after="140"/>
        <w:jc w:val="center"/>
      </w:pPr>
      <w:r>
        <w:rPr>
          <w:rFonts w:ascii="EB Garamond" w:hAnsi="EB Garamond" w:eastAsia="EB Garamond"/>
          <w:i/>
          <w:sz w:val="22"/>
        </w:rPr>
        <w:t>67% acceptance shares: Required shares 67% = Implied shares × 67%</w:t>
      </w:r>
    </w:p>
    <w:p>
      <w:pPr>
        <w:spacing w:before="100" w:after="140"/>
        <w:jc w:val="center"/>
      </w:pPr>
      <w:r>
        <w:rPr>
          <w:rFonts w:ascii="EB Garamond" w:hAnsi="EB Garamond" w:eastAsia="EB Garamond"/>
          <w:i/>
          <w:sz w:val="22"/>
        </w:rPr>
        <w:t>90% squeeze-out shares: Required shares 90% = Implied shares × 90%</w:t>
      </w:r>
    </w:p>
    <w:p>
      <w:pPr>
        <w:spacing w:before="100" w:after="140"/>
        <w:jc w:val="center"/>
      </w:pPr>
      <w:r>
        <w:rPr>
          <w:rFonts w:ascii="EB Garamond" w:hAnsi="EB Garamond" w:eastAsia="EB Garamond"/>
          <w:i/>
          <w:sz w:val="22"/>
        </w:rPr>
        <w:t>Gap to 67% after undertakings: Gap = 67% - Foundation undertaking - management / board undertakings</w:t>
      </w:r>
    </w:p>
    <w:p>
      <w:pPr>
        <w:spacing w:before="100" w:after="140"/>
        <w:jc w:val="center"/>
      </w:pPr>
      <w:r>
        <w:rPr>
          <w:rFonts w:ascii="EB Garamond" w:hAnsi="EB Garamond" w:eastAsia="EB Garamond"/>
          <w:i/>
          <w:sz w:val="22"/>
        </w:rPr>
        <w:t>Gap to 90% after undertakings: Gap = 90% - Foundation undertaking - management / board undertakings</w:t>
      </w:r>
    </w:p>
    <w:p>
      <w:pPr>
        <w:spacing w:before="100" w:after="140"/>
        <w:jc w:val="center"/>
      </w:pPr>
      <w:r>
        <w:rPr>
          <w:rFonts w:ascii="EB Garamond" w:hAnsi="EB Garamond" w:eastAsia="EB Garamond"/>
          <w:i/>
          <w:sz w:val="22"/>
        </w:rPr>
        <w:t>Final excess over 90%: Excess = Final ownership - 90%</w:t>
      </w:r>
    </w:p>
    <w:p>
      <w:pPr>
        <w:spacing w:before="100" w:after="140"/>
        <w:jc w:val="center"/>
      </w:pPr>
      <w:r>
        <w:rPr>
          <w:rFonts w:ascii="EB Garamond" w:hAnsi="EB Garamond" w:eastAsia="EB Garamond"/>
          <w:i/>
          <w:sz w:val="22"/>
        </w:rPr>
        <w:t>Revised offer value impact: Incremental value = (Final offer price - Initial offer price) × Implied shares</w:t>
      </w:r>
    </w:p>
    <w:p>
      <w:pPr>
        <w:pStyle w:val="Heading1"/>
      </w:pPr>
      <w:r>
        <w:rPr>
          <w:rFonts w:ascii="EB Garamond" w:hAnsi="EB Garamond" w:eastAsia="EB Garamond"/>
        </w:rPr>
        <w:t>7. Task A, conceptual questions</w:t>
      </w:r>
    </w:p>
    <w:p>
      <w:r>
        <w:rPr>
          <w:rFonts w:ascii="EB Garamond" w:hAnsi="EB Garamond" w:eastAsia="EB Garamond"/>
          <w:b w:val="0"/>
          <w:i w:val="0"/>
        </w:rPr>
        <w:t>Answer these before building the model. Keep each answer to 4 to 6 lines. Your goal is to explain the public M&amp;A logic, not to repeat definitions.</w:t>
      </w:r>
    </w:p>
    <w:p>
      <w:r>
        <w:rPr>
          <w:rFonts w:ascii="EB Garamond" w:hAnsi="EB Garamond" w:eastAsia="EB Garamond"/>
          <w:b/>
          <w:i w:val="0"/>
        </w:rPr>
        <w:t>Why is a voluntary public tender offer different from buying a private company?</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does the board care about process defensibility and not only offer price?</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does an offer premium matter, and why can it be misleading?</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do 67% and 90% matter in different ways in this case?</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is an irrevocable undertaking from Spar Nord Foundation strategically important?</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would minority shareholders care about squeeze-out and delisting?</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are bank M&amp;A valuation metrics different from industrial company metrics?</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Where is the investment bank’s role most valuable in this transaction?</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8. Task B, build the offer premium model</w:t>
      </w:r>
    </w:p>
    <w:p>
      <w:r>
        <w:rPr>
          <w:rFonts w:ascii="EB Garamond" w:hAnsi="EB Garamond" w:eastAsia="EB Garamond"/>
          <w:b w:val="0"/>
          <w:i w:val="0"/>
        </w:rPr>
        <w:t>Calculate premium to unaffected closing price, three-month VWAP and six-month VWAP for both the initial offer price and the revised final price. Show absolute DKK uplift and percentage premium.</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1596"/>
        <w:gridCol w:w="1596"/>
        <w:gridCol w:w="1596"/>
        <w:gridCol w:w="1596"/>
        <w:gridCol w:w="1596"/>
        <w:gridCol w:w="1596"/>
      </w:tblGrid>
      <w:tr>
        <w:tc>
          <w:tcPr>
            <w:tcW w:type="dxa" w:w="192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Reference price</w:t>
            </w:r>
          </w:p>
        </w:tc>
        <w:tc>
          <w:tcPr>
            <w:tcW w:type="dxa" w:w="141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Reference value</w:t>
            </w:r>
          </w:p>
        </w:tc>
        <w:tc>
          <w:tcPr>
            <w:tcW w:type="dxa" w:w="141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Initial offer price</w:t>
            </w:r>
          </w:p>
        </w:tc>
        <w:tc>
          <w:tcPr>
            <w:tcW w:type="dxa" w:w="1304"/>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Initial premium</w:t>
            </w:r>
          </w:p>
        </w:tc>
        <w:tc>
          <w:tcPr>
            <w:tcW w:type="dxa" w:w="141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Final offer price</w:t>
            </w:r>
          </w:p>
        </w:tc>
        <w:tc>
          <w:tcPr>
            <w:tcW w:type="dxa" w:w="1304"/>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Final premium</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Unaffected closing price</w:t>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DKK 140.60</w:t>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DKK 210.00</w:t>
            </w:r>
          </w:p>
        </w:tc>
        <w:tc>
          <w:tcPr>
            <w:tcW w:type="dxa" w:w="130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DKK 210.50</w:t>
            </w:r>
          </w:p>
        </w:tc>
        <w:tc>
          <w:tcPr>
            <w:tcW w:type="dxa" w:w="130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3m VWAP</w:t>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DKK 133.20</w:t>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DKK 210.00</w:t>
            </w:r>
          </w:p>
        </w:tc>
        <w:tc>
          <w:tcPr>
            <w:tcW w:type="dxa" w:w="130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DKK 210.50</w:t>
            </w:r>
          </w:p>
        </w:tc>
        <w:tc>
          <w:tcPr>
            <w:tcW w:type="dxa" w:w="130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6m VWAP</w:t>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DKK 132.80</w:t>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DKK 210.00</w:t>
            </w:r>
          </w:p>
        </w:tc>
        <w:tc>
          <w:tcPr>
            <w:tcW w:type="dxa" w:w="130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DKK 210.50</w:t>
            </w:r>
          </w:p>
        </w:tc>
        <w:tc>
          <w:tcPr>
            <w:tcW w:type="dxa" w:w="130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bl>
    <w:p>
      <w:pPr>
        <w:pStyle w:val="Instruction"/>
      </w:pPr>
      <w:r>
        <w:rPr>
          <w:rFonts w:ascii="EB Garamond" w:hAnsi="EB Garamond" w:eastAsia="EB Garamond"/>
          <w:b w:val="0"/>
          <w:i w:val="0"/>
        </w:rPr>
        <w:t>Interpretation requirement: Explain why the offer premium is helpful for shareholders and board communication, but not sufficient on its own to prove fairness.</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9. Task C, equity value and implied share count</w:t>
      </w:r>
    </w:p>
    <w:p>
      <w:r>
        <w:rPr>
          <w:rFonts w:ascii="EB Garamond" w:hAnsi="EB Garamond" w:eastAsia="EB Garamond"/>
          <w:b w:val="0"/>
          <w:i w:val="0"/>
        </w:rPr>
        <w:t>Use the approximate DKK 24.7bn equity value and initial offer price to back-solve implied shares. Then use that share count to estimate reference market cap and value uplift.</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66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Line item</w:t>
            </w:r>
          </w:p>
        </w:tc>
        <w:tc>
          <w:tcPr>
            <w:tcW w:type="dxa" w:w="379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Formula / source</w:t>
            </w:r>
          </w:p>
        </w:tc>
        <w:tc>
          <w:tcPr>
            <w:tcW w:type="dxa" w:w="204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output</w:t>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equity value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Hard input: approx. DKK 24.7bn</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Initial offer price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Hard input: DKK 210.00</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Implied shares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Equity value / offer price</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Reference market cap</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Implied shares × unaffected close</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Value uplift</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equity value - reference market cap</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Value uplift per share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price - unaffected close</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Revised offer incremental value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(210.50 - 210.00) × implied shares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bl>
    <w:p>
      <w:pPr>
        <w:pStyle w:val="Instruction"/>
      </w:pPr>
      <w:r>
        <w:rPr>
          <w:rFonts w:ascii="EB Garamond" w:hAnsi="EB Garamond" w:eastAsia="EB Garamond"/>
          <w:b w:val="0"/>
          <w:i w:val="0"/>
        </w:rPr>
        <w:t>QC note: In a real model, you should use actual fully diluted shares and adjust for treasury shares. In this training model, the implied share count is a simplification based on the public headline equity value.</w:t>
      </w:r>
    </w:p>
    <w:p>
      <w:pPr>
        <w:pStyle w:val="Heading1"/>
      </w:pPr>
      <w:r>
        <w:rPr>
          <w:rFonts w:ascii="EB Garamond" w:hAnsi="EB Garamond" w:eastAsia="EB Garamond"/>
        </w:rPr>
        <w:t>10. Task D, bank valuation method note</w:t>
      </w:r>
    </w:p>
    <w:p>
      <w:r>
        <w:rPr>
          <w:rFonts w:ascii="EB Garamond" w:hAnsi="EB Garamond" w:eastAsia="EB Garamond"/>
          <w:b w:val="0"/>
          <w:i w:val="0"/>
        </w:rPr>
        <w:t>Write a short method note explaining why banks are commonly analysed using P/BV, P/TNAV, P/E, ROE, CET1 and asset quality metrics rather than EV/EBITDA. Then create placeholder rows for P/BV and P/E calculations if you source book value and earnings separately.</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2394"/>
        <w:gridCol w:w="2394"/>
        <w:gridCol w:w="2394"/>
        <w:gridCol w:w="2394"/>
      </w:tblGrid>
      <w:tr>
        <w:tc>
          <w:tcPr>
            <w:tcW w:type="dxa" w:w="136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Metric</w:t>
            </w:r>
          </w:p>
        </w:tc>
        <w:tc>
          <w:tcPr>
            <w:tcW w:type="dxa" w:w="209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Formula</w:t>
            </w:r>
          </w:p>
        </w:tc>
        <w:tc>
          <w:tcPr>
            <w:tcW w:type="dxa" w:w="311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Why it matters for bank M&amp;A</w:t>
            </w:r>
          </w:p>
        </w:tc>
        <w:tc>
          <w:tcPr>
            <w:tcW w:type="dxa" w:w="192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Your sourced input / output</w:t>
            </w:r>
          </w:p>
        </w:tc>
      </w:tr>
      <w:tr>
        <w:tc>
          <w:tcPr>
            <w:tcW w:type="dxa" w:w="13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P/BV</w:t>
            </w:r>
          </w:p>
        </w:tc>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Equity value / book value of equity</w:t>
            </w:r>
          </w:p>
        </w:tc>
        <w:tc>
          <w:tcPr>
            <w:tcW w:type="dxa" w:w="311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Links price to capital base and expected ROE</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3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P/TNAV</w:t>
            </w:r>
          </w:p>
        </w:tc>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Equity value / tangible net asset value</w:t>
            </w:r>
          </w:p>
        </w:tc>
        <w:tc>
          <w:tcPr>
            <w:tcW w:type="dxa" w:w="311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Focuses on tangible capital and excludes goodwill / intangibles</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3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P/E</w:t>
            </w:r>
          </w:p>
        </w:tc>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Equity value / net income</w:t>
            </w:r>
          </w:p>
        </w:tc>
        <w:tc>
          <w:tcPr>
            <w:tcW w:type="dxa" w:w="311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Links price to earnings power</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3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ROE</w:t>
            </w:r>
          </w:p>
        </w:tc>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Net income / average equity</w:t>
            </w:r>
          </w:p>
        </w:tc>
        <w:tc>
          <w:tcPr>
            <w:tcW w:type="dxa" w:w="311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Determines whether P/BV premium is justified</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3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CET1 ratio</w:t>
            </w:r>
          </w:p>
        </w:tc>
        <w:tc>
          <w:tcPr>
            <w:tcW w:type="dxa" w:w="20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CET1 capital / risk-weighted assets</w:t>
            </w:r>
          </w:p>
        </w:tc>
        <w:tc>
          <w:tcPr>
            <w:tcW w:type="dxa" w:w="311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Capital strength and regulatory headroom</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bl>
    <w:p>
      <w:r>
        <w:rPr>
          <w:rFonts w:ascii="EB Garamond" w:hAnsi="EB Garamond" w:eastAsia="EB Garamond"/>
          <w:b w:val="0"/>
          <w:i w:val="0"/>
        </w:rPr>
        <w:t>Your method note:</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11. Task E, acceptance thresholds and squeeze-out logic</w:t>
      </w:r>
    </w:p>
    <w:p>
      <w:r>
        <w:rPr>
          <w:rFonts w:ascii="EB Garamond" w:hAnsi="EB Garamond" w:eastAsia="EB Garamond"/>
          <w:b w:val="0"/>
          <w:i w:val="0"/>
        </w:rPr>
        <w:t>Build an acceptance scenario table. Show the strategic difference between minimum completion condition, effective control, squeeze-out threshold and full ownership.</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2394"/>
        <w:gridCol w:w="2394"/>
        <w:gridCol w:w="2394"/>
        <w:gridCol w:w="2394"/>
      </w:tblGrid>
      <w:tr>
        <w:tc>
          <w:tcPr>
            <w:tcW w:type="dxa" w:w="232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Scenario</w:t>
            </w:r>
          </w:p>
        </w:tc>
        <w:tc>
          <w:tcPr>
            <w:tcW w:type="dxa" w:w="1701"/>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7"/>
              </w:rPr>
            </w:r>
            <w:r>
              <w:rPr>
                <w:rFonts w:ascii="EB Garamond" w:hAnsi="EB Garamond" w:eastAsia="EB Garamond"/>
                <w:b/>
                <w:i w:val="0"/>
                <w:sz w:val="17"/>
              </w:rPr>
              <w:t>Ownership / acceptance</w:t>
            </w:r>
          </w:p>
        </w:tc>
        <w:tc>
          <w:tcPr>
            <w:tcW w:type="dxa" w:w="317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Strategic meaning</w:t>
            </w:r>
          </w:p>
        </w:tc>
        <w:tc>
          <w:tcPr>
            <w:tcW w:type="dxa" w:w="1417"/>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Model output</w:t>
            </w:r>
          </w:p>
        </w:tc>
      </w:tr>
      <w:tr>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Foundation undertaking only</w:t>
            </w:r>
          </w:p>
        </w:tc>
        <w:tc>
          <w:tcPr>
            <w:tcW w:type="dxa" w:w="170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t>20.27%</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Important support but not enough to complete the offer</w:t>
            </w:r>
          </w:p>
        </w:tc>
        <w:tc>
          <w:tcPr>
            <w:tcW w:type="dxa" w:w="1417"/>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Foundation plus board / executives</w:t>
            </w:r>
          </w:p>
        </w:tc>
        <w:tc>
          <w:tcPr>
            <w:tcW w:type="dxa" w:w="170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t>20.57%</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Additional governance support signal</w:t>
            </w:r>
          </w:p>
        </w:tc>
        <w:tc>
          <w:tcPr>
            <w:tcW w:type="dxa" w:w="1417"/>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Minimum condition</w:t>
            </w:r>
          </w:p>
        </w:tc>
        <w:tc>
          <w:tcPr>
            <w:tcW w:type="dxa" w:w="170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t>67.00%</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completion condition in the case facts</w:t>
            </w:r>
          </w:p>
        </w:tc>
        <w:tc>
          <w:tcPr>
            <w:tcW w:type="dxa" w:w="1417"/>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Squeeze-out threshold</w:t>
            </w:r>
          </w:p>
        </w:tc>
        <w:tc>
          <w:tcPr>
            <w:tcW w:type="dxa" w:w="170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t>90.00%</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Path to compulsory acquisition and delisting</w:t>
            </w:r>
          </w:p>
        </w:tc>
        <w:tc>
          <w:tcPr>
            <w:tcW w:type="dxa" w:w="1417"/>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Final result after completion</w:t>
            </w:r>
          </w:p>
        </w:tc>
        <w:tc>
          <w:tcPr>
            <w:tcW w:type="dxa" w:w="170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t>96.54%</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Squeeze-out and delisting enabled</w:t>
            </w:r>
          </w:p>
        </w:tc>
        <w:tc>
          <w:tcPr>
            <w:tcW w:type="dxa" w:w="1417"/>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Full ownership</w:t>
            </w:r>
          </w:p>
        </w:tc>
        <w:tc>
          <w:tcPr>
            <w:tcW w:type="dxa" w:w="170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t>100.00%</w:t>
            </w:r>
          </w:p>
        </w:tc>
        <w:tc>
          <w:tcPr>
            <w:tcW w:type="dxa" w:w="317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No minority shareholders remaining</w:t>
            </w:r>
          </w:p>
        </w:tc>
        <w:tc>
          <w:tcPr>
            <w:tcW w:type="dxa" w:w="1417"/>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bl>
    <w:p>
      <w:r>
        <w:rPr>
          <w:rFonts w:ascii="EB Garamond" w:hAnsi="EB Garamond" w:eastAsia="EB Garamond"/>
          <w:b/>
          <w:i w:val="0"/>
        </w:rPr>
        <w:t>Conceptual prompt: Why does the deal become materially cleaner above 90% ownership than at 67% ownership?</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12. Task F, process timeline</w:t>
      </w:r>
    </w:p>
    <w:p>
      <w:r>
        <w:rPr>
          <w:rFonts w:ascii="EB Garamond" w:hAnsi="EB Garamond" w:eastAsia="EB Garamond"/>
          <w:b w:val="0"/>
          <w:i w:val="0"/>
        </w:rPr>
        <w:t>Create a public M&amp;A timeline. The purpose is to understand what happens when, not just calculate price.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70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Date / stage</w:t>
            </w:r>
          </w:p>
        </w:tc>
        <w:tc>
          <w:tcPr>
            <w:tcW w:type="dxa" w:w="345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Event</w:t>
            </w:r>
          </w:p>
        </w:tc>
        <w:tc>
          <w:tcPr>
            <w:tcW w:type="dxa" w:w="334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Analyst task</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10 Dec. 2024</w:t>
            </w:r>
          </w:p>
        </w:tc>
        <w:tc>
          <w:tcPr>
            <w:tcW w:type="dxa" w:w="345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Announcement of intended recommended voluntary offer</w:t>
            </w:r>
          </w:p>
        </w:tc>
        <w:tc>
          <w:tcPr>
            <w:tcW w:type="dxa" w:w="334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Prepare announcement fact pack and premium table</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8 Jan. 2025</w:t>
            </w:r>
          </w:p>
        </w:tc>
        <w:tc>
          <w:tcPr>
            <w:tcW w:type="dxa" w:w="345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document published after approval</w:t>
            </w:r>
          </w:p>
        </w:tc>
        <w:tc>
          <w:tcPr>
            <w:tcW w:type="dxa" w:w="334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Tie offer document numbers to model and source log</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period</w:t>
            </w:r>
          </w:p>
        </w:tc>
        <w:tc>
          <w:tcPr>
            <w:tcW w:type="dxa" w:w="345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Shareholders decide whether to tender shares</w:t>
            </w:r>
          </w:p>
        </w:tc>
        <w:tc>
          <w:tcPr>
            <w:tcW w:type="dxa" w:w="334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Track acceptances, undertakings and thresholds</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Extensions</w:t>
            </w:r>
          </w:p>
        </w:tc>
        <w:tc>
          <w:tcPr>
            <w:tcW w:type="dxa" w:w="345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period extended and final price adjusted to DKK 210.50</w:t>
            </w:r>
          </w:p>
        </w:tc>
        <w:tc>
          <w:tcPr>
            <w:tcW w:type="dxa" w:w="334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Update model, change log and revised premium table</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Final result</w:t>
            </w:r>
          </w:p>
        </w:tc>
        <w:tc>
          <w:tcPr>
            <w:tcW w:type="dxa" w:w="345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Nykredit reaches above 90%</w:t>
            </w:r>
          </w:p>
        </w:tc>
        <w:tc>
          <w:tcPr>
            <w:tcW w:type="dxa" w:w="334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Update threshold chart and squeeze-out analysis</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Completion and settlement</w:t>
            </w:r>
          </w:p>
        </w:tc>
        <w:tc>
          <w:tcPr>
            <w:tcW w:type="dxa" w:w="345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completed and settled</w:t>
            </w:r>
          </w:p>
        </w:tc>
        <w:tc>
          <w:tcPr>
            <w:tcW w:type="dxa" w:w="334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Prepare completion summary</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Compulsory acquisition / delisting</w:t>
            </w:r>
          </w:p>
        </w:tc>
        <w:tc>
          <w:tcPr>
            <w:tcW w:type="dxa" w:w="345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Remaining shares acquired and delisting requested</w:t>
            </w:r>
          </w:p>
        </w:tc>
        <w:tc>
          <w:tcPr>
            <w:tcW w:type="dxa" w:w="334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Prepare process summary and minority treatment note</w:t>
            </w:r>
          </w:p>
        </w:tc>
      </w:tr>
    </w:tbl>
    <w:p>
      <w:pPr>
        <w:pStyle w:val="Heading1"/>
      </w:pPr>
      <w:r>
        <w:rPr>
          <w:rFonts w:ascii="EB Garamond" w:hAnsi="EB Garamond" w:eastAsia="EB Garamond"/>
        </w:rPr>
        <w:t>13. Task G, stakeholder incentive map</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2394"/>
        <w:gridCol w:w="2394"/>
        <w:gridCol w:w="2394"/>
        <w:gridCol w:w="2394"/>
      </w:tblGrid>
      <w:tr>
        <w:tc>
          <w:tcPr>
            <w:tcW w:type="dxa" w:w="198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Stakeholder</w:t>
            </w:r>
          </w:p>
        </w:tc>
        <w:tc>
          <w:tcPr>
            <w:tcW w:type="dxa" w:w="198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Wants</w:t>
            </w:r>
          </w:p>
        </w:tc>
        <w:tc>
          <w:tcPr>
            <w:tcW w:type="dxa" w:w="198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Fears</w:t>
            </w:r>
          </w:p>
        </w:tc>
        <w:tc>
          <w:tcPr>
            <w:tcW w:type="dxa" w:w="260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Conflict to understand</w:t>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Nykredit</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60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Spar Nord board</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60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Spar Nord Foundation</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60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Minority shareholders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60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Spar Nord management and employees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60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Danish FSA</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60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Competition authority</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60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Financial adviser to target</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60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Financial adviser to offeror</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60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bl>
    <w:p>
      <w:pPr>
        <w:pStyle w:val="Heading1"/>
      </w:pPr>
      <w:r>
        <w:rPr>
          <w:rFonts w:ascii="EB Garamond" w:hAnsi="EB Garamond" w:eastAsia="EB Garamond"/>
        </w:rPr>
        <w:t>14. Required visuals</w:t>
      </w:r>
    </w:p>
    <w:p>
      <w:r>
        <w:rPr>
          <w:rFonts w:ascii="EB Garamond" w:hAnsi="EB Garamond" w:eastAsia="EB Garamond"/>
          <w:b w:val="0"/>
          <w:i w:val="0"/>
        </w:rPr>
        <w:t>Your Excel output must include at least two charts. Build them directly from output cells, not manually typed chart data.</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26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Visual</w:t>
            </w:r>
          </w:p>
        </w:tc>
        <w:tc>
          <w:tcPr>
            <w:tcW w:type="dxa" w:w="379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Required message</w:t>
            </w:r>
          </w:p>
        </w:tc>
        <w:tc>
          <w:tcPr>
            <w:tcW w:type="dxa" w:w="243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Minimum design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premium chart</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The offer represents a substantial premium to unaffected trading levels</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Bar chart showing premium to close, 3m VWAP and 6m VWAP</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Acceptance threshold chart</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Different thresholds have different legal and strategic meanings</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Stacked or horizontal chart showing 20.27%, 67%, 90%, 96.54% and 100%</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Optional value uplift bridge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price creates value uplift versus unaffected market cap</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Waterfall from reference market cap to offer equity value</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Optional process timeline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Public M&amp;A is a process with hard gates</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Timeline from announcement to delisting</w:t>
            </w:r>
          </w:p>
        </w:tc>
      </w:tr>
    </w:tbl>
    <w:p>
      <w:pPr>
        <w:pStyle w:val="Heading1"/>
      </w:pPr>
      <w:r>
        <w:rPr>
          <w:rFonts w:ascii="EB Garamond" w:hAnsi="EB Garamond" w:eastAsia="EB Garamond"/>
        </w:rPr>
        <w:t>15. 90_Checks requirements</w:t>
      </w:r>
    </w:p>
    <w:p>
      <w:pPr>
        <w:pStyle w:val="Checklist"/>
      </w:pPr>
      <w:r>
        <w:rPr>
          <w:rFonts w:ascii="EB Garamond" w:hAnsi="EB Garamond" w:eastAsia="EB Garamond"/>
        </w:rPr>
        <w:t xml:space="preserve">☐ </w:t>
      </w:r>
      <w:r>
        <w:rPr>
          <w:rFonts w:ascii="EB Garamond" w:hAnsi="EB Garamond" w:eastAsia="EB Garamond"/>
        </w:rPr>
        <w:t>Offer premium equals offer price divided by reference price minus one.</w:t>
      </w:r>
    </w:p>
    <w:p>
      <w:pPr>
        <w:pStyle w:val="Checklist"/>
      </w:pPr>
      <w:r>
        <w:rPr>
          <w:rFonts w:ascii="EB Garamond" w:hAnsi="EB Garamond" w:eastAsia="EB Garamond"/>
        </w:rPr>
        <w:t xml:space="preserve">☐ </w:t>
      </w:r>
      <w:r>
        <w:rPr>
          <w:rFonts w:ascii="EB Garamond" w:hAnsi="EB Garamond" w:eastAsia="EB Garamond"/>
        </w:rPr>
        <w:t>Initial offer premium to DKK 140.60 is approximately 49%.</w:t>
      </w:r>
    </w:p>
    <w:p>
      <w:pPr>
        <w:pStyle w:val="Checklist"/>
      </w:pPr>
      <w:r>
        <w:rPr>
          <w:rFonts w:ascii="EB Garamond" w:hAnsi="EB Garamond" w:eastAsia="EB Garamond"/>
        </w:rPr>
        <w:t xml:space="preserve">☐ </w:t>
      </w:r>
      <w:r>
        <w:rPr>
          <w:rFonts w:ascii="EB Garamond" w:hAnsi="EB Garamond" w:eastAsia="EB Garamond"/>
        </w:rPr>
        <w:t>Premium to three-month VWAP is approximately 58%.</w:t>
      </w:r>
    </w:p>
    <w:p>
      <w:pPr>
        <w:pStyle w:val="Checklist"/>
      </w:pPr>
      <w:r>
        <w:rPr>
          <w:rFonts w:ascii="EB Garamond" w:hAnsi="EB Garamond" w:eastAsia="EB Garamond"/>
        </w:rPr>
        <w:t xml:space="preserve">☐ </w:t>
      </w:r>
      <w:r>
        <w:rPr>
          <w:rFonts w:ascii="EB Garamond" w:hAnsi="EB Garamond" w:eastAsia="EB Garamond"/>
        </w:rPr>
        <w:t>Implied shares equal equity value divided by offer price.</w:t>
      </w:r>
    </w:p>
    <w:p>
      <w:pPr>
        <w:pStyle w:val="Checklist"/>
      </w:pPr>
      <w:r>
        <w:rPr>
          <w:rFonts w:ascii="EB Garamond" w:hAnsi="EB Garamond" w:eastAsia="EB Garamond"/>
        </w:rPr>
        <w:t xml:space="preserve">☐ </w:t>
      </w:r>
      <w:r>
        <w:rPr>
          <w:rFonts w:ascii="EB Garamond" w:hAnsi="EB Garamond" w:eastAsia="EB Garamond"/>
        </w:rPr>
        <w:t>Reference market cap equals implied shares multiplied by unaffected closing price.</w:t>
      </w:r>
    </w:p>
    <w:p>
      <w:pPr>
        <w:pStyle w:val="Checklist"/>
      </w:pPr>
      <w:r>
        <w:rPr>
          <w:rFonts w:ascii="EB Garamond" w:hAnsi="EB Garamond" w:eastAsia="EB Garamond"/>
        </w:rPr>
        <w:t xml:space="preserve">☐ </w:t>
      </w:r>
      <w:r>
        <w:rPr>
          <w:rFonts w:ascii="EB Garamond" w:hAnsi="EB Garamond" w:eastAsia="EB Garamond"/>
        </w:rPr>
        <w:t>Value uplift equals offer equity value minus reference market cap.</w:t>
      </w:r>
    </w:p>
    <w:p>
      <w:pPr>
        <w:pStyle w:val="Checklist"/>
      </w:pPr>
      <w:r>
        <w:rPr>
          <w:rFonts w:ascii="EB Garamond" w:hAnsi="EB Garamond" w:eastAsia="EB Garamond"/>
        </w:rPr>
        <w:t xml:space="preserve">☐ </w:t>
      </w:r>
      <w:r>
        <w:rPr>
          <w:rFonts w:ascii="EB Garamond" w:hAnsi="EB Garamond" w:eastAsia="EB Garamond"/>
        </w:rPr>
        <w:t>Foundation undertaking and management / board undertaking sum correctly.</w:t>
      </w:r>
    </w:p>
    <w:p>
      <w:pPr>
        <w:pStyle w:val="Checklist"/>
      </w:pPr>
      <w:r>
        <w:rPr>
          <w:rFonts w:ascii="EB Garamond" w:hAnsi="EB Garamond" w:eastAsia="EB Garamond"/>
        </w:rPr>
        <w:t xml:space="preserve">☐ </w:t>
      </w:r>
      <w:r>
        <w:rPr>
          <w:rFonts w:ascii="EB Garamond" w:hAnsi="EB Garamond" w:eastAsia="EB Garamond"/>
        </w:rPr>
        <w:t>Gap to 67% and gap to 90% calculate correctly.</w:t>
      </w:r>
    </w:p>
    <w:p>
      <w:pPr>
        <w:pStyle w:val="Checklist"/>
      </w:pPr>
      <w:r>
        <w:rPr>
          <w:rFonts w:ascii="EB Garamond" w:hAnsi="EB Garamond" w:eastAsia="EB Garamond"/>
        </w:rPr>
        <w:t xml:space="preserve">☐ </w:t>
      </w:r>
      <w:r>
        <w:rPr>
          <w:rFonts w:ascii="EB Garamond" w:hAnsi="EB Garamond" w:eastAsia="EB Garamond"/>
        </w:rPr>
        <w:t>Final ownership of 96.54% is above squeeze-out threshold.</w:t>
      </w:r>
    </w:p>
    <w:p>
      <w:pPr>
        <w:pStyle w:val="Checklist"/>
      </w:pPr>
      <w:r>
        <w:rPr>
          <w:rFonts w:ascii="EB Garamond" w:hAnsi="EB Garamond" w:eastAsia="EB Garamond"/>
        </w:rPr>
        <w:t xml:space="preserve">☐ </w:t>
      </w:r>
      <w:r>
        <w:rPr>
          <w:rFonts w:ascii="EB Garamond" w:hAnsi="EB Garamond" w:eastAsia="EB Garamond"/>
        </w:rPr>
        <w:t>Dashboard cells link to output lines and contain no manual calculations.</w:t>
      </w:r>
    </w:p>
    <w:p>
      <w:pPr>
        <w:pStyle w:val="Checklist"/>
      </w:pPr>
      <w:r>
        <w:rPr>
          <w:rFonts w:ascii="EB Garamond" w:hAnsi="EB Garamond" w:eastAsia="EB Garamond"/>
        </w:rPr>
        <w:t xml:space="preserve">☐ </w:t>
      </w:r>
      <w:r>
        <w:rPr>
          <w:rFonts w:ascii="EB Garamond" w:hAnsi="EB Garamond" w:eastAsia="EB Garamond"/>
        </w:rPr>
        <w:t>Any book value, earnings or capital ratio inputs are sourced separately.</w:t>
      </w:r>
    </w:p>
    <w:p>
      <w:pPr>
        <w:pStyle w:val="Heading1"/>
      </w:pPr>
      <w:r>
        <w:rPr>
          <w:rFonts w:ascii="EB Garamond" w:hAnsi="EB Garamond" w:eastAsia="EB Garamond"/>
        </w:rPr>
        <w:t>16. Interpretation prompts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38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Prompt</w:t>
            </w:r>
          </w:p>
        </w:tc>
        <w:tc>
          <w:tcPr>
            <w:tcW w:type="dxa" w:w="6123"/>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answer should address</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a recommended offer?</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Board support, credibility, process control and shareholder acceptance</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an all-cash offer?</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Certainty of value, simplicity and direct comparability to unaffected price</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premium analysis?</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Shareholder attractiveness and communication, but not full fairness proof</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67%?</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Minimum condition / completion threshold in the offer structure</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90%?</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Squeeze-out, delisting and cleaner integration path</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regulatory approvals?</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Banking consolidation affects competition, prudential supervision and financial stability</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Main junior mistake?</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Treating public M&amp;A as only a price exercise and ignoring thresholds, approvals and process</w:t>
            </w:r>
          </w:p>
        </w:tc>
      </w:tr>
    </w:tbl>
    <w:p>
      <w:pPr>
        <w:pStyle w:val="Heading1"/>
      </w:pPr>
      <w:r>
        <w:rPr>
          <w:rFonts w:ascii="EB Garamond" w:hAnsi="EB Garamond" w:eastAsia="EB Garamond"/>
        </w:rPr>
        <w:t>17. 8-line Associate email</w:t>
      </w:r>
    </w:p>
    <w:p>
      <w:r>
        <w:rPr>
          <w:rFonts w:ascii="EB Garamond" w:hAnsi="EB Garamond" w:eastAsia="EB Garamond"/>
          <w:b w:val="0"/>
          <w:i w:val="0"/>
        </w:rPr>
        <w:t>Write a maximum 8-line email. It must follow this structure: conclusion, two evidence lines, threshold/process point, downside/risk, decision/ask and next step.</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680"/>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Line</w:t>
            </w:r>
          </w:p>
        </w:tc>
        <w:tc>
          <w:tcPr>
            <w:tcW w:type="dxa" w:w="283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Required content</w:t>
            </w:r>
          </w:p>
        </w:tc>
        <w:tc>
          <w:tcPr>
            <w:tcW w:type="dxa" w:w="4989"/>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draft</w:t>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1</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Conclusion</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Premium evidence</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3</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Equity value / value uplift evidence</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4</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Acceptance / threshold point</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5</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Board / process defensibility point</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6</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Main risk / downside</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7</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Decision / ask</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8</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Next step</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bl>
    <w:p>
      <w:pPr>
        <w:pStyle w:val="Heading1"/>
      </w:pPr>
      <w:r>
        <w:rPr>
          <w:rFonts w:ascii="EB Garamond" w:hAnsi="EB Garamond" w:eastAsia="EB Garamond"/>
        </w:rPr>
        <w:t>18. Gold-standard intuition</w:t>
      </w:r>
    </w:p>
    <w:p>
      <w:r>
        <w:rPr>
          <w:rFonts w:ascii="EB Garamond" w:hAnsi="EB Garamond" w:eastAsia="EB Garamond"/>
          <w:b w:val="0"/>
          <w:i w:val="0"/>
        </w:rPr>
        <w:t>A public takeover offer is not just a valuation exercise. It is a combination of price, process, recommendation, shareholder acceptance, regulatory approval and execution certainty. The buyer must offer a price high enough to attract shareholders and defensible enough for the board to recommend, while also reaching the thresholds required for completion, integration and ultimately delisting.</w:t>
      </w:r>
    </w:p>
    <w:p>
      <w:r>
        <w:rPr>
          <w:rFonts w:ascii="EB Garamond" w:hAnsi="EB Garamond" w:eastAsia="EB Garamond"/>
          <w:b w:val="0"/>
          <w:i w:val="0"/>
        </w:rPr>
        <w:t>In this case, the commercial question is not simply whether DKK 210 per share is above the unaffected share price. The deeper question is whether the price, shareholder support, regulatory path and threshold mechanics create a credible route to control and full integration.</w:t>
      </w:r>
    </w:p>
    <w:p>
      <w:pPr>
        <w:pStyle w:val="Heading1"/>
      </w:pPr>
      <w:r>
        <w:rPr>
          <w:rFonts w:ascii="EB Garamond" w:hAnsi="EB Garamond" w:eastAsia="EB Garamond"/>
        </w:rPr>
        <w:t>19. Review and critique rubric</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81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Area</w:t>
            </w:r>
          </w:p>
        </w:tc>
        <w:tc>
          <w:tcPr>
            <w:tcW w:type="dxa" w:w="351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Pass standard</w:t>
            </w:r>
          </w:p>
        </w:tc>
        <w:tc>
          <w:tcPr>
            <w:tcW w:type="dxa" w:w="323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Fail indicator</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Mechanics</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Premium, equity value and acceptance thresholds calculate correctly</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Wrong reference price, share count or threshold logic</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Conceptual understanding</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Explains public M&amp;A as price plus process plus acceptance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Describes the offer as only a valuation event</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Bank valuation</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Explains why bank valuation differs from industrial EV/EBITDA logic</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Applies EV/EBITDA mechanically to a bank</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Stakeholders</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Maps offeror, board, foundation, minorities and regulators concretely</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Generic stakeholder comments</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Visuals</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Two clean charts from linked output cells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Manual chart data or unclear message</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QC</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90_Checks green and traceable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Checks absent or superficial</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Communication</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8-line email gives conclusion, evidence, risk and ask</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Email repeats numbers without interpretation</w:t>
            </w:r>
          </w:p>
        </w:tc>
      </w:tr>
    </w:tbl>
    <w:p>
      <w:pPr>
        <w:pStyle w:val="Heading1"/>
      </w:pPr>
      <w:r>
        <w:rPr>
          <w:rFonts w:ascii="EB Garamond" w:hAnsi="EB Garamond" w:eastAsia="EB Garamond"/>
        </w:rPr>
        <w:t>20. Glossary for this case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26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Term</w:t>
            </w:r>
          </w:p>
        </w:tc>
        <w:tc>
          <w:tcPr>
            <w:tcW w:type="dxa" w:w="6236"/>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Practical definition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Voluntary public tender offer</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 made to all shareholders of a listed company to acquire their shares, usually subject to conditions.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Recommended offer</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 supported by the target board, often after assessing price, process and terms.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 premium</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Percentage by which the offer price exceeds a reference price such as unaffected close or VWAP.</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Unaffected price</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Share price before announcement or speculation materially affected trading.</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VWAP</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Volume-weighted average price over a period, used as a smoother reference than a single close.</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Irrevocable undertaking</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Binding commitment by a shareholder to accept the offer, usually subject to conditions.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Minimum acceptance condition</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Ownership / acceptance level required for the offer to complete.</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Squeeze-out</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Compulsory acquisition of remaining minority shares once legal threshold is met.</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Delisting</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Removal of shares from trading and official listing on the exchange.</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 document</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Regulated document setting out terms, conditions and process of the offer.</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Fairness</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Whether financial terms are fair from a shareholder perspective, based on valuation and context.</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Board recommendation</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Board statement supporting or opposing the offer after considering shareholders’ interests.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Regulatory approval</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Approvals required from authorities such as financial supervisory or competition authorities.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P/BV</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Price to book value, commonly used for bank valuation.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CET1 ratio</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Core equity tier 1 capital ratio, a key bank capital measure.</w:t>
            </w:r>
          </w:p>
        </w:tc>
      </w:tr>
    </w:tbl>
    <w:p>
      <w:pPr>
        <w:pStyle w:val="Heading1"/>
      </w:pPr>
      <w:r>
        <w:rPr>
          <w:rFonts w:ascii="EB Garamond" w:hAnsi="EB Garamond" w:eastAsia="EB Garamond"/>
        </w:rPr>
        <w:t>21. Level up</w:t>
      </w:r>
    </w:p>
    <w:p>
      <w:r>
        <w:rPr>
          <w:rFonts w:ascii="EB Garamond" w:hAnsi="EB Garamond" w:eastAsia="EB Garamond"/>
          <w:b w:val="0"/>
          <w:i w:val="0"/>
        </w:rPr>
        <w:t>Next difficulty: add competing bid scenario, revised offer pricing, dividend adjustment, regulatory delay, alternative standalone valuation and a fairness-style valuation range using P/BV and P/E. The next version should answer: what would need to happen for the board to reconsider its recommendation?</w:t>
      </w:r>
    </w:p>
    <w:p>
      <w:pPr>
        <w:pStyle w:val="Heading1"/>
      </w:pPr>
      <w:r>
        <w:rPr>
          <w:rFonts w:ascii="EB Garamond" w:hAnsi="EB Garamond" w:eastAsia="EB Garamond"/>
        </w:rPr>
        <w:t>22. Source notes</w:t>
      </w:r>
    </w:p>
    <w:p>
      <w:r>
        <w:rPr>
          <w:rFonts w:ascii="EB Garamond" w:hAnsi="EB Garamond" w:eastAsia="EB Garamond"/>
          <w:b w:val="0"/>
          <w:i w:val="0"/>
        </w:rPr>
        <w:t>Use these sources only as fact anchors. Your model should translate public information into a structured analyst deliverable.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94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Source</w:t>
            </w:r>
          </w:p>
        </w:tc>
        <w:tc>
          <w:tcPr>
            <w:tcW w:type="dxa" w:w="5556"/>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Relevant data</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Nykredit / Spar Nord announcement, 10 Dec. 2024</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Intended recommended voluntary public offer, DKK 210 offer price, approx. DKK 24.7bn equity value, premium references, undertakings and 67% minimum condition.</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Nykredit offer publication, 8 Jan. 2025</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Published offer document and formal tender offer terms.</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Spar Nord investor FAQ, 28 May 2025</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Final offer price of DKK 210.50 and completion with 96.54% ownership excluding treasury shares.</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Spar Nord announcement, 25 Jun. 2025</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Compulsory acquisition of remaining minority shares and request for delisting.</w:t>
            </w:r>
          </w:p>
        </w:tc>
      </w:tr>
    </w:tbl>
    <w:sectPr w:rsidR="00FC693F" w:rsidRPr="0006063C" w:rsidSect="00034616">
      <w:headerReference w:type="default" r:id="rId9"/>
      <w:footerReference w:type="default" r:id="rId10"/>
      <w:pgSz w:w="12240" w:h="15840"/>
      <w:pgMar w:top="1361" w:right="1332" w:bottom="1304" w:left="1332" w:header="624"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eastAsia="EB Garamond"/>
        <w:i w:val="0"/>
      </w:rPr>
      <w:t>Analyst IB Prep · Mergers and Acquisitions / ECM · Print-ready exercise 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EB Garamond" w:hAnsi="EB Garamond" w:eastAsia="EB Garamond"/>
        <w:i w:val="0"/>
      </w:rPr>
      <w:t>Case 3 · Nykredit / Spar Nord Public Takeover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before="0"/>
    </w:pPr>
    <w:rPr>
      <w:rFonts w:ascii="EB Garamond" w:hAnsi="EB Garamond" w:eastAsia="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EB Garamond" w:hAnsi="EB Garamond" w:eastAsia="EB Garamond"/>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EB Garamond" w:hAnsi="EB Garamond" w:eastAsia="EB Garamond"/>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EB Garamond" w:hAnsi="EB Garamond" w:eastAsia="EB Garamon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pPr>
      <w:spacing w:after="160"/>
    </w:pPr>
    <w:rPr>
      <w:rFonts w:ascii="EB Garamond" w:hAnsi="EB Garamond" w:eastAsia="EB Garamond"/>
      <w:caps/>
      <w:sz w:val="18"/>
    </w:rPr>
  </w:style>
  <w:style w:type="paragraph" w:customStyle="1" w:styleId="Instruction">
    <w:name w:val="Instruction"/>
    <w:pPr>
      <w:spacing w:before="40" w:after="120"/>
      <w:ind w:left="198"/>
    </w:pPr>
    <w:rPr>
      <w:rFonts w:ascii="EB Garamond" w:hAnsi="EB Garamond" w:eastAsia="EB Garamond"/>
      <w:i/>
      <w:sz w:val="21"/>
    </w:rPr>
  </w:style>
  <w:style w:type="paragraph" w:customStyle="1" w:styleId="Checklist">
    <w:name w:val="Checklist"/>
    <w:pPr>
      <w:spacing w:after="40"/>
      <w:ind w:left="227"/>
    </w:pPr>
    <w:rPr>
      <w:rFonts w:ascii="EB Garamond" w:hAnsi="EB Garamond" w:eastAsia="EB Garamon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