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
        <w:jc w:val="center"/>
      </w:pPr>
      <w:r>
        <w:rPr>
          <w:rFonts w:ascii="EB Garamond" w:hAnsi="EB Garamond" w:eastAsia="EB Garamond"/>
        </w:rPr>
        <w:t>Analyst IB Prep · M&amp;A / ECM / Private Equity</w:t>
      </w:r>
    </w:p>
    <w:p>
      <w:pPr>
        <w:spacing w:before="1760"/>
        <w:jc w:val="center"/>
      </w:pPr>
      <w:r>
        <w:rPr>
          <w:rFonts w:ascii="EB Garamond" w:hAnsi="EB Garamond" w:eastAsia="EB Garamond"/>
          <w:b/>
          <w:sz w:val="36"/>
        </w:rPr>
        <w:t>Case 5</w:t>
      </w:r>
    </w:p>
    <w:p>
      <w:pPr>
        <w:jc w:val="center"/>
      </w:pPr>
      <w:r>
        <w:rPr>
          <w:rFonts w:ascii="EB Garamond" w:hAnsi="EB Garamond" w:eastAsia="EB Garamond"/>
          <w:b/>
          <w:sz w:val="48"/>
        </w:rPr>
        <w:t>Adevinta Take-Private LBO</w:t>
      </w:r>
    </w:p>
    <w:p>
      <w:pPr>
        <w:jc w:val="center"/>
      </w:pPr>
      <w:r>
        <w:rPr>
          <w:rFonts w:ascii="EB Garamond" w:hAnsi="EB Garamond" w:eastAsia="EB Garamond"/>
          <w:i/>
          <w:sz w:val="24"/>
        </w:rPr>
        <w:t>Private equity ability-to-pay, leverage, rollover, cash sweep, exit optionality, MOIC and IRR</w:t>
      </w:r>
    </w:p>
    <w:p>
      <w:pPr>
        <w:spacing w:before="600"/>
        <w:jc w:val="center"/>
      </w:pPr>
      <w:r>
        <w:rPr>
          <w:rFonts w:ascii="EB Garamond" w:hAnsi="EB Garamond" w:eastAsia="EB Garamond"/>
          <w:sz w:val="24"/>
        </w:rPr>
        <w:t>Opgavesæt til praktisk og konceptuel sponsor-træning</w:t>
      </w:r>
    </w:p>
    <w:p>
      <w:pPr>
        <w:jc w:val="center"/>
      </w:pPr>
      <w:r>
        <w:rPr>
          <w:rFonts w:ascii="EB Garamond" w:hAnsi="EB Garamond" w:eastAsia="EB Garamond"/>
          <w:i/>
          <w:sz w:val="20"/>
        </w:rPr>
        <w:t>Current level: Level 1.5 · Foundation to Deal-ready</w:t>
      </w:r>
    </w:p>
    <w:p>
      <w:r>
        <w:br w:type="page"/>
      </w:r>
    </w:p>
    <w:p>
      <w:pPr>
        <w:pStyle w:val="Heading1"/>
      </w:pPr>
      <w:r>
        <w:rPr>
          <w:rFonts w:ascii="EB Garamond" w:hAnsi="EB Garamond" w:eastAsia="EB Garamond"/>
        </w:rPr>
        <w:t>1. Associate-style task brief</w:t>
      </w:r>
    </w:p>
    <w:p>
      <w:r>
        <w:rPr>
          <w:rFonts w:ascii="EB Garamond" w:hAnsi="EB Garamond" w:eastAsia="EB Garamond"/>
          <w:b w:val="0"/>
          <w:i w:val="0"/>
        </w:rPr>
        <w:t>Build a simplified LBO model for the Adevinta take-private by the Permira and Blackstone-led consortium. I want to understand what a financial sponsor would need to believe to make the transaction work: entry valuation, leverage, equity cheque, rollover, EBITDA growth, debt paydown, exit multiple, MOIC and IRR.</w:t>
      </w:r>
    </w:p>
    <w:p>
      <w:pPr>
        <w:pStyle w:val="Instruction"/>
      </w:pPr>
      <w:r>
        <w:rPr>
          <w:rFonts w:ascii="EB Garamond" w:hAnsi="EB Garamond" w:eastAsia="EB Garamond"/>
          <w:b w:val="0"/>
          <w:i w:val="0"/>
        </w:rPr>
        <w:t>Deadline: 4.0 hours. Output: Excel workbook, two charts, a 90_Checks tab, a downside case, a value-creation bridge and an 8-line Associate email.</w:t>
      </w:r>
    </w:p>
    <w:p>
      <w:pPr>
        <w:pStyle w:val="Heading1"/>
      </w:pPr>
      <w:r>
        <w:rPr>
          <w:rFonts w:ascii="EB Garamond" w:hAnsi="EB Garamond" w:eastAsia="EB Garamond"/>
        </w:rPr>
        <w:t>2. Case background and data pack</w:t>
      </w:r>
    </w:p>
    <w:p>
      <w:r>
        <w:rPr>
          <w:rFonts w:ascii="EB Garamond" w:hAnsi="EB Garamond" w:eastAsia="EB Garamond"/>
          <w:b w:val="0"/>
          <w:i w:val="0"/>
        </w:rPr>
        <w:t>A consortium led by Permira and Blackstone announced a voluntary tender offer for Adevinta in November 2023 through Aurelia Bidco Norway AS. The offer price was NOK 115 per Adevinta share, corresponding to an equity value of approximately NOK 141 billion. The deal was supported by major shareholders including Schibsted and eBay, with Schibsted selling part of its stake for cash and rolling a material stake into the new ownership structure.</w:t>
      </w:r>
    </w:p>
    <w:p>
      <w:pPr>
        <w:pStyle w:val="Instruction"/>
      </w:pPr>
      <w:r>
        <w:rPr>
          <w:rFonts w:ascii="EB Garamond" w:hAnsi="EB Garamond" w:eastAsia="EB Garamond"/>
          <w:b w:val="0"/>
          <w:i w:val="0"/>
        </w:rPr>
        <w:t>This case is designed as a training LBO, not as a reconstruction of the actual financing package. Where actual debt terms are not public, you must use clearly labelled assumptions and run sensitivities.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215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5"/>
              </w:rPr>
            </w:r>
            <w:r>
              <w:rPr>
                <w:rFonts w:ascii="EB Garamond" w:hAnsi="EB Garamond" w:eastAsia="EB Garamond"/>
                <w:b/>
                <w:i w:val="0"/>
                <w:sz w:val="15"/>
              </w:rPr>
              <w:t>Item</w:t>
            </w:r>
          </w:p>
        </w:tc>
        <w:tc>
          <w:tcPr>
            <w:tcW w:type="dxa" w:w="328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5"/>
              </w:rPr>
            </w:r>
            <w:r>
              <w:rPr>
                <w:rFonts w:ascii="EB Garamond" w:hAnsi="EB Garamond" w:eastAsia="EB Garamond"/>
                <w:b/>
                <w:i w:val="0"/>
                <w:sz w:val="15"/>
              </w:rPr>
              <w:t>Case fact</w:t>
            </w:r>
          </w:p>
        </w:tc>
        <w:tc>
          <w:tcPr>
            <w:tcW w:type="dxa" w:w="306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5"/>
              </w:rPr>
            </w:r>
            <w:r>
              <w:rPr>
                <w:rFonts w:ascii="EB Garamond" w:hAnsi="EB Garamond" w:eastAsia="EB Garamond"/>
                <w:b/>
                <w:i w:val="0"/>
                <w:sz w:val="15"/>
              </w:rPr>
              <w:t>Use in model</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Target</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Adevinta ASA</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Public-to-private LBO target</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Buyer group</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Consortium led by Permira and Blackstone, with General Atlantic and TCV</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Sponsor / investor group</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Bid vehicle</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Aurelia Bidco Norway AS</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Acquisition vehicle</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Offer type</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Voluntary tender offer for ordinary Class A shares</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Public M&amp;A mechanism</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Offer price</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NOK 115 per share</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Entry equity price</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Implied equity value</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Approx. NOK 141bn</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Purchase equity value</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Premium reference</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54% to 3-month VWAP of NOK 74.58; 51% to 6-month VWAP of NOK 76.28</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Offer premium analysis</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Major shareholder support</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eBay, Schibsted and Permira supported the offer, representing approx. 72.3% of share capital</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Deal certainty / acceptance path</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Minimum acceptance</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90% including shares controlled by Permira, eBay and Schibsted</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Squeeze-out / control threshold logic</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Schibsted stake</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28.1% pre-transaction</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Rollover and cash sale mechanics</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Schibsted cash sale</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60% of its stake for approx. NOK 24bn cash</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Seller monetisation</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Schibsted rollover</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Remaining 11.1% of Adevinta shares reinvested, valued at approx. NOK 16bn</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Rollover equity</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Schibsted post-deal indirect ownership</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Approx. 13.6% in the Offeror</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Rollover ownership</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Regulatory / timing</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Completion expected after regulatory approvals; offer completed in May 2024</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Completion risk / timing</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Post-take-private exit lever</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Adevinta Spain sale to EQT, around EUR 2bn enterprise value</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Asset sale / refocusing case</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Potential exit lever</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Mobile.de potential IPO, reportedly up to EUR 10bn valuation</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Exit optionality / dual track</w:t>
            </w:r>
          </w:p>
        </w:tc>
      </w:tr>
      <w:tr>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Mobile.de 2023 revenue / EBITDA</w:t>
            </w:r>
          </w:p>
        </w:tc>
        <w:tc>
          <w:tcPr>
            <w:tcW w:type="dxa" w:w="328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Approx. EUR 400m revenue and EUR 240m EBITDA</w:t>
            </w:r>
          </w:p>
        </w:tc>
        <w:tc>
          <w:tcPr>
            <w:tcW w:type="dxa" w:w="3061"/>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Segment valuation sensitivity</w:t>
            </w:r>
          </w:p>
        </w:tc>
      </w:tr>
    </w:tbl>
    <w:p>
      <w:r>
        <w:br w:type="page"/>
      </w:r>
    </w:p>
    <w:p>
      <w:pPr>
        <w:pStyle w:val="Heading1"/>
      </w:pPr>
      <w:r>
        <w:rPr>
          <w:rFonts w:ascii="EB Garamond" w:hAnsi="EB Garamond" w:eastAsia="EB Garamond"/>
        </w:rPr>
        <w:t>3. Learning objectives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170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Objective</w:t>
            </w:r>
          </w:p>
        </w:tc>
        <w:tc>
          <w:tcPr>
            <w:tcW w:type="dxa" w:w="362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What you must learn</w:t>
            </w:r>
          </w:p>
        </w:tc>
        <w:tc>
          <w:tcPr>
            <w:tcW w:type="dxa" w:w="323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Observable output</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Conceptual</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Understand LBO as ability-to-pay, not intrinsic value</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Clear 60-second sponsor explanation</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Technical</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Build sources and uses, operating model, debt schedule and exit returns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Correct LBO mechanics</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Sponsor logic</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Explain how entry multiple, leverage, growth, cash sweep and exit multiple drive returns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Value creation bridge</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Public-to-private</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Connect tender offer mechanics to PE control and delisting logic</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Acceptance and squeeze-out table</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Rollover</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Explain why a seller may take cash today and retain upside later</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Schibsted rollover analysis</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Exit optionality</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Understand asset sales, IPO and dual-track exit routes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Exit scenario sensitivity</w:t>
            </w:r>
          </w:p>
        </w:tc>
      </w:tr>
      <w:tr>
        <w:tc>
          <w:tcPr>
            <w:tcW w:type="dxa" w:w="170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QC</w:t>
            </w:r>
          </w:p>
        </w:tc>
        <w:tc>
          <w:tcPr>
            <w:tcW w:type="dxa" w:w="36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Avoid EV/equity, sponsor equity and IRR calculation errors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90_Checks tab with pass/fail logic</w:t>
            </w:r>
          </w:p>
        </w:tc>
      </w:tr>
    </w:tbl>
    <w:p>
      <w:pPr>
        <w:pStyle w:val="Heading1"/>
      </w:pPr>
      <w:r>
        <w:rPr>
          <w:rFonts w:ascii="EB Garamond" w:hAnsi="EB Garamond" w:eastAsia="EB Garamond"/>
        </w:rPr>
        <w:t>4. Deep understanding framework</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4788"/>
        <w:gridCol w:w="4788"/>
      </w:tblGrid>
      <w:tr>
        <w:tc>
          <w:tcPr>
            <w:tcW w:type="dxa" w:w="289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Question</w:t>
            </w:r>
          </w:p>
        </w:tc>
        <w:tc>
          <w:tcPr>
            <w:tcW w:type="dxa" w:w="5613"/>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Specific application to Adevinta</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1. What are we trying to solve?</w:t>
            </w:r>
          </w:p>
        </w:tc>
        <w:tc>
          <w:tcPr>
            <w:tcW w:type="dxa" w:w="5613"/>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Can a sponsor group pay NOK 115 per share, use debt and rollover capital, improve the business or portfolio structure, repay debt and exit at a return that meets fund requirements?</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2. Who wants what?</w:t>
            </w:r>
          </w:p>
        </w:tc>
        <w:tc>
          <w:tcPr>
            <w:tcW w:type="dxa" w:w="5613"/>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Sponsors want IRR and control; selling shareholders want price and certainty; rollover shareholders want cash plus upside; lenders want downside protection; management wants resources and incentives.</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3. What is the technical mechanism?</w:t>
            </w:r>
          </w:p>
        </w:tc>
        <w:tc>
          <w:tcPr>
            <w:tcW w:type="dxa" w:w="5613"/>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Public tender offer, equity purchase price, sources and uses, debt financing, rollover equity, cash sweep, exit valuation, MOIC and IRR.</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4. What would the analyst build?</w:t>
            </w:r>
          </w:p>
        </w:tc>
        <w:tc>
          <w:tcPr>
            <w:tcW w:type="dxa" w:w="5613"/>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Entry valuation, offer premium, sources and uses, debt schedule, operating case, exit returns, value creation bridge, IRR sensitivity and 90_Checks.</w:t>
            </w:r>
          </w:p>
        </w:tc>
      </w:tr>
      <w:tr>
        <w:tc>
          <w:tcPr>
            <w:tcW w:type="dxa" w:w="289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5. What are the common junior mistakes?</w:t>
            </w:r>
          </w:p>
        </w:tc>
        <w:tc>
          <w:tcPr>
            <w:tcW w:type="dxa" w:w="5613"/>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Using enterprise value as sponsor equity, ignoring rollover, calculating IRR on EV, forgetting debt paydown, assuming multiple expansion without evidence and missing downside leverage risk.</w:t>
            </w:r>
          </w:p>
        </w:tc>
      </w:tr>
    </w:tbl>
    <w:p>
      <w:pPr>
        <w:pStyle w:val="Heading1"/>
      </w:pPr>
      <w:r>
        <w:rPr>
          <w:rFonts w:ascii="EB Garamond" w:hAnsi="EB Garamond" w:eastAsia="EB Garamond"/>
        </w:rPr>
        <w:t>5. Excel build instructions</w:t>
      </w:r>
    </w:p>
    <w:p>
      <w:r>
        <w:rPr>
          <w:rFonts w:ascii="EB Garamond" w:hAnsi="EB Garamond" w:eastAsia="EB Garamond"/>
          <w:b w:val="0"/>
          <w:i w:val="0"/>
        </w:rPr>
        <w:t>Build one workbook with the tabs below. The model must separate public offer mechanics from sponsor return mechanics. Keep all assumptions visible in 01_Inputs. No calculations should sit inside the dashboard.</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187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Tab</w:t>
            </w:r>
          </w:p>
        </w:tc>
        <w:tc>
          <w:tcPr>
            <w:tcW w:type="dxa" w:w="238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Purpose</w:t>
            </w:r>
          </w:p>
        </w:tc>
        <w:tc>
          <w:tcPr>
            <w:tcW w:type="dxa" w:w="4252"/>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Required blocks</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00_Cover</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Metadata and change log</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Version, owner, sources, case scope, open items</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01_Inputs</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Manual inputs and assumptions</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Offer price, shares, EBITDA, net debt, leverage, interest, growth, exit multiple</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02_Offer_Premium</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Public M&amp;A entry logic</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Unaffected VWAPs, offer price, premium, equity purchase price</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03_Sources_Uses</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Transaction funding</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Purchase equity, refinancing, fees, new debt, sponsor equity, rollover equity</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04_Operating_Model</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5-year operating case</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Revenue / EBITDA growth, EBITDA, capex, tax, FCF before debt paydown</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05_Debt_Schedule</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Debt repayment and interest</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Opening debt, cash sweep, interest, closing debt, net debt / EBITDA</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06_Exit_Returns</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Sponsor returns</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Exit EV, exit equity value, MOIC, IRR, value creation attribution</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07_Output_Dashboard</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Decision dashboard</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Key outputs, two charts, 60-second sponsor explanation</w:t>
            </w:r>
          </w:p>
        </w:tc>
      </w:tr>
      <w:tr>
        <w:tc>
          <w:tcPr>
            <w:tcW w:type="dxa" w:w="187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90_Checks</w:t>
            </w:r>
          </w:p>
        </w:tc>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QC hub</w:t>
            </w:r>
          </w:p>
        </w:tc>
        <w:tc>
          <w:tcPr>
            <w:tcW w:type="dxa" w:w="4252"/>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Sources=uses, debt schedule, IRR, EV/equity bridge, no missing inputs</w:t>
            </w:r>
          </w:p>
        </w:tc>
      </w:tr>
    </w:tbl>
    <w:p>
      <w:pPr>
        <w:pStyle w:val="Heading1"/>
      </w:pPr>
      <w:r>
        <w:rPr>
          <w:rFonts w:ascii="EB Garamond" w:hAnsi="EB Garamond" w:eastAsia="EB Garamond"/>
        </w:rPr>
        <w:t>6. Core calculations</w:t>
      </w:r>
    </w:p>
    <w:p>
      <w:r>
        <w:rPr>
          <w:rFonts w:ascii="EB Garamond" w:hAnsi="EB Garamond" w:eastAsia="EB Garamond"/>
          <w:b w:val="0"/>
          <w:i w:val="0"/>
        </w:rPr>
        <w:t>Build the following formulas. Use case facts where available and explicitly labelled training assumptions where actual financing terms are not public.</w:t>
      </w:r>
    </w:p>
    <w:p>
      <w:pPr>
        <w:spacing w:before="100" w:after="140"/>
        <w:jc w:val="center"/>
      </w:pPr>
      <w:r>
        <w:rPr>
          <w:rFonts w:ascii="EB Garamond" w:hAnsi="EB Garamond" w:eastAsia="EB Garamond"/>
          <w:i/>
          <w:sz w:val="22"/>
        </w:rPr>
        <w:t>Equity purchase price: Equity purchase price = offer price × fully diluted shares</w:t>
      </w:r>
    </w:p>
    <w:p>
      <w:pPr>
        <w:spacing w:before="100" w:after="140"/>
        <w:jc w:val="center"/>
      </w:pPr>
      <w:r>
        <w:rPr>
          <w:rFonts w:ascii="EB Garamond" w:hAnsi="EB Garamond" w:eastAsia="EB Garamond"/>
          <w:i/>
          <w:sz w:val="22"/>
        </w:rPr>
        <w:t>Offer premium: Offer premium = offer price / unaffected reference price - 1</w:t>
      </w:r>
    </w:p>
    <w:p>
      <w:pPr>
        <w:spacing w:before="100" w:after="140"/>
        <w:jc w:val="center"/>
      </w:pPr>
      <w:r>
        <w:rPr>
          <w:rFonts w:ascii="EB Garamond" w:hAnsi="EB Garamond" w:eastAsia="EB Garamond"/>
          <w:i/>
          <w:sz w:val="22"/>
        </w:rPr>
        <w:t>Entry enterprise value: Entry EV = equity purchase price + net debt + debt-like items - cash-like investments</w:t>
      </w:r>
    </w:p>
    <w:p>
      <w:pPr>
        <w:spacing w:before="100" w:after="140"/>
        <w:jc w:val="center"/>
      </w:pPr>
      <w:r>
        <w:rPr>
          <w:rFonts w:ascii="EB Garamond" w:hAnsi="EB Garamond" w:eastAsia="EB Garamond"/>
          <w:i/>
          <w:sz w:val="22"/>
        </w:rPr>
        <w:t>Entry multiple: Entry EV / EBITDA = entry EV / entry EBITDA</w:t>
      </w:r>
    </w:p>
    <w:p>
      <w:pPr>
        <w:spacing w:before="100" w:after="140"/>
        <w:jc w:val="center"/>
      </w:pPr>
      <w:r>
        <w:rPr>
          <w:rFonts w:ascii="EB Garamond" w:hAnsi="EB Garamond" w:eastAsia="EB Garamond"/>
          <w:i/>
          <w:sz w:val="22"/>
        </w:rPr>
        <w:t>Uses: Uses = equity purchase price + refinance net debt + transaction fees + financing fees</w:t>
      </w:r>
    </w:p>
    <w:p>
      <w:pPr>
        <w:spacing w:before="100" w:after="140"/>
        <w:jc w:val="center"/>
      </w:pPr>
      <w:r>
        <w:rPr>
          <w:rFonts w:ascii="EB Garamond" w:hAnsi="EB Garamond" w:eastAsia="EB Garamond"/>
          <w:i/>
          <w:sz w:val="22"/>
        </w:rPr>
        <w:t>Opening debt: Opening debt = entry EBITDA × opening debt / EBITDA multiple</w:t>
      </w:r>
    </w:p>
    <w:p>
      <w:pPr>
        <w:spacing w:before="100" w:after="140"/>
        <w:jc w:val="center"/>
      </w:pPr>
      <w:r>
        <w:rPr>
          <w:rFonts w:ascii="EB Garamond" w:hAnsi="EB Garamond" w:eastAsia="EB Garamond"/>
          <w:i/>
          <w:sz w:val="22"/>
        </w:rPr>
        <w:t>Rollover equity: Rollover equity = rollover shares × offer price</w:t>
      </w:r>
    </w:p>
    <w:p>
      <w:pPr>
        <w:spacing w:before="100" w:after="140"/>
        <w:jc w:val="center"/>
      </w:pPr>
      <w:r>
        <w:rPr>
          <w:rFonts w:ascii="EB Garamond" w:hAnsi="EB Garamond" w:eastAsia="EB Garamond"/>
          <w:i/>
          <w:sz w:val="22"/>
        </w:rPr>
        <w:t>Sponsor equity cheque: Sponsor equity = uses - opening debt - rollover equity</w:t>
      </w:r>
    </w:p>
    <w:p>
      <w:pPr>
        <w:spacing w:before="100" w:after="140"/>
        <w:jc w:val="center"/>
      </w:pPr>
      <w:r>
        <w:rPr>
          <w:rFonts w:ascii="EB Garamond" w:hAnsi="EB Garamond" w:eastAsia="EB Garamond"/>
          <w:i/>
          <w:sz w:val="22"/>
        </w:rPr>
        <w:t>EBITDA forecast: EBITDA_t = EBITDA_(t-1) × (1 + EBITDA growth rate)</w:t>
      </w:r>
    </w:p>
    <w:p>
      <w:pPr>
        <w:spacing w:before="100" w:after="140"/>
        <w:jc w:val="center"/>
      </w:pPr>
      <w:r>
        <w:rPr>
          <w:rFonts w:ascii="EB Garamond" w:hAnsi="EB Garamond" w:eastAsia="EB Garamond"/>
          <w:i/>
          <w:sz w:val="22"/>
        </w:rPr>
        <w:t>Cash available for debt paydown: Cash sweep = EBITDA - cash taxes - capex - change in NWC - cash interest</w:t>
      </w:r>
    </w:p>
    <w:p>
      <w:pPr>
        <w:spacing w:before="100" w:after="140"/>
        <w:jc w:val="center"/>
      </w:pPr>
      <w:r>
        <w:rPr>
          <w:rFonts w:ascii="EB Garamond" w:hAnsi="EB Garamond" w:eastAsia="EB Garamond"/>
          <w:i/>
          <w:sz w:val="22"/>
        </w:rPr>
        <w:t>Closing debt: Closing debt_t = opening debt_t - cash sweep_t</w:t>
      </w:r>
    </w:p>
    <w:p>
      <w:pPr>
        <w:spacing w:before="100" w:after="140"/>
        <w:jc w:val="center"/>
      </w:pPr>
      <w:r>
        <w:rPr>
          <w:rFonts w:ascii="EB Garamond" w:hAnsi="EB Garamond" w:eastAsia="EB Garamond"/>
          <w:i/>
          <w:sz w:val="22"/>
        </w:rPr>
        <w:t>Exit enterprise value: Exit EV = exit EBITDA × exit EV / EBITDA multiple</w:t>
      </w:r>
    </w:p>
    <w:p>
      <w:pPr>
        <w:spacing w:before="100" w:after="140"/>
        <w:jc w:val="center"/>
      </w:pPr>
      <w:r>
        <w:rPr>
          <w:rFonts w:ascii="EB Garamond" w:hAnsi="EB Garamond" w:eastAsia="EB Garamond"/>
          <w:i/>
          <w:sz w:val="22"/>
        </w:rPr>
        <w:t>Exit equity value: Exit equity value = exit EV - exit net debt</w:t>
      </w:r>
    </w:p>
    <w:p>
      <w:pPr>
        <w:spacing w:before="100" w:after="140"/>
        <w:jc w:val="center"/>
      </w:pPr>
      <w:r>
        <w:rPr>
          <w:rFonts w:ascii="EB Garamond" w:hAnsi="EB Garamond" w:eastAsia="EB Garamond"/>
          <w:i/>
          <w:sz w:val="22"/>
        </w:rPr>
        <w:t>MOIC: MOIC = exit equity value / initial sponsor equity</w:t>
      </w:r>
    </w:p>
    <w:p>
      <w:pPr>
        <w:spacing w:before="100" w:after="140"/>
        <w:jc w:val="center"/>
      </w:pPr>
      <w:r>
        <w:rPr>
          <w:rFonts w:ascii="EB Garamond" w:hAnsi="EB Garamond" w:eastAsia="EB Garamond"/>
          <w:i/>
          <w:sz w:val="22"/>
        </w:rPr>
        <w:t>IRR: IRR = (MOIC)^(1 / holding period years) - 1</w:t>
      </w:r>
    </w:p>
    <w:p>
      <w:pPr>
        <w:pStyle w:val="Heading1"/>
      </w:pPr>
      <w:r>
        <w:rPr>
          <w:rFonts w:ascii="EB Garamond" w:hAnsi="EB Garamond" w:eastAsia="EB Garamond"/>
        </w:rPr>
        <w:t>7. Task A, conceptual questions</w:t>
      </w:r>
    </w:p>
    <w:p>
      <w:r>
        <w:rPr>
          <w:rFonts w:ascii="EB Garamond" w:hAnsi="EB Garamond" w:eastAsia="EB Garamond"/>
          <w:b w:val="0"/>
          <w:i w:val="0"/>
        </w:rPr>
        <w:t>Answer these before building the model. Keep each answer to 4 to 6 lines. Your goal is to explain sponsor logic, not just define LBO terms.</w:t>
      </w:r>
    </w:p>
    <w:p>
      <w:r>
        <w:rPr>
          <w:rFonts w:ascii="EB Garamond" w:hAnsi="EB Garamond" w:eastAsia="EB Garamond"/>
          <w:b/>
          <w:i w:val="0"/>
        </w:rPr>
        <w:t>Why is an LBO an ability-to-pay analysis rather than a pure valuation method?</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can leverage increase sponsor returns, and why can it also destroy the case?</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does a financial sponsor care so much about entry multiple and exit multiple?</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might Schibsted sell part of its stake for cash while rolling the rest into the new structure?</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does the 90% acceptance threshold matter in a public-to-private transaction?</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is a take-private structure attractive for a business that may need long-term investment and asset separation?</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What is the difference between strategic buyer synergies and sponsor value creation?</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r>
        <w:rPr>
          <w:rFonts w:ascii="EB Garamond" w:hAnsi="EB Garamond" w:eastAsia="EB Garamond"/>
          <w:b/>
          <w:i w:val="0"/>
        </w:rPr>
        <w:t>Why do asset sales and future IPOs matter for LBO return logic?</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pStyle w:val="Heading1"/>
      </w:pPr>
      <w:r>
        <w:rPr>
          <w:rFonts w:ascii="EB Garamond" w:hAnsi="EB Garamond" w:eastAsia="EB Garamond"/>
        </w:rPr>
        <w:t>8. Task B, offer premium and entry equity value</w:t>
      </w:r>
    </w:p>
    <w:p>
      <w:r>
        <w:rPr>
          <w:rFonts w:ascii="EB Garamond" w:hAnsi="EB Garamond" w:eastAsia="EB Garamond"/>
          <w:b w:val="0"/>
          <w:i w:val="0"/>
        </w:rPr>
        <w:t>Start with the public M&amp;A mechanics. Calculate offer premium and back-solve implied share count from equity value and offer price. This gives you the public entry price before you move into LBO return mechanics.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272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Line item</w:t>
            </w:r>
          </w:p>
        </w:tc>
        <w:tc>
          <w:tcPr>
            <w:tcW w:type="dxa" w:w="385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Input / formula</w:t>
            </w:r>
          </w:p>
        </w:tc>
        <w:tc>
          <w:tcPr>
            <w:tcW w:type="dxa" w:w="1928"/>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7"/>
              </w:rPr>
            </w:r>
            <w:r>
              <w:rPr>
                <w:rFonts w:ascii="EB Garamond" w:hAnsi="EB Garamond" w:eastAsia="EB Garamond"/>
                <w:b/>
                <w:i w:val="0"/>
                <w:sz w:val="17"/>
              </w:rPr>
              <w:t>Your output</w:t>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Offer price</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NOK 115.00</w:t>
            </w:r>
          </w:p>
        </w:tc>
        <w:tc>
          <w:tcPr>
            <w:tcW w:type="dxa" w:w="1928"/>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3-month VWAP reference</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NOK 74.58</w:t>
            </w:r>
          </w:p>
        </w:tc>
        <w:tc>
          <w:tcPr>
            <w:tcW w:type="dxa" w:w="1928"/>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6-month VWAP reference</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NOK 76.28</w:t>
            </w:r>
          </w:p>
        </w:tc>
        <w:tc>
          <w:tcPr>
            <w:tcW w:type="dxa" w:w="1928"/>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Premium to 3-month VWAP</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Offer price / 3-month VWAP - 1</w:t>
            </w:r>
          </w:p>
        </w:tc>
        <w:tc>
          <w:tcPr>
            <w:tcW w:type="dxa" w:w="1928"/>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Premium to 6-month VWAP</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Offer price / 6-month VWAP - 1</w:t>
            </w:r>
          </w:p>
        </w:tc>
        <w:tc>
          <w:tcPr>
            <w:tcW w:type="dxa" w:w="1928"/>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Implied equity value</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Approx. NOK 141bn</w:t>
            </w:r>
          </w:p>
        </w:tc>
        <w:tc>
          <w:tcPr>
            <w:tcW w:type="dxa" w:w="1928"/>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Back-solved shares</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Equity value / offer price</w:t>
            </w:r>
          </w:p>
        </w:tc>
        <w:tc>
          <w:tcPr>
            <w:tcW w:type="dxa" w:w="1928"/>
            <w:vAlign w:val="center"/>
            <w:tcMar>
              <w:top w:w="80" w:type="dxa"/>
              <w:start w:w="90" w:type="dxa"/>
              <w:bottom w:w="80" w:type="dxa"/>
              <w:end w:w="90" w:type="dxa"/>
            </w:tcMar>
          </w:tcPr>
          <w:p>
            <w:pPr>
              <w:spacing w:before="0" w:after="0" w:line="252" w:lineRule="auto"/>
              <w:jc w:val="right"/>
            </w:pPr>
            <w:r>
              <w:rPr>
                <w:rFonts w:ascii="EB Garamond" w:hAnsi="EB Garamond" w:eastAsia="EB Garamond"/>
                <w:sz w:val="17"/>
              </w:rPr>
            </w:r>
            <w:r>
              <w:rPr>
                <w:rFonts w:ascii="EB Garamond" w:hAnsi="EB Garamond" w:eastAsia="EB Garamond"/>
                <w:b w:val="0"/>
                <w:i w:val="0"/>
                <w:sz w:val="17"/>
              </w:rPr>
            </w:r>
          </w:p>
        </w:tc>
      </w:tr>
    </w:tbl>
    <w:p>
      <w:pPr>
        <w:pStyle w:val="Instruction"/>
      </w:pPr>
      <w:r>
        <w:rPr>
          <w:rFonts w:ascii="EB Garamond" w:hAnsi="EB Garamond" w:eastAsia="EB Garamond"/>
          <w:b w:val="0"/>
          <w:i w:val="0"/>
        </w:rPr>
        <w:t>Interpretation requirement: Explain why a high premium can still be attractive for sponsors if the entry valuation is justified by growth, deleveraging, asset sales or exit optionality.</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pStyle w:val="Heading1"/>
      </w:pPr>
      <w:r>
        <w:rPr>
          <w:rFonts w:ascii="EB Garamond" w:hAnsi="EB Garamond" w:eastAsia="EB Garamond"/>
        </w:rPr>
        <w:t>9. Task C, sources and uses</w:t>
      </w:r>
    </w:p>
    <w:p>
      <w:r>
        <w:rPr>
          <w:rFonts w:ascii="EB Garamond" w:hAnsi="EB Garamond" w:eastAsia="EB Garamond"/>
          <w:b w:val="0"/>
          <w:i w:val="0"/>
        </w:rPr>
        <w:t>Build a sources and uses table. Use actual offer terms for the equity purchase price and rollover. Use labelled training assumptions for net debt, transaction fees and debt financing.</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272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Uses</w:t>
            </w:r>
          </w:p>
        </w:tc>
        <w:tc>
          <w:tcPr>
            <w:tcW w:type="dxa" w:w="379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Formula / source</w:t>
            </w:r>
          </w:p>
        </w:tc>
        <w:tc>
          <w:tcPr>
            <w:tcW w:type="dxa" w:w="204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Your output</w:t>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Purchase equity value</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NOK 141bn</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Refinance / assume net debt</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Training assumption</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Transaction fees</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 of equity purchase price</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Financing fees</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 of new debt</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Total uses</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Sum of uses</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Sources</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Formula / source</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Your output</w:t>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New debt</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Entry EBITDA × opening leverage</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Sponsor equity cheque</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Plug to balance sources and uses</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Rollover equity</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Schibsted rollover value or assumption</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Total sources</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Sum of sources</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Sources less uses check</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Total sources - total uses</w:t>
            </w:r>
          </w:p>
        </w:tc>
        <w:tc>
          <w:tcPr>
            <w:tcW w:type="dxa" w:w="204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Must be 0</w:t>
            </w:r>
          </w:p>
        </w:tc>
      </w:tr>
    </w:tbl>
    <w:p>
      <w:pPr>
        <w:pStyle w:val="Instruction"/>
      </w:pPr>
      <w:r>
        <w:rPr>
          <w:rFonts w:ascii="EB Garamond" w:hAnsi="EB Garamond" w:eastAsia="EB Garamond"/>
          <w:b w:val="0"/>
          <w:i w:val="0"/>
        </w:rPr>
        <w:t>QC note: Sponsor equity is not the same as enterprise value. Sponsor equity is the actual equity cheque after debt and rollover are included.</w:t>
      </w:r>
    </w:p>
    <w:p>
      <w:pPr>
        <w:pStyle w:val="Heading1"/>
      </w:pPr>
      <w:r>
        <w:rPr>
          <w:rFonts w:ascii="EB Garamond" w:hAnsi="EB Garamond" w:eastAsia="EB Garamond"/>
        </w:rPr>
        <w:t>10. Task D, Schibsted rollover mechanics</w:t>
      </w:r>
    </w:p>
    <w:p>
      <w:r>
        <w:rPr>
          <w:rFonts w:ascii="EB Garamond" w:hAnsi="EB Garamond" w:eastAsia="EB Garamond"/>
          <w:b w:val="0"/>
          <w:i w:val="0"/>
        </w:rPr>
        <w:t>Model the seller rollover. The point is to understand partial monetisation plus retained upside, not just cash consideration.</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272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Line item</w:t>
            </w:r>
          </w:p>
        </w:tc>
        <w:tc>
          <w:tcPr>
            <w:tcW w:type="dxa" w:w="385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Input / formula</w:t>
            </w:r>
          </w:p>
        </w:tc>
        <w:tc>
          <w:tcPr>
            <w:tcW w:type="dxa" w:w="192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Your output</w:t>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Schibsted pre-transaction stake</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28.1% of Adevinta</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Portion sold for cash</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60% of Schibsted stake</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Cash proceeds from stake sale</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Approx. NOK 24bn</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Remaining Adevinta stake rolled</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11.1% of issued shares</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Rollover value</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Approx. NOK 16bn</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Indirect ownership in Offeror</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Approx. 13.6%</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272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TRS cash settlement</w:t>
            </w:r>
          </w:p>
        </w:tc>
        <w:tc>
          <w:tcPr>
            <w:tcW w:type="dxa" w:w="385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Approx. NOK 1bn</w:t>
            </w:r>
          </w:p>
        </w:tc>
        <w:tc>
          <w:tcPr>
            <w:tcW w:type="dxa" w:w="1928"/>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bl>
    <w:p>
      <w:r>
        <w:rPr>
          <w:rFonts w:ascii="EB Garamond" w:hAnsi="EB Garamond" w:eastAsia="EB Garamond"/>
          <w:b/>
          <w:i w:val="0"/>
        </w:rPr>
        <w:t>Conceptual prompt: Why might a large shareholder accept cash for part of the stake but roll the rest? Discuss liquidity, de-risking, upside participation, transaction viability and alignment.</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pStyle w:val="Heading1"/>
      </w:pPr>
      <w:r>
        <w:rPr>
          <w:rFonts w:ascii="EB Garamond" w:hAnsi="EB Garamond" w:eastAsia="EB Garamond"/>
        </w:rPr>
        <w:t>11. Task E, operating model and debt schedule</w:t>
      </w:r>
    </w:p>
    <w:p>
      <w:r>
        <w:rPr>
          <w:rFonts w:ascii="EB Garamond" w:hAnsi="EB Garamond" w:eastAsia="EB Garamond"/>
          <w:b w:val="0"/>
          <w:i w:val="0"/>
        </w:rPr>
        <w:t>Build a 5-year operating model. Use Base, Downside and Upside cases. The model can be EBITDA-led; it does not need a full 3-statement build for v01.</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1368"/>
        <w:gridCol w:w="1368"/>
        <w:gridCol w:w="1368"/>
        <w:gridCol w:w="1368"/>
        <w:gridCol w:w="1368"/>
        <w:gridCol w:w="1368"/>
        <w:gridCol w:w="1368"/>
      </w:tblGrid>
      <w:tr>
        <w:tc>
          <w:tcPr>
            <w:tcW w:type="dxa" w:w="226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5"/>
              </w:rPr>
            </w:r>
            <w:r>
              <w:rPr>
                <w:rFonts w:ascii="EB Garamond" w:hAnsi="EB Garamond" w:eastAsia="EB Garamond"/>
                <w:b/>
                <w:i w:val="0"/>
                <w:sz w:val="15"/>
              </w:rPr>
              <w:t>Line item</w:t>
            </w:r>
          </w:p>
        </w:tc>
        <w:tc>
          <w:tcPr>
            <w:tcW w:type="dxa" w:w="907"/>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5"/>
              </w:rPr>
            </w:r>
            <w:r>
              <w:rPr>
                <w:rFonts w:ascii="EB Garamond" w:hAnsi="EB Garamond" w:eastAsia="EB Garamond"/>
                <w:b/>
                <w:i w:val="0"/>
                <w:sz w:val="15"/>
              </w:rPr>
              <w:t>Year 0</w:t>
            </w:r>
          </w:p>
        </w:tc>
        <w:tc>
          <w:tcPr>
            <w:tcW w:type="dxa" w:w="907"/>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5"/>
              </w:rPr>
            </w:r>
            <w:r>
              <w:rPr>
                <w:rFonts w:ascii="EB Garamond" w:hAnsi="EB Garamond" w:eastAsia="EB Garamond"/>
                <w:b/>
                <w:i w:val="0"/>
                <w:sz w:val="15"/>
              </w:rPr>
              <w:t>Year 1</w:t>
            </w:r>
          </w:p>
        </w:tc>
        <w:tc>
          <w:tcPr>
            <w:tcW w:type="dxa" w:w="907"/>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5"/>
              </w:rPr>
            </w:r>
            <w:r>
              <w:rPr>
                <w:rFonts w:ascii="EB Garamond" w:hAnsi="EB Garamond" w:eastAsia="EB Garamond"/>
                <w:b/>
                <w:i w:val="0"/>
                <w:sz w:val="15"/>
              </w:rPr>
              <w:t>Year 2</w:t>
            </w:r>
          </w:p>
        </w:tc>
        <w:tc>
          <w:tcPr>
            <w:tcW w:type="dxa" w:w="907"/>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5"/>
              </w:rPr>
            </w:r>
            <w:r>
              <w:rPr>
                <w:rFonts w:ascii="EB Garamond" w:hAnsi="EB Garamond" w:eastAsia="EB Garamond"/>
                <w:b/>
                <w:i w:val="0"/>
                <w:sz w:val="15"/>
              </w:rPr>
              <w:t>Year 3</w:t>
            </w:r>
          </w:p>
        </w:tc>
        <w:tc>
          <w:tcPr>
            <w:tcW w:type="dxa" w:w="907"/>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5"/>
              </w:rPr>
            </w:r>
            <w:r>
              <w:rPr>
                <w:rFonts w:ascii="EB Garamond" w:hAnsi="EB Garamond" w:eastAsia="EB Garamond"/>
                <w:b/>
                <w:i w:val="0"/>
                <w:sz w:val="15"/>
              </w:rPr>
              <w:t>Year 4</w:t>
            </w:r>
          </w:p>
        </w:tc>
        <w:tc>
          <w:tcPr>
            <w:tcW w:type="dxa" w:w="907"/>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5"/>
              </w:rPr>
            </w:r>
            <w:r>
              <w:rPr>
                <w:rFonts w:ascii="EB Garamond" w:hAnsi="EB Garamond" w:eastAsia="EB Garamond"/>
                <w:b/>
                <w:i w:val="0"/>
                <w:sz w:val="15"/>
              </w:rPr>
              <w:t>Year 5</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Revenue or EBITDA proxy</w:t>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EBITDA growth</w:t>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EBITDA</w:t>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Cash taxes</w:t>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Capex</w:t>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Change in NWC</w:t>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Cash interest</w:t>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Cash available for debt paydown</w:t>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Opening debt</w:t>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Debt repayment</w:t>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Closing debt</w:t>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Net debt / EBITDA</w:t>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c>
          <w:tcPr>
            <w:tcW w:type="dxa" w:w="907"/>
            <w:vAlign w:val="center"/>
            <w:tcMar>
              <w:top w:w="80" w:type="dxa"/>
              <w:start w:w="90" w:type="dxa"/>
              <w:bottom w:w="80" w:type="dxa"/>
              <w:end w:w="90" w:type="dxa"/>
            </w:tcMar>
          </w:tcPr>
          <w:p>
            <w:pPr>
              <w:spacing w:before="0" w:after="0" w:line="252" w:lineRule="auto"/>
              <w:jc w:val="right"/>
            </w:pPr>
            <w:r>
              <w:rPr>
                <w:rFonts w:ascii="EB Garamond" w:hAnsi="EB Garamond" w:eastAsia="EB Garamond"/>
                <w:sz w:val="15"/>
              </w:rPr>
            </w:r>
            <w:r>
              <w:rPr>
                <w:rFonts w:ascii="EB Garamond" w:hAnsi="EB Garamond" w:eastAsia="EB Garamond"/>
                <w:b w:val="0"/>
                <w:i w:val="0"/>
                <w:sz w:val="15"/>
              </w:rPr>
            </w:r>
          </w:p>
        </w:tc>
      </w:tr>
    </w:tbl>
    <w:p>
      <w:pPr>
        <w:pStyle w:val="Instruction"/>
      </w:pPr>
      <w:r>
        <w:rPr>
          <w:rFonts w:ascii="EB Garamond" w:hAnsi="EB Garamond" w:eastAsia="EB Garamond"/>
          <w:b w:val="0"/>
          <w:i w:val="0"/>
        </w:rPr>
        <w:t>Downside case: lower EBITDA growth, higher interest, lower cash conversion and no multiple expansion. Upside case: stronger EBITDA growth, faster deleveraging and either stable or modestly higher exit multiple.</w:t>
      </w:r>
    </w:p>
    <w:p>
      <w:pPr>
        <w:pStyle w:val="Heading1"/>
      </w:pPr>
      <w:r>
        <w:rPr>
          <w:rFonts w:ascii="EB Garamond" w:hAnsi="EB Garamond" w:eastAsia="EB Garamond"/>
        </w:rPr>
        <w:t>12. Task F, exit returns</w:t>
      </w:r>
    </w:p>
    <w:p>
      <w:r>
        <w:rPr>
          <w:rFonts w:ascii="EB Garamond" w:hAnsi="EB Garamond" w:eastAsia="EB Garamond"/>
          <w:b w:val="0"/>
          <w:i w:val="0"/>
        </w:rPr>
        <w:t>Calculate sponsor MOIC and IRR under Base, Downside and Upside cases. Then create an IRR sensitivity table with exit multiple on one axis and EBITDA CAGR on the other.</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2394"/>
        <w:gridCol w:w="2394"/>
        <w:gridCol w:w="2394"/>
        <w:gridCol w:w="2394"/>
      </w:tblGrid>
      <w:tr>
        <w:tc>
          <w:tcPr>
            <w:tcW w:type="dxa" w:w="283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Line item</w:t>
            </w:r>
          </w:p>
        </w:tc>
        <w:tc>
          <w:tcPr>
            <w:tcW w:type="dxa" w:w="1814"/>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6"/>
              </w:rPr>
            </w:r>
            <w:r>
              <w:rPr>
                <w:rFonts w:ascii="EB Garamond" w:hAnsi="EB Garamond" w:eastAsia="EB Garamond"/>
                <w:b/>
                <w:i w:val="0"/>
                <w:sz w:val="16"/>
              </w:rPr>
              <w:t>Downside</w:t>
            </w:r>
          </w:p>
        </w:tc>
        <w:tc>
          <w:tcPr>
            <w:tcW w:type="dxa" w:w="1814"/>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6"/>
              </w:rPr>
            </w:r>
            <w:r>
              <w:rPr>
                <w:rFonts w:ascii="EB Garamond" w:hAnsi="EB Garamond" w:eastAsia="EB Garamond"/>
                <w:b/>
                <w:i w:val="0"/>
                <w:sz w:val="16"/>
              </w:rPr>
              <w:t>Base</w:t>
            </w:r>
          </w:p>
        </w:tc>
        <w:tc>
          <w:tcPr>
            <w:tcW w:type="dxa" w:w="1814"/>
            <w:vAlign w:val="center"/>
            <w:tcMar>
              <w:top w:w="80" w:type="dxa"/>
              <w:start w:w="90" w:type="dxa"/>
              <w:bottom w:w="80" w:type="dxa"/>
              <w:end w:w="90" w:type="dxa"/>
            </w:tcMar>
            <w:tcBorders>
              <w:bottom w:val="single" w:sz="8" w:space="0" w:color="666666"/>
            </w:tcBorders>
          </w:tcPr>
          <w:p>
            <w:pPr>
              <w:spacing w:before="0" w:after="0" w:line="252" w:lineRule="auto"/>
              <w:jc w:val="right"/>
            </w:pPr>
            <w:r>
              <w:rPr>
                <w:rFonts w:ascii="EB Garamond" w:hAnsi="EB Garamond" w:eastAsia="EB Garamond"/>
                <w:b/>
                <w:sz w:val="16"/>
              </w:rPr>
            </w:r>
            <w:r>
              <w:rPr>
                <w:rFonts w:ascii="EB Garamond" w:hAnsi="EB Garamond" w:eastAsia="EB Garamond"/>
                <w:b/>
                <w:i w:val="0"/>
                <w:sz w:val="16"/>
              </w:rPr>
              <w:t>Upside</w:t>
            </w:r>
          </w:p>
        </w:tc>
      </w:tr>
      <w:tr>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Holding period</w:t>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r>
      <w:tr>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Exit EBITDA</w:t>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r>
      <w:tr>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Exit EV / EBITDA multiple</w:t>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r>
      <w:tr>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Exit enterprise value</w:t>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r>
      <w:tr>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Exit net debt</w:t>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r>
      <w:tr>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Exit equity value</w:t>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r>
      <w:tr>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Initial sponsor equity</w:t>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r>
      <w:tr>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MOIC</w:t>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r>
      <w:tr>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IRR</w:t>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c>
          <w:tcPr>
            <w:tcW w:type="dxa" w:w="1814"/>
            <w:vAlign w:val="center"/>
            <w:tcMar>
              <w:top w:w="80" w:type="dxa"/>
              <w:start w:w="90" w:type="dxa"/>
              <w:bottom w:w="80" w:type="dxa"/>
              <w:end w:w="90" w:type="dxa"/>
            </w:tcMar>
          </w:tcPr>
          <w:p>
            <w:pPr>
              <w:spacing w:before="0" w:after="0" w:line="252" w:lineRule="auto"/>
              <w:jc w:val="right"/>
            </w:pPr>
            <w:r>
              <w:rPr>
                <w:rFonts w:ascii="EB Garamond" w:hAnsi="EB Garamond" w:eastAsia="EB Garamond"/>
                <w:sz w:val="16"/>
              </w:rPr>
            </w:r>
            <w:r>
              <w:rPr>
                <w:rFonts w:ascii="EB Garamond" w:hAnsi="EB Garamond" w:eastAsia="EB Garamond"/>
                <w:b w:val="0"/>
                <w:i w:val="0"/>
                <w:sz w:val="16"/>
              </w:rPr>
            </w:r>
          </w:p>
        </w:tc>
      </w:tr>
    </w:tbl>
    <w:p>
      <w:pPr>
        <w:pStyle w:val="Instruction"/>
      </w:pPr>
      <w:r>
        <w:rPr>
          <w:rFonts w:ascii="EB Garamond" w:hAnsi="EB Garamond" w:eastAsia="EB Garamond"/>
          <w:b w:val="0"/>
          <w:i w:val="0"/>
        </w:rPr>
        <w:t>Interpretation requirement: Explain whether returns are driven more by EBITDA growth, deleveraging, multiple expansion or asset sale optionality.</w:t>
      </w: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spacing w:after="60"/>
        <w:pBdr>
          <w:bottom w:val="single" w:sz="2" w:space="1" w:color="BFBFBF"/>
        </w:pBdr>
      </w:pPr>
    </w:p>
    <w:p>
      <w:pPr>
        <w:pStyle w:val="Heading1"/>
      </w:pPr>
      <w:r>
        <w:rPr>
          <w:rFonts w:ascii="EB Garamond" w:hAnsi="EB Garamond" w:eastAsia="EB Garamond"/>
        </w:rPr>
        <w:t>13. Task G, value creation bridge</w:t>
      </w:r>
    </w:p>
    <w:p>
      <w:r>
        <w:rPr>
          <w:rFonts w:ascii="EB Garamond" w:hAnsi="EB Garamond" w:eastAsia="EB Garamond"/>
          <w:b w:val="0"/>
          <w:i w:val="0"/>
        </w:rPr>
        <w:t>Build a value creation bridge from initial sponsor equity to exit equity value. The bridge does not have to be perfect in v01, but it must show the main economic drivers.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255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Bridge step</w:t>
            </w:r>
          </w:p>
        </w:tc>
        <w:tc>
          <w:tcPr>
            <w:tcW w:type="dxa" w:w="3969"/>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Economic meaning</w:t>
            </w:r>
          </w:p>
        </w:tc>
        <w:tc>
          <w:tcPr>
            <w:tcW w:type="dxa" w:w="198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Your output</w:t>
            </w:r>
          </w:p>
        </w:tc>
      </w:tr>
      <w:tr>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Initial sponsor equity</w:t>
            </w:r>
          </w:p>
        </w:tc>
        <w:tc>
          <w:tcPr>
            <w:tcW w:type="dxa" w:w="3969"/>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Equity cheque at entry after debt and rollover</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EBITDA growth</w:t>
            </w:r>
          </w:p>
        </w:tc>
        <w:tc>
          <w:tcPr>
            <w:tcW w:type="dxa" w:w="3969"/>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Value created by higher EBITDA at constant multiple</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Deleveraging</w:t>
            </w:r>
          </w:p>
        </w:tc>
        <w:tc>
          <w:tcPr>
            <w:tcW w:type="dxa" w:w="3969"/>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Value transferred from lenders to equity through debt paydown</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Multiple change</w:t>
            </w:r>
          </w:p>
        </w:tc>
        <w:tc>
          <w:tcPr>
            <w:tcW w:type="dxa" w:w="3969"/>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Value gained or lost if exit multiple differs from entry multiple</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Asset sale / carve-out optionality</w:t>
            </w:r>
          </w:p>
        </w:tc>
        <w:tc>
          <w:tcPr>
            <w:tcW w:type="dxa" w:w="3969"/>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Value unlocked from portfolio separation or sale</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r>
        <w:tc>
          <w:tcPr>
            <w:tcW w:type="dxa" w:w="255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Exit equity value</w:t>
            </w:r>
          </w:p>
        </w:tc>
        <w:tc>
          <w:tcPr>
            <w:tcW w:type="dxa" w:w="3969"/>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Equity value available to sponsors at exit</w:t>
            </w:r>
          </w:p>
        </w:tc>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r>
          </w:p>
        </w:tc>
      </w:tr>
    </w:tbl>
    <w:p>
      <w:pPr>
        <w:pStyle w:val="Heading1"/>
      </w:pPr>
      <w:r>
        <w:rPr>
          <w:rFonts w:ascii="EB Garamond" w:hAnsi="EB Garamond" w:eastAsia="EB Garamond"/>
        </w:rPr>
        <w:t>14. Task H, asset sale and exit optionality overlay</w:t>
      </w:r>
    </w:p>
    <w:p>
      <w:r>
        <w:rPr>
          <w:rFonts w:ascii="EB Garamond" w:hAnsi="EB Garamond" w:eastAsia="EB Garamond"/>
          <w:b w:val="0"/>
          <w:i w:val="0"/>
        </w:rPr>
        <w:t>Add a simple optionality overlay. This is not a full sum-of-the-parts valuation, but it should help you understand why PE sponsors may underwrite value creation through separation, asset sales and future IPOs.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2394"/>
        <w:gridCol w:w="2394"/>
        <w:gridCol w:w="2394"/>
        <w:gridCol w:w="2394"/>
      </w:tblGrid>
      <w:tr>
        <w:tc>
          <w:tcPr>
            <w:tcW w:type="dxa" w:w="198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5"/>
              </w:rPr>
            </w:r>
            <w:r>
              <w:rPr>
                <w:rFonts w:ascii="EB Garamond" w:hAnsi="EB Garamond" w:eastAsia="EB Garamond"/>
                <w:b/>
                <w:i w:val="0"/>
                <w:sz w:val="15"/>
              </w:rPr>
              <w:t>Exit lever</w:t>
            </w:r>
          </w:p>
        </w:tc>
        <w:tc>
          <w:tcPr>
            <w:tcW w:type="dxa" w:w="226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5"/>
              </w:rPr>
            </w:r>
            <w:r>
              <w:rPr>
                <w:rFonts w:ascii="EB Garamond" w:hAnsi="EB Garamond" w:eastAsia="EB Garamond"/>
                <w:b/>
                <w:i w:val="0"/>
                <w:sz w:val="15"/>
              </w:rPr>
              <w:t>Known or reported datapoint</w:t>
            </w:r>
          </w:p>
        </w:tc>
        <w:tc>
          <w:tcPr>
            <w:tcW w:type="dxa" w:w="215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5"/>
              </w:rPr>
            </w:r>
            <w:r>
              <w:rPr>
                <w:rFonts w:ascii="EB Garamond" w:hAnsi="EB Garamond" w:eastAsia="EB Garamond"/>
                <w:b/>
                <w:i w:val="0"/>
                <w:sz w:val="15"/>
              </w:rPr>
              <w:t>How to model simply</w:t>
            </w:r>
          </w:p>
        </w:tc>
        <w:tc>
          <w:tcPr>
            <w:tcW w:type="dxa" w:w="215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5"/>
              </w:rPr>
            </w:r>
            <w:r>
              <w:rPr>
                <w:rFonts w:ascii="EB Garamond" w:hAnsi="EB Garamond" w:eastAsia="EB Garamond"/>
                <w:b/>
                <w:i w:val="0"/>
                <w:sz w:val="15"/>
              </w:rPr>
              <w:t>Conceptual question</w:t>
            </w:r>
          </w:p>
        </w:tc>
      </w:tr>
      <w:tr>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Adevinta Spain sale</w:t>
            </w:r>
          </w:p>
        </w:tc>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Around EUR 2bn EV to EQT</w:t>
            </w:r>
          </w:p>
        </w:tc>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Model as proceeds reducing debt or value returned to sponsors</w:t>
            </w:r>
          </w:p>
        </w:tc>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Does asset separation crystallise hidden value?</w:t>
            </w:r>
          </w:p>
        </w:tc>
      </w:tr>
      <w:tr>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Mobile.de IPO / sale</w:t>
            </w:r>
          </w:p>
        </w:tc>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Reported potential value up to EUR 10bn</w:t>
            </w:r>
          </w:p>
        </w:tc>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Model as exit value sensitivity or SOTP component</w:t>
            </w:r>
          </w:p>
        </w:tc>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Could one asset justify a large part of entry value?</w:t>
            </w:r>
          </w:p>
        </w:tc>
      </w:tr>
      <w:tr>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Refocus on core markets</w:t>
            </w:r>
          </w:p>
        </w:tc>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Germany, France and Benelux cited as focus areas</w:t>
            </w:r>
          </w:p>
        </w:tc>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Improve growth / margin assumptions for remaining business</w:t>
            </w:r>
          </w:p>
        </w:tc>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Does complexity reduction improve valuation?</w:t>
            </w:r>
          </w:p>
        </w:tc>
      </w:tr>
      <w:tr>
        <w:tc>
          <w:tcPr>
            <w:tcW w:type="dxa" w:w="198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Shared IT separation</w:t>
            </w:r>
          </w:p>
        </w:tc>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Reported disentanglement may take time</w:t>
            </w:r>
          </w:p>
        </w:tc>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Add delay / cost sensitivity</w:t>
            </w:r>
          </w:p>
        </w:tc>
        <w:tc>
          <w:tcPr>
            <w:tcW w:type="dxa" w:w="2154"/>
            <w:vAlign w:val="center"/>
            <w:tcMar>
              <w:top w:w="80" w:type="dxa"/>
              <w:start w:w="90" w:type="dxa"/>
              <w:bottom w:w="80" w:type="dxa"/>
              <w:end w:w="90" w:type="dxa"/>
            </w:tcMar>
          </w:tcPr>
          <w:p>
            <w:pPr>
              <w:spacing w:before="0" w:after="0" w:line="252" w:lineRule="auto"/>
            </w:pPr>
            <w:r>
              <w:rPr>
                <w:rFonts w:ascii="EB Garamond" w:hAnsi="EB Garamond" w:eastAsia="EB Garamond"/>
                <w:sz w:val="15"/>
              </w:rPr>
            </w:r>
            <w:r>
              <w:rPr>
                <w:rFonts w:ascii="EB Garamond" w:hAnsi="EB Garamond" w:eastAsia="EB Garamond"/>
                <w:b w:val="0"/>
                <w:i w:val="0"/>
                <w:sz w:val="15"/>
              </w:rPr>
              <w:t>How does execution complexity affect returns?</w:t>
            </w:r>
          </w:p>
        </w:tc>
      </w:tr>
    </w:tbl>
    <w:p>
      <w:pPr>
        <w:pStyle w:val="Heading1"/>
      </w:pPr>
      <w:r>
        <w:rPr>
          <w:rFonts w:ascii="EB Garamond" w:hAnsi="EB Garamond" w:eastAsia="EB Garamond"/>
        </w:rPr>
        <w:t>15. Required visuals</w:t>
      </w:r>
    </w:p>
    <w:p>
      <w:r>
        <w:rPr>
          <w:rFonts w:ascii="EB Garamond" w:hAnsi="EB Garamond" w:eastAsia="EB Garamond"/>
          <w:b w:val="0"/>
          <w:i w:val="0"/>
        </w:rPr>
        <w:t>Your Excel output must include at least two charts. Build them directly from output cells, not manually typed chart data.</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226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Visual</w:t>
            </w:r>
          </w:p>
        </w:tc>
        <w:tc>
          <w:tcPr>
            <w:tcW w:type="dxa" w:w="379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Required message</w:t>
            </w:r>
          </w:p>
        </w:tc>
        <w:tc>
          <w:tcPr>
            <w:tcW w:type="dxa" w:w="243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Minimum design</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Sources and uses chart</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The transaction is funded through debt, sponsor equity and rollover equity</w:t>
            </w:r>
          </w:p>
        </w:tc>
        <w:tc>
          <w:tcPr>
            <w:tcW w:type="dxa" w:w="243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Stacked bar or two-column sources / uses chart</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Debt paydown chart</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Deleveraging transfers value from lenders to equity over the holding period</w:t>
            </w:r>
          </w:p>
        </w:tc>
        <w:tc>
          <w:tcPr>
            <w:tcW w:type="dxa" w:w="243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Line chart: net debt and net debt / EBITDA</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Value creation bridge</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Returns are driven by growth, deleveraging and multiple / exit optionality</w:t>
            </w:r>
          </w:p>
        </w:tc>
        <w:tc>
          <w:tcPr>
            <w:tcW w:type="dxa" w:w="243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Waterfall from initial sponsor equity to exit equity value</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IRR sensitivity heatmap</w:t>
            </w:r>
          </w:p>
        </w:tc>
        <w:tc>
          <w:tcPr>
            <w:tcW w:type="dxa" w:w="379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LBO returns are highly sensitive to exit multiple and EBITDA CAGR</w:t>
            </w:r>
          </w:p>
        </w:tc>
        <w:tc>
          <w:tcPr>
            <w:tcW w:type="dxa" w:w="243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Matrix: exit EV / EBITDA vs EBITDA CAGR</w:t>
            </w:r>
          </w:p>
        </w:tc>
      </w:tr>
    </w:tbl>
    <w:p>
      <w:pPr>
        <w:pStyle w:val="Heading1"/>
      </w:pPr>
      <w:r>
        <w:rPr>
          <w:rFonts w:ascii="EB Garamond" w:hAnsi="EB Garamond" w:eastAsia="EB Garamond"/>
        </w:rPr>
        <w:t>16. 90_Checks requirements</w:t>
      </w:r>
    </w:p>
    <w:p>
      <w:pPr>
        <w:pStyle w:val="Checklist"/>
      </w:pPr>
      <w:r>
        <w:rPr>
          <w:rFonts w:ascii="EB Garamond" w:hAnsi="EB Garamond" w:eastAsia="EB Garamond"/>
        </w:rPr>
        <w:t xml:space="preserve">☐ </w:t>
      </w:r>
      <w:r>
        <w:rPr>
          <w:rFonts w:ascii="EB Garamond" w:hAnsi="EB Garamond" w:eastAsia="EB Garamond"/>
        </w:rPr>
        <w:t>Back-solved share count equals implied equity value divided by offer price within rounding tolerance.</w:t>
      </w:r>
    </w:p>
    <w:p>
      <w:pPr>
        <w:pStyle w:val="Checklist"/>
      </w:pPr>
      <w:r>
        <w:rPr>
          <w:rFonts w:ascii="EB Garamond" w:hAnsi="EB Garamond" w:eastAsia="EB Garamond"/>
        </w:rPr>
        <w:t xml:space="preserve">☐ </w:t>
      </w:r>
      <w:r>
        <w:rPr>
          <w:rFonts w:ascii="EB Garamond" w:hAnsi="EB Garamond" w:eastAsia="EB Garamond"/>
        </w:rPr>
        <w:t>Offer premium equals offer price divided by reference price minus one.</w:t>
      </w:r>
    </w:p>
    <w:p>
      <w:pPr>
        <w:pStyle w:val="Checklist"/>
      </w:pPr>
      <w:r>
        <w:rPr>
          <w:rFonts w:ascii="EB Garamond" w:hAnsi="EB Garamond" w:eastAsia="EB Garamond"/>
        </w:rPr>
        <w:t xml:space="preserve">☐ </w:t>
      </w:r>
      <w:r>
        <w:rPr>
          <w:rFonts w:ascii="EB Garamond" w:hAnsi="EB Garamond" w:eastAsia="EB Garamond"/>
        </w:rPr>
        <w:t>Sources equal uses with tolerance zero.</w:t>
      </w:r>
    </w:p>
    <w:p>
      <w:pPr>
        <w:pStyle w:val="Checklist"/>
      </w:pPr>
      <w:r>
        <w:rPr>
          <w:rFonts w:ascii="EB Garamond" w:hAnsi="EB Garamond" w:eastAsia="EB Garamond"/>
        </w:rPr>
        <w:t xml:space="preserve">☐ </w:t>
      </w:r>
      <w:r>
        <w:rPr>
          <w:rFonts w:ascii="EB Garamond" w:hAnsi="EB Garamond" w:eastAsia="EB Garamond"/>
        </w:rPr>
        <w:t>Sponsor equity is calculated after debt and rollover equity, not equal to enterprise value.</w:t>
      </w:r>
    </w:p>
    <w:p>
      <w:pPr>
        <w:pStyle w:val="Checklist"/>
      </w:pPr>
      <w:r>
        <w:rPr>
          <w:rFonts w:ascii="EB Garamond" w:hAnsi="EB Garamond" w:eastAsia="EB Garamond"/>
        </w:rPr>
        <w:t xml:space="preserve">☐ </w:t>
      </w:r>
      <w:r>
        <w:rPr>
          <w:rFonts w:ascii="EB Garamond" w:hAnsi="EB Garamond" w:eastAsia="EB Garamond"/>
        </w:rPr>
        <w:t>Opening debt equals entry EBITDA multiplied by opening leverage assumption.</w:t>
      </w:r>
    </w:p>
    <w:p>
      <w:pPr>
        <w:pStyle w:val="Checklist"/>
      </w:pPr>
      <w:r>
        <w:rPr>
          <w:rFonts w:ascii="EB Garamond" w:hAnsi="EB Garamond" w:eastAsia="EB Garamond"/>
        </w:rPr>
        <w:t xml:space="preserve">☐ </w:t>
      </w:r>
      <w:r>
        <w:rPr>
          <w:rFonts w:ascii="EB Garamond" w:hAnsi="EB Garamond" w:eastAsia="EB Garamond"/>
        </w:rPr>
        <w:t>Cash interest links to average or opening debt and interest rate assumption.</w:t>
      </w:r>
    </w:p>
    <w:p>
      <w:pPr>
        <w:pStyle w:val="Checklist"/>
      </w:pPr>
      <w:r>
        <w:rPr>
          <w:rFonts w:ascii="EB Garamond" w:hAnsi="EB Garamond" w:eastAsia="EB Garamond"/>
        </w:rPr>
        <w:t xml:space="preserve">☐ </w:t>
      </w:r>
      <w:r>
        <w:rPr>
          <w:rFonts w:ascii="EB Garamond" w:hAnsi="EB Garamond" w:eastAsia="EB Garamond"/>
        </w:rPr>
        <w:t>Closing debt equals opening debt minus debt repayment.</w:t>
      </w:r>
    </w:p>
    <w:p>
      <w:pPr>
        <w:pStyle w:val="Checklist"/>
      </w:pPr>
      <w:r>
        <w:rPr>
          <w:rFonts w:ascii="EB Garamond" w:hAnsi="EB Garamond" w:eastAsia="EB Garamond"/>
        </w:rPr>
        <w:t xml:space="preserve">☐ </w:t>
      </w:r>
      <w:r>
        <w:rPr>
          <w:rFonts w:ascii="EB Garamond" w:hAnsi="EB Garamond" w:eastAsia="EB Garamond"/>
        </w:rPr>
        <w:t>Debt does not go below zero unless excess cash is separately modelled.</w:t>
      </w:r>
    </w:p>
    <w:p>
      <w:pPr>
        <w:pStyle w:val="Checklist"/>
      </w:pPr>
      <w:r>
        <w:rPr>
          <w:rFonts w:ascii="EB Garamond" w:hAnsi="EB Garamond" w:eastAsia="EB Garamond"/>
        </w:rPr>
        <w:t xml:space="preserve">☐ </w:t>
      </w:r>
      <w:r>
        <w:rPr>
          <w:rFonts w:ascii="EB Garamond" w:hAnsi="EB Garamond" w:eastAsia="EB Garamond"/>
        </w:rPr>
        <w:t>Exit enterprise value equals exit EBITDA multiplied by exit multiple.</w:t>
      </w:r>
    </w:p>
    <w:p>
      <w:pPr>
        <w:pStyle w:val="Checklist"/>
      </w:pPr>
      <w:r>
        <w:rPr>
          <w:rFonts w:ascii="EB Garamond" w:hAnsi="EB Garamond" w:eastAsia="EB Garamond"/>
        </w:rPr>
        <w:t xml:space="preserve">☐ </w:t>
      </w:r>
      <w:r>
        <w:rPr>
          <w:rFonts w:ascii="EB Garamond" w:hAnsi="EB Garamond" w:eastAsia="EB Garamond"/>
        </w:rPr>
        <w:t>Exit equity value equals exit EV minus exit net debt.</w:t>
      </w:r>
    </w:p>
    <w:p>
      <w:pPr>
        <w:pStyle w:val="Checklist"/>
      </w:pPr>
      <w:r>
        <w:rPr>
          <w:rFonts w:ascii="EB Garamond" w:hAnsi="EB Garamond" w:eastAsia="EB Garamond"/>
        </w:rPr>
        <w:t xml:space="preserve">☐ </w:t>
      </w:r>
      <w:r>
        <w:rPr>
          <w:rFonts w:ascii="EB Garamond" w:hAnsi="EB Garamond" w:eastAsia="EB Garamond"/>
        </w:rPr>
        <w:t>MOIC equals exit equity value divided by initial sponsor equity.</w:t>
      </w:r>
    </w:p>
    <w:p>
      <w:pPr>
        <w:pStyle w:val="Checklist"/>
      </w:pPr>
      <w:r>
        <w:rPr>
          <w:rFonts w:ascii="EB Garamond" w:hAnsi="EB Garamond" w:eastAsia="EB Garamond"/>
        </w:rPr>
        <w:t xml:space="preserve">☐ </w:t>
      </w:r>
      <w:r>
        <w:rPr>
          <w:rFonts w:ascii="EB Garamond" w:hAnsi="EB Garamond" w:eastAsia="EB Garamond"/>
        </w:rPr>
        <w:t>IRR uses holding period years and sponsor equity, not total transaction value.</w:t>
      </w:r>
    </w:p>
    <w:p>
      <w:pPr>
        <w:pStyle w:val="Checklist"/>
      </w:pPr>
      <w:r>
        <w:rPr>
          <w:rFonts w:ascii="EB Garamond" w:hAnsi="EB Garamond" w:eastAsia="EB Garamond"/>
        </w:rPr>
        <w:t xml:space="preserve">☐ </w:t>
      </w:r>
      <w:r>
        <w:rPr>
          <w:rFonts w:ascii="EB Garamond" w:hAnsi="EB Garamond" w:eastAsia="EB Garamond"/>
        </w:rPr>
        <w:t>Downside case has lower growth, lower exit multiple and/or higher interest cost than base case.</w:t>
      </w:r>
    </w:p>
    <w:p>
      <w:pPr>
        <w:pStyle w:val="Checklist"/>
      </w:pPr>
      <w:r>
        <w:rPr>
          <w:rFonts w:ascii="EB Garamond" w:hAnsi="EB Garamond" w:eastAsia="EB Garamond"/>
        </w:rPr>
        <w:t xml:space="preserve">☐ </w:t>
      </w:r>
      <w:r>
        <w:rPr>
          <w:rFonts w:ascii="EB Garamond" w:hAnsi="EB Garamond" w:eastAsia="EB Garamond"/>
        </w:rPr>
        <w:t>Dashboard cells link to output lines and contain no manual calculations.</w:t>
      </w:r>
    </w:p>
    <w:p>
      <w:pPr>
        <w:pStyle w:val="Heading1"/>
      </w:pPr>
      <w:r>
        <w:rPr>
          <w:rFonts w:ascii="EB Garamond" w:hAnsi="EB Garamond" w:eastAsia="EB Garamond"/>
        </w:rPr>
        <w:t>17. Interpretation prompts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4788"/>
        <w:gridCol w:w="4788"/>
      </w:tblGrid>
      <w:tr>
        <w:tc>
          <w:tcPr>
            <w:tcW w:type="dxa" w:w="238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Prompt</w:t>
            </w:r>
          </w:p>
        </w:tc>
        <w:tc>
          <w:tcPr>
            <w:tcW w:type="dxa" w:w="6123"/>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Your answer should address</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take-private?</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Control, long-term transformation, reduced public-market pressure and ability to separate assets privately</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this offer price?</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Premium, shareholder support, deal certainty and sponsor return constraints</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rollover?</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Alignment, lower cash requirement, seller upside and transaction viability</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leverage?</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Amplifies equity returns but increases downside and covenant / refinancing risk</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cash sweep?</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Debt paydown is a core LBO value-creation mechanism</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exit optionality?</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Sponsors need credible routes to monetise: IPO, strategic sale, sponsor sale or asset disposals</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Why IRR sensitivity?</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Small changes in EBITDA CAGR and exit multiple can materially change sponsor returns</w:t>
            </w:r>
          </w:p>
        </w:tc>
      </w:tr>
      <w:tr>
        <w:tc>
          <w:tcPr>
            <w:tcW w:type="dxa" w:w="2381"/>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Main junior mistake?</w:t>
            </w:r>
          </w:p>
        </w:tc>
        <w:tc>
          <w:tcPr>
            <w:tcW w:type="dxa" w:w="6123"/>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Treating an LBO as a valuation truth rather than a sponsor return framework</w:t>
            </w:r>
          </w:p>
        </w:tc>
      </w:tr>
    </w:tbl>
    <w:p>
      <w:pPr>
        <w:pStyle w:val="Heading1"/>
      </w:pPr>
      <w:r>
        <w:rPr>
          <w:rFonts w:ascii="EB Garamond" w:hAnsi="EB Garamond" w:eastAsia="EB Garamond"/>
        </w:rPr>
        <w:t>18. 8-line Associate email</w:t>
      </w:r>
    </w:p>
    <w:p>
      <w:r>
        <w:rPr>
          <w:rFonts w:ascii="EB Garamond" w:hAnsi="EB Garamond" w:eastAsia="EB Garamond"/>
          <w:b w:val="0"/>
          <w:i w:val="0"/>
        </w:rPr>
        <w:t>Write a maximum 8-line email. It must follow this structure: conclusion, entry price, financing, returns, value creation, downside, decision / ask and next step.</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680"/>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Line</w:t>
            </w:r>
          </w:p>
        </w:tc>
        <w:tc>
          <w:tcPr>
            <w:tcW w:type="dxa" w:w="283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Required content</w:t>
            </w:r>
          </w:p>
        </w:tc>
        <w:tc>
          <w:tcPr>
            <w:tcW w:type="dxa" w:w="4989"/>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7"/>
              </w:rPr>
            </w:r>
            <w:r>
              <w:rPr>
                <w:rFonts w:ascii="EB Garamond" w:hAnsi="EB Garamond" w:eastAsia="EB Garamond"/>
                <w:b/>
                <w:i w:val="0"/>
                <w:sz w:val="17"/>
              </w:rPr>
              <w:t>Your draft</w:t>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1</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Conclusion on whether base case clears sponsor return threshold</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2</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Entry valuation and offer premium evidence</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3</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Sources and uses / sponsor equity point</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4</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Leverage and deleveraging point</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5</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MOIC / IRR output</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6</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Main downside risk</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7</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Decision / ask</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r>
        <w:tc>
          <w:tcPr>
            <w:tcW w:type="dxa" w:w="680"/>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8</w:t>
            </w:r>
          </w:p>
        </w:tc>
        <w:tc>
          <w:tcPr>
            <w:tcW w:type="dxa" w:w="2835"/>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t>Next step</w:t>
            </w:r>
          </w:p>
        </w:tc>
        <w:tc>
          <w:tcPr>
            <w:tcW w:type="dxa" w:w="4989"/>
            <w:vAlign w:val="center"/>
            <w:tcMar>
              <w:top w:w="80" w:type="dxa"/>
              <w:start w:w="90" w:type="dxa"/>
              <w:bottom w:w="80" w:type="dxa"/>
              <w:end w:w="90" w:type="dxa"/>
            </w:tcMar>
          </w:tcPr>
          <w:p>
            <w:pPr>
              <w:spacing w:before="0" w:after="0" w:line="252" w:lineRule="auto"/>
            </w:pPr>
            <w:r>
              <w:rPr>
                <w:rFonts w:ascii="EB Garamond" w:hAnsi="EB Garamond" w:eastAsia="EB Garamond"/>
                <w:sz w:val="17"/>
              </w:rPr>
            </w:r>
            <w:r>
              <w:rPr>
                <w:rFonts w:ascii="EB Garamond" w:hAnsi="EB Garamond" w:eastAsia="EB Garamond"/>
                <w:b w:val="0"/>
                <w:i w:val="0"/>
                <w:sz w:val="17"/>
              </w:rPr>
            </w:r>
          </w:p>
        </w:tc>
      </w:tr>
    </w:tbl>
    <w:p>
      <w:pPr>
        <w:pStyle w:val="Heading1"/>
      </w:pPr>
      <w:r>
        <w:rPr>
          <w:rFonts w:ascii="EB Garamond" w:hAnsi="EB Garamond" w:eastAsia="EB Garamond"/>
        </w:rPr>
        <w:t>19. Gold-standard intuition</w:t>
      </w:r>
    </w:p>
    <w:p>
      <w:r>
        <w:rPr>
          <w:rFonts w:ascii="EB Garamond" w:hAnsi="EB Garamond" w:eastAsia="EB Garamond"/>
          <w:b w:val="0"/>
          <w:i w:val="0"/>
        </w:rPr>
        <w:t>An LBO does not answer what a company is worth in an abstract sense. It answers what a financial sponsor can pay while still achieving a required return under a specific capital structure, operating plan and exit assumption.</w:t>
      </w:r>
    </w:p>
    <w:p>
      <w:r>
        <w:rPr>
          <w:rFonts w:ascii="EB Garamond" w:hAnsi="EB Garamond" w:eastAsia="EB Garamond"/>
          <w:b w:val="0"/>
          <w:i w:val="0"/>
        </w:rPr>
        <w:t>In this case, the deeper question is not simply whether NOK 115 per share is high or low. The sponsor question is whether the entry valuation, leverage capacity, rollover structure, asset sale optionality and exit routes can combine to produce an acceptable MOIC and IRR while preserving downside protection.</w:t>
      </w:r>
    </w:p>
    <w:p>
      <w:r>
        <w:rPr>
          <w:rFonts w:ascii="EB Garamond" w:hAnsi="EB Garamond" w:eastAsia="EB Garamond"/>
          <w:b w:val="0"/>
          <w:i w:val="0"/>
        </w:rPr>
        <w:t>For Adevinta, the public-to-private structure matters because the sponsors obtain control and can work on portfolio separation, asset disposals and potential IPO exits outside the short-term pressure of public markets.</w:t>
      </w:r>
    </w:p>
    <w:p>
      <w:pPr>
        <w:pStyle w:val="Heading1"/>
      </w:pPr>
      <w:r>
        <w:rPr>
          <w:rFonts w:ascii="EB Garamond" w:hAnsi="EB Garamond" w:eastAsia="EB Garamond"/>
        </w:rPr>
        <w:t>20. Review and critique rubric</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3192"/>
        <w:gridCol w:w="3192"/>
        <w:gridCol w:w="3192"/>
      </w:tblGrid>
      <w:tr>
        <w:tc>
          <w:tcPr>
            <w:tcW w:type="dxa" w:w="1814"/>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Area</w:t>
            </w:r>
          </w:p>
        </w:tc>
        <w:tc>
          <w:tcPr>
            <w:tcW w:type="dxa" w:w="3515"/>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Pass standard</w:t>
            </w:r>
          </w:p>
        </w:tc>
        <w:tc>
          <w:tcPr>
            <w:tcW w:type="dxa" w:w="3231"/>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Fail indicator</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Mechanics</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Sources=uses, debt schedule and exit returns calculate correctly</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Sources/uses imbalance or wrong sponsor equity</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Conceptual understanding</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Explains LBO as sponsor ability-to-pay</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Describes LBO as intrinsic valuation</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Public M&amp;A link</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Connects offer premium and acceptance threshold to take-private logic</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Ignores public shareholder / threshold mechanics</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Rollover</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Models cash sale and rollover separately</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Treats all seller consideration as cash</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Debt</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Debt paydown and interest logic are traceable</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Debt goes negative or interest is hardcoded</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Returns</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MOIC and IRR use sponsor equity and exit equity value</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Calculates return on EV or total uses</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Downside</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Includes lower growth, lower exit multiple and higher interest case</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Base case only</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Visuals</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At least two charts from linked output cells</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Manual chart data or unclear message</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QC</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90_Checks green and traceable</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Checks absent or superficial</w:t>
            </w:r>
          </w:p>
        </w:tc>
      </w:tr>
      <w:tr>
        <w:tc>
          <w:tcPr>
            <w:tcW w:type="dxa" w:w="1814"/>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Communication</w:t>
            </w:r>
          </w:p>
        </w:tc>
        <w:tc>
          <w:tcPr>
            <w:tcW w:type="dxa" w:w="3515"/>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8-line email gives conclusion, evidence, risk and ask</w:t>
            </w:r>
          </w:p>
        </w:tc>
        <w:tc>
          <w:tcPr>
            <w:tcW w:type="dxa" w:w="3231"/>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Email repeats numbers without judgement</w:t>
            </w:r>
          </w:p>
        </w:tc>
      </w:tr>
    </w:tbl>
    <w:p>
      <w:pPr>
        <w:pStyle w:val="Heading1"/>
      </w:pPr>
      <w:r>
        <w:rPr>
          <w:rFonts w:ascii="EB Garamond" w:hAnsi="EB Garamond" w:eastAsia="EB Garamond"/>
        </w:rPr>
        <w:t>21. Glossary for this case</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4788"/>
        <w:gridCol w:w="4788"/>
      </w:tblGrid>
      <w:tr>
        <w:tc>
          <w:tcPr>
            <w:tcW w:type="dxa" w:w="226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Term</w:t>
            </w:r>
          </w:p>
        </w:tc>
        <w:tc>
          <w:tcPr>
            <w:tcW w:type="dxa" w:w="6236"/>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Practical definition</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LBO</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Leveraged buyout; acquisition funded with a mix of debt and equity, with returns driven by equity value growth.</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Sponsor</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Private equity buyer investing fund capital and seeking a target return.</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Entry multiple</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Valuation multiple paid at acquisition, usually EV / EBITDA.</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Exit multiple</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Valuation multiple assumed at sale or IPO exit.</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MOIC</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Multiple on invested capital; exit equity value divided by initial sponsor equity.</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IRR</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Annualised return over the holding period.</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Sources and uses</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Table showing transaction funding sources and where funds are used.</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Rollover equity</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Seller retains or reinvests part of proceeds into the buyer structure.</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Cash sweep</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Free cash flow used to repay debt.</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Deleveraging</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Reduction of debt over time, increasing equity value if EV is stable or growing.</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Public-to-private</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Acquisition of a listed company followed by delisting and private ownership.</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Tender offer</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Offer to public shareholders to sell their shares at a specified price.</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Squeeze-out</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Mechanism to acquire remaining minority shares after crossing a high ownership threshold.</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Asset sale</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Sale of a division or business unit, often used to crystallise value and repay debt.</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Dual track</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Parallel preparation for IPO and sale to preserve exit optionality.</w:t>
            </w:r>
          </w:p>
        </w:tc>
      </w:tr>
      <w:tr>
        <w:tc>
          <w:tcPr>
            <w:tcW w:type="dxa" w:w="226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Covenant</w:t>
            </w:r>
          </w:p>
        </w:tc>
        <w:tc>
          <w:tcPr>
            <w:tcW w:type="dxa" w:w="623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Lender protection metric or restriction, such as maximum leverage.</w:t>
            </w:r>
          </w:p>
        </w:tc>
      </w:tr>
    </w:tbl>
    <w:p>
      <w:pPr>
        <w:pStyle w:val="Heading1"/>
      </w:pPr>
      <w:r>
        <w:rPr>
          <w:rFonts w:ascii="EB Garamond" w:hAnsi="EB Garamond" w:eastAsia="EB Garamond"/>
        </w:rPr>
        <w:t>22. Level up</w:t>
      </w:r>
    </w:p>
    <w:p>
      <w:r>
        <w:rPr>
          <w:rFonts w:ascii="EB Garamond" w:hAnsi="EB Garamond" w:eastAsia="EB Garamond"/>
          <w:b w:val="0"/>
          <w:i w:val="0"/>
        </w:rPr>
        <w:t>Next difficulty: add a lender case, covenant headroom, refinancing sensitivity, management incentive pool, transaction fees by workstream, tax shield, asset sale proceeds and a sum-of-the-parts exit scenario. The next version should answer: is the deal still attractive if exit multiple compresses and Mobile.de IPO timing slips by one year?</w:t>
      </w:r>
    </w:p>
    <w:p>
      <w:pPr>
        <w:pStyle w:val="Heading1"/>
      </w:pPr>
      <w:r>
        <w:rPr>
          <w:rFonts w:ascii="EB Garamond" w:hAnsi="EB Garamond" w:eastAsia="EB Garamond"/>
        </w:rPr>
        <w:t>23. Source notes</w:t>
      </w:r>
    </w:p>
    <w:p>
      <w:r>
        <w:rPr>
          <w:rFonts w:ascii="EB Garamond" w:hAnsi="EB Garamond" w:eastAsia="EB Garamond"/>
          <w:b w:val="0"/>
          <w:i w:val="0"/>
        </w:rPr>
        <w:t>Use these sources only as fact anchors. Your model should translate public information into a structured analyst deliverable. Where financing terms are not publicly available, use explicit training assumptions.</w:t>
      </w:r>
    </w:p>
    <w:tbl>
      <w:tblPr>
        <w:tblW w:type="auto" w:w="0"/>
        <w:jc w:val="center"/>
        <w:tblLayout w:type="autofit"/>
        <w:tblLook w:firstColumn="1" w:firstRow="1" w:lastColumn="0" w:lastRow="0" w:noHBand="0" w:noVBand="1" w:val="04A0"/>
        <w:tblBorders>
          <w:top w:val="single" w:sz="8" w:space="0" w:color="666666"/>
          <w:bottom w:val="single" w:sz="8" w:space="0" w:color="666666"/>
          <w:insideH w:val="single" w:sz="4" w:space="0" w:color="999999"/>
          <w:left w:val="nil" w:sz="0" w:space="0" w:color="FFFFFF"/>
          <w:right w:val="nil" w:sz="0" w:space="0" w:color="FFFFFF"/>
          <w:insideV w:val="nil" w:sz="0" w:space="0" w:color="FFFFFF"/>
        </w:tblBorders>
      </w:tblPr>
      <w:tblGrid>
        <w:gridCol w:w="4788"/>
        <w:gridCol w:w="4788"/>
      </w:tblGrid>
      <w:tr>
        <w:tc>
          <w:tcPr>
            <w:tcW w:type="dxa" w:w="2948"/>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Source</w:t>
            </w:r>
          </w:p>
        </w:tc>
        <w:tc>
          <w:tcPr>
            <w:tcW w:type="dxa" w:w="5556"/>
            <w:vAlign w:val="center"/>
            <w:tcMar>
              <w:top w:w="80" w:type="dxa"/>
              <w:start w:w="90" w:type="dxa"/>
              <w:bottom w:w="80" w:type="dxa"/>
              <w:end w:w="90" w:type="dxa"/>
            </w:tcMar>
            <w:tcBorders>
              <w:bottom w:val="single" w:sz="8" w:space="0" w:color="666666"/>
            </w:tcBorders>
          </w:tcPr>
          <w:p>
            <w:pPr>
              <w:spacing w:before="0" w:after="0" w:line="252" w:lineRule="auto"/>
            </w:pPr>
            <w:r>
              <w:rPr>
                <w:rFonts w:ascii="EB Garamond" w:hAnsi="EB Garamond" w:eastAsia="EB Garamond"/>
                <w:b/>
                <w:sz w:val="16"/>
              </w:rPr>
            </w:r>
            <w:r>
              <w:rPr>
                <w:rFonts w:ascii="EB Garamond" w:hAnsi="EB Garamond" w:eastAsia="EB Garamond"/>
                <w:b/>
                <w:i w:val="0"/>
                <w:sz w:val="16"/>
              </w:rPr>
              <w:t>Relevant data</w:t>
            </w:r>
          </w:p>
        </w:tc>
      </w:tr>
      <w:tr>
        <w:tc>
          <w:tcPr>
            <w:tcW w:type="dxa" w:w="294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Schibsted announcement, 21 Nov. 2023</w:t>
            </w:r>
          </w:p>
        </w:tc>
        <w:tc>
          <w:tcPr>
            <w:tcW w:type="dxa" w:w="555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Offer price, equity value, premium, Schibsted cash sale, rollover, shareholder support and 90% acceptance condition.</w:t>
            </w:r>
          </w:p>
        </w:tc>
      </w:tr>
      <w:tr>
        <w:tc>
          <w:tcPr>
            <w:tcW w:type="dxa" w:w="294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Adevinta / offer announcements, 2024</w:t>
            </w:r>
          </w:p>
        </w:tc>
        <w:tc>
          <w:tcPr>
            <w:tcW w:type="dxa" w:w="555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Regulatory approval, settlement, completion and compulsory acquisition context.</w:t>
            </w:r>
          </w:p>
        </w:tc>
      </w:tr>
      <w:tr>
        <w:tc>
          <w:tcPr>
            <w:tcW w:type="dxa" w:w="294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Reuters, Adevinta Spain sale to EQT, July 2025</w:t>
            </w:r>
          </w:p>
        </w:tc>
        <w:tc>
          <w:tcPr>
            <w:tcW w:type="dxa" w:w="555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Adevinta Spain asset sale around EUR 2bn EV and refocus on remaining markets.</w:t>
            </w:r>
          </w:p>
        </w:tc>
      </w:tr>
      <w:tr>
        <w:tc>
          <w:tcPr>
            <w:tcW w:type="dxa" w:w="2948"/>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Reuters, Mobile.de IPO consideration, Jan. 2025</w:t>
            </w:r>
          </w:p>
        </w:tc>
        <w:tc>
          <w:tcPr>
            <w:tcW w:type="dxa" w:w="5556"/>
            <w:vAlign w:val="center"/>
            <w:tcMar>
              <w:top w:w="80" w:type="dxa"/>
              <w:start w:w="90" w:type="dxa"/>
              <w:bottom w:w="80" w:type="dxa"/>
              <w:end w:w="90" w:type="dxa"/>
            </w:tcMar>
          </w:tcPr>
          <w:p>
            <w:pPr>
              <w:spacing w:before="0" w:after="0" w:line="252" w:lineRule="auto"/>
            </w:pPr>
            <w:r>
              <w:rPr>
                <w:rFonts w:ascii="EB Garamond" w:hAnsi="EB Garamond" w:eastAsia="EB Garamond"/>
                <w:sz w:val="16"/>
              </w:rPr>
            </w:r>
            <w:r>
              <w:rPr>
                <w:rFonts w:ascii="EB Garamond" w:hAnsi="EB Garamond" w:eastAsia="EB Garamond"/>
                <w:b w:val="0"/>
                <w:i w:val="0"/>
                <w:sz w:val="16"/>
              </w:rPr>
              <w:t>Potential Mobile.de IPO up to EUR 10bn valuation, 2023 revenue and EBITDA datapoints and separation complexity.</w:t>
            </w:r>
          </w:p>
        </w:tc>
      </w:tr>
    </w:tbl>
    <w:sectPr w:rsidR="00FC693F" w:rsidRPr="0006063C" w:rsidSect="00034616">
      <w:headerReference w:type="default" r:id="rId9"/>
      <w:footerReference w:type="default" r:id="rId10"/>
      <w:pgSz w:w="12240" w:h="15840"/>
      <w:pgMar w:top="1361" w:right="1332" w:bottom="1304" w:left="1332" w:header="624"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eastAsia="EB Garamond"/>
        <w:i/>
        <w:sz w:val="18"/>
      </w:rPr>
      <w:t>Analyst IB Prep · M&amp;A / ECM / Sponsor Dynamics · Print-ready exercise 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EB Garamond" w:hAnsi="EB Garamond" w:eastAsia="EB Garamond"/>
        <w:i/>
        <w:sz w:val="18"/>
      </w:rPr>
      <w:t>Case 5 · Adevinta Take-Private LBO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before="0"/>
    </w:pPr>
    <w:rPr>
      <w:rFonts w:ascii="EB Garamond" w:hAnsi="EB Garamond" w:eastAsia="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EB Garamond" w:hAnsi="EB Garamond" w:eastAsia="EB Garamond"/>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EB Garamond" w:hAnsi="EB Garamond" w:eastAsia="EB Garamond"/>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EB Garamond" w:hAnsi="EB Garamond" w:eastAsia="EB Garamond"/>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pPr>
      <w:spacing w:after="160"/>
    </w:pPr>
    <w:rPr>
      <w:rFonts w:ascii="EB Garamond" w:hAnsi="EB Garamond" w:eastAsia="EB Garamond"/>
      <w:caps/>
      <w:sz w:val="18"/>
    </w:rPr>
  </w:style>
  <w:style w:type="paragraph" w:customStyle="1" w:styleId="Instruction">
    <w:name w:val="Instruction"/>
    <w:pPr>
      <w:spacing w:before="40" w:after="120"/>
      <w:ind w:left="198"/>
    </w:pPr>
    <w:rPr>
      <w:rFonts w:ascii="EB Garamond" w:hAnsi="EB Garamond" w:eastAsia="EB Garamond"/>
      <w:i/>
      <w:sz w:val="21"/>
    </w:rPr>
  </w:style>
  <w:style w:type="paragraph" w:customStyle="1" w:styleId="Checklist">
    <w:name w:val="Checklist"/>
    <w:pPr>
      <w:spacing w:after="40"/>
      <w:ind w:left="227"/>
    </w:pPr>
    <w:rPr>
      <w:rFonts w:ascii="EB Garamond" w:hAnsi="EB Garamond" w:eastAsia="EB Garamon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