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rPr>
          <w:rFonts w:ascii="EB Garamond" w:hAnsi="EB Garamond" w:eastAsia="EB Garamond"/>
        </w:rPr>
        <w:t>Analyst IB Prep · M&amp;A / ECM / Nordic SaaS</w:t>
      </w:r>
    </w:p>
    <w:p>
      <w:pPr>
        <w:spacing w:before="1760"/>
        <w:jc w:val="center"/>
      </w:pPr>
      <w:r>
        <w:rPr>
          <w:rFonts w:ascii="EB Garamond" w:hAnsi="EB Garamond" w:eastAsia="EB Garamond"/>
          <w:b/>
          <w:sz w:val="36"/>
        </w:rPr>
        <w:t>Case 6</w:t>
      </w:r>
    </w:p>
    <w:p>
      <w:pPr>
        <w:jc w:val="center"/>
      </w:pPr>
      <w:r>
        <w:rPr>
          <w:rFonts w:ascii="EB Garamond" w:hAnsi="EB Garamond" w:eastAsia="EB Garamond"/>
          <w:b/>
          <w:sz w:val="48"/>
        </w:rPr>
        <w:t>Penneo / Visma Public Takeover</w:t>
      </w:r>
    </w:p>
    <w:p>
      <w:pPr>
        <w:jc w:val="center"/>
      </w:pPr>
      <w:r>
        <w:rPr>
          <w:rFonts w:ascii="EB Garamond" w:hAnsi="EB Garamond" w:eastAsia="EB Garamond"/>
          <w:i/>
          <w:sz w:val="24"/>
        </w:rPr>
        <w:t>Danish SaaS M&amp;A, recommended cash offer, control premium, warrants, squeeze-out, delisting and strategic buyer logic</w:t>
      </w:r>
    </w:p>
    <w:p>
      <w:pPr>
        <w:spacing w:before="600"/>
        <w:jc w:val="center"/>
      </w:pPr>
      <w:r>
        <w:rPr>
          <w:rFonts w:ascii="EB Garamond" w:hAnsi="EB Garamond" w:eastAsia="EB Garamond"/>
          <w:sz w:val="24"/>
        </w:rPr>
        <w:t>Opgavesæt til praktisk og konceptuel public M&amp;A-træning</w:t>
      </w:r>
    </w:p>
    <w:p>
      <w:pPr>
        <w:jc w:val="center"/>
      </w:pPr>
      <w:r>
        <w:rPr>
          <w:rFonts w:ascii="EB Garamond" w:hAnsi="EB Garamond" w:eastAsia="EB Garamond"/>
          <w:i/>
          <w:sz w:val="20"/>
        </w:rPr>
        <w:t>Current level: Level 1.5 · Foundation to Deal-ready</w:t>
      </w:r>
    </w:p>
    <w:p>
      <w:r>
        <w:br w:type="page"/>
      </w:r>
    </w:p>
    <w:p>
      <w:pPr>
        <w:pStyle w:val="Heading1"/>
      </w:pPr>
      <w:r>
        <w:rPr>
          <w:rFonts w:ascii="EB Garamond" w:hAnsi="EB Garamond" w:eastAsia="EB Garamond"/>
        </w:rPr>
        <w:t>1. Associate-style task brief</w:t>
      </w:r>
    </w:p>
    <w:p>
      <w:r>
        <w:rPr>
          <w:rFonts w:ascii="EB Garamond" w:hAnsi="EB Garamond" w:eastAsia="EB Garamond"/>
          <w:b w:val="0"/>
          <w:i w:val="0"/>
        </w:rPr>
        <w:t>Build a public M&amp;A offer model for Visma's recommended all-cash takeover offer for Penneo. I want to understand offer premium, implied equity value, SaaS valuation metrics, irrevocable undertakings, acceptance thresholds, warrant treatment, squeeze-out mechanics, delisting risk and what happens to minority shareholders that do not accept.</w:t>
      </w:r>
    </w:p>
    <w:p>
      <w:pPr>
        <w:pStyle w:val="Instruction"/>
      </w:pPr>
      <w:r>
        <w:rPr>
          <w:rFonts w:ascii="EB Garamond" w:hAnsi="EB Garamond" w:eastAsia="EB Garamond"/>
          <w:b w:val="0"/>
          <w:i w:val="0"/>
        </w:rPr>
        <w:t>Deadline: 3.5 hours. Output: Excel workbook, two charts, a 90_Checks tab, a downside / alternative scenario, a stakeholder incentive map and an 8-line Associate email.</w:t>
      </w:r>
    </w:p>
    <w:p>
      <w:pPr>
        <w:pStyle w:val="Heading1"/>
      </w:pPr>
      <w:r>
        <w:rPr>
          <w:rFonts w:ascii="EB Garamond" w:hAnsi="EB Garamond" w:eastAsia="EB Garamond"/>
        </w:rPr>
        <w:t>2. Case background and data pack</w:t>
      </w:r>
    </w:p>
    <w:p>
      <w:r>
        <w:rPr>
          <w:rFonts w:ascii="EB Garamond" w:hAnsi="EB Garamond" w:eastAsia="EB Garamond"/>
          <w:b w:val="0"/>
          <w:i w:val="0"/>
        </w:rPr>
        <w:t>Visma Danmark Holding A/S announced a voluntary recommended public cash offer for Penneo A/S in November 2024. Penneo was a Danish B2B SaaS company combining digital signing and KYC workflows. The offer was made at DKK 16.50 per share and was unanimously supported by Penneo's board. The case is useful because it combines public M&amp;A mechanics, SaaS valuation, strategic buyer rationale and Danish squeeze-out / delisting dynamics.</w:t>
      </w:r>
    </w:p>
    <w:p>
      <w:pPr>
        <w:pStyle w:val="Instruction"/>
      </w:pPr>
      <w:r>
        <w:rPr>
          <w:rFonts w:ascii="EB Garamond" w:hAnsi="EB Garamond" w:eastAsia="EB Garamond"/>
          <w:b w:val="0"/>
          <w:i w:val="0"/>
        </w:rPr>
        <w:t>This is a training case. Use public information as fact anchors and clearly label any training assumptions. The purpose is not to reconstruct every legal term in the offer document, but to understand the commercial and technical mechanics an analyst would support.</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226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Item</w:t>
            </w:r>
          </w:p>
        </w:tc>
        <w:tc>
          <w:tcPr>
            <w:tcW w:type="dxa" w:w="328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Case fact</w:t>
            </w:r>
          </w:p>
        </w:tc>
        <w:tc>
          <w:tcPr>
            <w:tcW w:type="dxa" w:w="294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Use in model</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Target</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Penneo A/S</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Danish B2B SaaS / digital signing and KYC workflows</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Offeror</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Visma Danmark Holding A/S</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Strategic buyer</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Offer type</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Voluntary recommended all-cash public takeover offer</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Public M&amp;A mechanism</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Offer price</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DKK 16.50 per share</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Entry equity price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Closing share price reference</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DKK 7.86 on 28 November 2024</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Offer premium calculation</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12-month VWAP reference</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DKK 7.93 on 28 November 2024</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VWAP premium calculation</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Premium to closing price</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109.9%</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Board / shareholder attractiveness</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Premium to 12-month VWAP</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108.1%</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Market reference premium</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Initial undertakings / intentions</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Approx. 52.9% had irrevocably undertaken or confirmed intention to accept</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Initial deal certainty</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Minimum acceptance condition</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More than 90% of voting rights and share capital</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Squeeze-out and control threshold</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Offer document</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Published 19 December 2024 after DFSA approval</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Regulatory / process step</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Offer period</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20 December 2024 to 21 January 2025</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Timetable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Final result</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32,705,282 shares accepted / acquired</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Completion and acceptance model</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Final ownership</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Approx. 91.45% fully diluted</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Squeeze-out trigger</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Settlement</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Expected 3 February 2025</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Timeline / closing</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Compulsory acquisition</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Initiated at DKK 16.50 per share</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Minority treatment</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Business metric</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ARR of DKK 97.5m at end-Q3 2024</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SaaS valuation metric</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ARR growth</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18% year-on-year at end-Q3 2024</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Growth profile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Net retention</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103% YoY ARR net retention</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Quality of revenue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Churn</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5% YoY churn</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SaaS risk / stickiness</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Foreign ARR</w:t>
            </w:r>
          </w:p>
        </w:tc>
        <w:tc>
          <w:tcPr>
            <w:tcW w:type="dxa" w:w="328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DKK 30.6m at end-Q3 2024</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International expansion</w:t>
            </w:r>
          </w:p>
        </w:tc>
      </w:tr>
    </w:tbl>
    <w:p>
      <w:r>
        <w:br w:type="page"/>
      </w:r>
    </w:p>
    <w:p>
      <w:pPr>
        <w:pStyle w:val="Heading1"/>
      </w:pPr>
      <w:r>
        <w:rPr>
          <w:rFonts w:ascii="EB Garamond" w:hAnsi="EB Garamond" w:eastAsia="EB Garamond"/>
        </w:rPr>
        <w:t>3. Learning objectives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170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7"/>
              </w:rPr>
            </w:r>
            <w:r>
              <w:rPr>
                <w:rFonts w:ascii="EB Garamond" w:hAnsi="EB Garamond" w:eastAsia="EB Garamond"/>
                <w:b/>
                <w:i w:val="0"/>
                <w:sz w:val="17"/>
              </w:rPr>
              <w:t>Objective</w:t>
            </w:r>
          </w:p>
        </w:tc>
        <w:tc>
          <w:tcPr>
            <w:tcW w:type="dxa" w:w="3685"/>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7"/>
              </w:rPr>
            </w:r>
            <w:r>
              <w:rPr>
                <w:rFonts w:ascii="EB Garamond" w:hAnsi="EB Garamond" w:eastAsia="EB Garamond"/>
                <w:b/>
                <w:i w:val="0"/>
                <w:sz w:val="17"/>
              </w:rPr>
              <w:t>What you must learn</w:t>
            </w:r>
          </w:p>
        </w:tc>
        <w:tc>
          <w:tcPr>
            <w:tcW w:type="dxa" w:w="311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7"/>
              </w:rPr>
            </w:r>
            <w:r>
              <w:rPr>
                <w:rFonts w:ascii="EB Garamond" w:hAnsi="EB Garamond" w:eastAsia="EB Garamond"/>
                <w:b/>
                <w:i w:val="0"/>
                <w:sz w:val="17"/>
              </w:rPr>
              <w:t>Observable output</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Public M&amp;A</w:t>
            </w:r>
          </w:p>
        </w:tc>
        <w:tc>
          <w:tcPr>
            <w:tcW w:type="dxa" w:w="3685"/>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Understand recommended cash offer, board statement, acceptance and squeeze-out</w:t>
            </w:r>
          </w:p>
        </w:tc>
        <w:tc>
          <w:tcPr>
            <w:tcW w:type="dxa" w:w="3118"/>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Offer mechanics dashboard</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Pricing</w:t>
            </w:r>
          </w:p>
        </w:tc>
        <w:tc>
          <w:tcPr>
            <w:tcW w:type="dxa" w:w="3685"/>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Calculate offer premium and implied equity value</w:t>
            </w:r>
          </w:p>
        </w:tc>
        <w:tc>
          <w:tcPr>
            <w:tcW w:type="dxa" w:w="3118"/>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Premium chart and per-share bridge</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SaaS valuation</w:t>
            </w:r>
          </w:p>
        </w:tc>
        <w:tc>
          <w:tcPr>
            <w:tcW w:type="dxa" w:w="3685"/>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Translate ARR, growth, retention and churn into strategic valuation logic</w:t>
            </w:r>
          </w:p>
        </w:tc>
        <w:tc>
          <w:tcPr>
            <w:tcW w:type="dxa" w:w="3118"/>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ARR multiple and SaaS KPI table</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Stakeholders</w:t>
            </w:r>
          </w:p>
        </w:tc>
        <w:tc>
          <w:tcPr>
            <w:tcW w:type="dxa" w:w="3685"/>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Explain incentives of Visma, Penneo board, shareholders, warrants holders and minority investors</w:t>
            </w:r>
          </w:p>
        </w:tc>
        <w:tc>
          <w:tcPr>
            <w:tcW w:type="dxa" w:w="3118"/>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Stakeholder incentive map</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Control</w:t>
            </w:r>
          </w:p>
        </w:tc>
        <w:tc>
          <w:tcPr>
            <w:tcW w:type="dxa" w:w="3685"/>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Understand why crossing 90% changes the transaction dynamic</w:t>
            </w:r>
          </w:p>
        </w:tc>
        <w:tc>
          <w:tcPr>
            <w:tcW w:type="dxa" w:w="3118"/>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Acceptance threshold chart</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Minority risk</w:t>
            </w:r>
          </w:p>
        </w:tc>
        <w:tc>
          <w:tcPr>
            <w:tcW w:type="dxa" w:w="3685"/>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Explain liquidity, delisting and compulsory acquisition consequences</w:t>
            </w:r>
          </w:p>
        </w:tc>
        <w:tc>
          <w:tcPr>
            <w:tcW w:type="dxa" w:w="3118"/>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Minority outcome scenario</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QC</w:t>
            </w:r>
          </w:p>
        </w:tc>
        <w:tc>
          <w:tcPr>
            <w:tcW w:type="dxa" w:w="3685"/>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Avoid share count, premium, fully diluted and warrant treatment errors</w:t>
            </w:r>
          </w:p>
        </w:tc>
        <w:tc>
          <w:tcPr>
            <w:tcW w:type="dxa" w:w="3118"/>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90_Checks tab</w:t>
            </w:r>
          </w:p>
        </w:tc>
      </w:tr>
    </w:tbl>
    <w:p>
      <w:pPr>
        <w:pStyle w:val="Heading1"/>
      </w:pPr>
      <w:r>
        <w:rPr>
          <w:rFonts w:ascii="EB Garamond" w:hAnsi="EB Garamond" w:eastAsia="EB Garamond"/>
        </w:rPr>
        <w:t>4. Deep understanding framework</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4788"/>
        <w:gridCol w:w="4788"/>
      </w:tblGrid>
      <w:tr>
        <w:tc>
          <w:tcPr>
            <w:tcW w:type="dxa" w:w="289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Question</w:t>
            </w:r>
          </w:p>
        </w:tc>
        <w:tc>
          <w:tcPr>
            <w:tcW w:type="dxa" w:w="5613"/>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Specific application to Penneo</w:t>
            </w:r>
          </w:p>
        </w:tc>
      </w:tr>
      <w:tr>
        <w:tc>
          <w:tcPr>
            <w:tcW w:type="dxa" w:w="289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1. What are we trying to solve?</w:t>
            </w:r>
          </w:p>
        </w:tc>
        <w:tc>
          <w:tcPr>
            <w:tcW w:type="dxa" w:w="5613"/>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Can a strategic buyer acquire control of a listed SaaS company at a price the board can recommend, while securing enough acceptances to squeeze out minorities and delist the company?</w:t>
            </w:r>
          </w:p>
        </w:tc>
      </w:tr>
      <w:tr>
        <w:tc>
          <w:tcPr>
            <w:tcW w:type="dxa" w:w="289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2. Who wants what?</w:t>
            </w:r>
          </w:p>
        </w:tc>
        <w:tc>
          <w:tcPr>
            <w:tcW w:type="dxa" w:w="5613"/>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Visma wants control and strategic fit; Penneo board wants a defensible recommendation; shareholders want liquidity and premium; warrant holders want value realisation; minorities face delisting / illiquidity risk.</w:t>
            </w:r>
          </w:p>
        </w:tc>
      </w:tr>
      <w:tr>
        <w:tc>
          <w:tcPr>
            <w:tcW w:type="dxa" w:w="289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3. What is the technical mechanism?</w:t>
            </w:r>
          </w:p>
        </w:tc>
        <w:tc>
          <w:tcPr>
            <w:tcW w:type="dxa" w:w="5613"/>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Recommended cash offer, offer premium, fully diluted share count, warrant exercise, minimum acceptance, squeeze-out under Danish law and delisting.</w:t>
            </w:r>
          </w:p>
        </w:tc>
      </w:tr>
      <w:tr>
        <w:tc>
          <w:tcPr>
            <w:tcW w:type="dxa" w:w="289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4. What would the analyst build?</w:t>
            </w:r>
          </w:p>
        </w:tc>
        <w:tc>
          <w:tcPr>
            <w:tcW w:type="dxa" w:w="5613"/>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premium table, implied equity value, SaaS ARR multiple, acceptance threshold table, minority scenario and stakeholder map.</w:t>
            </w:r>
          </w:p>
        </w:tc>
      </w:tr>
      <w:tr>
        <w:tc>
          <w:tcPr>
            <w:tcW w:type="dxa" w:w="289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5. What are the common junior mistakes?</w:t>
            </w:r>
          </w:p>
        </w:tc>
        <w:tc>
          <w:tcPr>
            <w:tcW w:type="dxa" w:w="5613"/>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Confusing premium with value creation, ignoring warrants, using basic share count only, treating SaaS revenue like industrial EBITDA and missing minority liquidity consequences.</w:t>
            </w:r>
          </w:p>
        </w:tc>
      </w:tr>
    </w:tbl>
    <w:p>
      <w:pPr>
        <w:pStyle w:val="Heading1"/>
      </w:pPr>
      <w:r>
        <w:rPr>
          <w:rFonts w:ascii="EB Garamond" w:hAnsi="EB Garamond" w:eastAsia="EB Garamond"/>
        </w:rPr>
        <w:t>5. Excel build instructions</w:t>
      </w:r>
    </w:p>
    <w:p>
      <w:r>
        <w:rPr>
          <w:rFonts w:ascii="EB Garamond" w:hAnsi="EB Garamond" w:eastAsia="EB Garamond"/>
          <w:b w:val="0"/>
          <w:i w:val="0"/>
        </w:rPr>
        <w:t>Build one workbook with the tabs below. Keep all assumptions visible in 01_Inputs. Do not hardcode offer premium or implied valuation outputs in the dashboard.</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187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Tab</w:t>
            </w:r>
          </w:p>
        </w:tc>
        <w:tc>
          <w:tcPr>
            <w:tcW w:type="dxa" w:w="238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Purpose</w:t>
            </w:r>
          </w:p>
        </w:tc>
        <w:tc>
          <w:tcPr>
            <w:tcW w:type="dxa" w:w="4252"/>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Required blocks</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00_Cover</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Metadata and change log</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Version, owner, sources, case scope, open items</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01_Inputs</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Manual inputs and case facts</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price, reference prices, shares, ARR, acceptance %, warrant assumptions</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02_Offer_Premium</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Public M&amp;A entry pricing</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Closing price, VWAP, premium, implied equity value</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03_SaaS_Valuation</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ARR and strategic valuation logic</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ARR, growth, net retention, churn, implied EV / ARR or equity / ARR</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04_Acceptance_Scenarios</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Control and squeeze-out mechanics</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52.9%, 90%, 91.45%, 100% scenarios</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05_Warrants_Minority</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Warrant and minority analysis</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Warrant exercise logic, minority outcomes, delisting consequences</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06_Stakeholder_Map</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Who wants what</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Buyer, board, shareholders, warrants holders, employees, customers, bank</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07_Output_Dashboard</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Decision dashboard</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Key outputs, two charts, 60-second explanation</w:t>
            </w:r>
          </w:p>
        </w:tc>
      </w:tr>
      <w:tr>
        <w:tc>
          <w:tcPr>
            <w:tcW w:type="dxa" w:w="187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90_Checks</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QC hub</w:t>
            </w:r>
          </w:p>
        </w:tc>
        <w:tc>
          <w:tcPr>
            <w:tcW w:type="dxa" w:w="4252"/>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Premium, share count, equity value, acceptance, ARR multiple, dashboard links</w:t>
            </w:r>
          </w:p>
        </w:tc>
      </w:tr>
    </w:tbl>
    <w:p>
      <w:pPr>
        <w:pStyle w:val="Heading1"/>
      </w:pPr>
      <w:r>
        <w:rPr>
          <w:rFonts w:ascii="EB Garamond" w:hAnsi="EB Garamond" w:eastAsia="EB Garamond"/>
        </w:rPr>
        <w:t>6. Core calculations</w:t>
      </w:r>
    </w:p>
    <w:p>
      <w:pPr>
        <w:spacing w:before="80" w:after="120"/>
        <w:jc w:val="center"/>
      </w:pPr>
      <w:r>
        <w:rPr>
          <w:rFonts w:ascii="EB Garamond" w:hAnsi="EB Garamond" w:eastAsia="EB Garamond"/>
          <w:i/>
          <w:sz w:val="22"/>
        </w:rPr>
        <w:t>Offer premium to spot: Offer premium = offer price / unaffected closing price - 1</w:t>
      </w:r>
    </w:p>
    <w:p>
      <w:pPr>
        <w:spacing w:before="80" w:after="120"/>
        <w:jc w:val="center"/>
      </w:pPr>
      <w:r>
        <w:rPr>
          <w:rFonts w:ascii="EB Garamond" w:hAnsi="EB Garamond" w:eastAsia="EB Garamond"/>
          <w:i/>
          <w:sz w:val="22"/>
        </w:rPr>
        <w:t>Offer premium to VWAP: VWAP premium = offer price / 12-month VWAP - 1</w:t>
      </w:r>
    </w:p>
    <w:p>
      <w:pPr>
        <w:spacing w:before="80" w:after="120"/>
        <w:jc w:val="center"/>
      </w:pPr>
      <w:r>
        <w:rPr>
          <w:rFonts w:ascii="EB Garamond" w:hAnsi="EB Garamond" w:eastAsia="EB Garamond"/>
          <w:i/>
          <w:sz w:val="22"/>
        </w:rPr>
        <w:t>Implied fully diluted shares: Fully diluted shares = accepted shares / final ownership percentage</w:t>
      </w:r>
    </w:p>
    <w:p>
      <w:pPr>
        <w:spacing w:before="80" w:after="120"/>
        <w:jc w:val="center"/>
      </w:pPr>
      <w:r>
        <w:rPr>
          <w:rFonts w:ascii="EB Garamond" w:hAnsi="EB Garamond" w:eastAsia="EB Garamond"/>
          <w:i/>
          <w:sz w:val="22"/>
        </w:rPr>
        <w:t>Implied equity value: Equity value = offer price × fully diluted shares</w:t>
      </w:r>
    </w:p>
    <w:p>
      <w:pPr>
        <w:spacing w:before="80" w:after="120"/>
        <w:jc w:val="center"/>
      </w:pPr>
      <w:r>
        <w:rPr>
          <w:rFonts w:ascii="EB Garamond" w:hAnsi="EB Garamond" w:eastAsia="EB Garamond"/>
          <w:i/>
          <w:sz w:val="22"/>
        </w:rPr>
        <w:t>Pre-offer market value: Pre-offer market value = unaffected closing price × fully diluted shares</w:t>
      </w:r>
    </w:p>
    <w:p>
      <w:pPr>
        <w:spacing w:before="80" w:after="120"/>
        <w:jc w:val="center"/>
      </w:pPr>
      <w:r>
        <w:rPr>
          <w:rFonts w:ascii="EB Garamond" w:hAnsi="EB Garamond" w:eastAsia="EB Garamond"/>
          <w:i/>
          <w:sz w:val="22"/>
        </w:rPr>
        <w:t>Value uplift to shareholders: Uplift = equity value at offer price - market value at unaffected price</w:t>
      </w:r>
    </w:p>
    <w:p>
      <w:pPr>
        <w:spacing w:before="80" w:after="120"/>
        <w:jc w:val="center"/>
      </w:pPr>
      <w:r>
        <w:rPr>
          <w:rFonts w:ascii="EB Garamond" w:hAnsi="EB Garamond" w:eastAsia="EB Garamond"/>
          <w:i/>
          <w:sz w:val="22"/>
        </w:rPr>
        <w:t>ARR multiple: Equity value / ARR = implied equity value / latest ARR</w:t>
      </w:r>
    </w:p>
    <w:p>
      <w:pPr>
        <w:spacing w:before="80" w:after="120"/>
        <w:jc w:val="center"/>
      </w:pPr>
      <w:r>
        <w:rPr>
          <w:rFonts w:ascii="EB Garamond" w:hAnsi="EB Garamond" w:eastAsia="EB Garamond"/>
          <w:i/>
          <w:sz w:val="22"/>
        </w:rPr>
        <w:t>Acceptance threshold shares: Shares required for 90% = fully diluted shares × 90%</w:t>
      </w:r>
    </w:p>
    <w:p>
      <w:pPr>
        <w:spacing w:before="80" w:after="120"/>
        <w:jc w:val="center"/>
      </w:pPr>
      <w:r>
        <w:rPr>
          <w:rFonts w:ascii="EB Garamond" w:hAnsi="EB Garamond" w:eastAsia="EB Garamond"/>
          <w:i/>
          <w:sz w:val="22"/>
        </w:rPr>
        <w:t>Excess over threshold: Excess shares = final accepted shares - shares required for 90%</w:t>
      </w:r>
    </w:p>
    <w:p>
      <w:pPr>
        <w:spacing w:before="80" w:after="120"/>
        <w:jc w:val="center"/>
      </w:pPr>
      <w:r>
        <w:rPr>
          <w:rFonts w:ascii="EB Garamond" w:hAnsi="EB Garamond" w:eastAsia="EB Garamond"/>
          <w:i/>
          <w:sz w:val="22"/>
        </w:rPr>
        <w:t>Minority shares remaining: Minority shares = fully diluted shares - final accepted shares</w:t>
      </w:r>
    </w:p>
    <w:p>
      <w:pPr>
        <w:spacing w:before="80" w:after="120"/>
        <w:jc w:val="center"/>
      </w:pPr>
      <w:r>
        <w:rPr>
          <w:rFonts w:ascii="EB Garamond" w:hAnsi="EB Garamond" w:eastAsia="EB Garamond"/>
          <w:i/>
          <w:sz w:val="22"/>
        </w:rPr>
        <w:t>Minority cash consideration: Minority cash consideration = minority shares × offer price</w:t>
      </w:r>
    </w:p>
    <w:p>
      <w:pPr>
        <w:pStyle w:val="Heading1"/>
      </w:pPr>
      <w:r>
        <w:rPr>
          <w:rFonts w:ascii="EB Garamond" w:hAnsi="EB Garamond" w:eastAsia="EB Garamond"/>
        </w:rPr>
        <w:t>7. Task A, conceptual questions</w:t>
      </w:r>
    </w:p>
    <w:p>
      <w:r>
        <w:rPr>
          <w:rFonts w:ascii="EB Garamond" w:hAnsi="EB Garamond" w:eastAsia="EB Garamond"/>
          <w:b w:val="0"/>
          <w:i w:val="0"/>
        </w:rPr>
        <w:t>Answer these before building the model. Keep each answer to 4 to 6 lines. Your goal is to explain public M&amp;A and SaaS strategic logic, not just repeat offer terms.</w:t>
      </w:r>
    </w:p>
    <w:p>
      <w:r>
        <w:rPr>
          <w:rFonts w:ascii="EB Garamond" w:hAnsi="EB Garamond" w:eastAsia="EB Garamond"/>
          <w:b/>
          <w:i w:val="0"/>
        </w:rPr>
        <w:t>Why might Visma want to acquire Penneo rather than partner with it or buy a minority stake?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does the board recommendation matter in a voluntary public takeover offer?</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can a 109.9% premium be commercially rational for a strategic buyer?</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What does the 90% minimum acceptance condition allow the buyer to do?</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are warrants important in a public takeover offer for a growth company?</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might shareholders accept a cash offer even if they believe in the long-term SaaS story?</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What are the risks for shareholders that do not accept before squeeze-out or delisting?</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How is SaaS valuation conceptually different from industrial EV / EBITDA valuation?</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8. Task B, offer premium and implied equity value</w:t>
      </w:r>
    </w:p>
    <w:p>
      <w:r>
        <w:rPr>
          <w:rFonts w:ascii="EB Garamond" w:hAnsi="EB Garamond" w:eastAsia="EB Garamond"/>
          <w:b w:val="0"/>
          <w:i w:val="0"/>
        </w:rPr>
        <w:t>Calculate the offer premium and implied equity value. Use the final accepted shares and final ownership percentage to back-solve a fully diluted share count for training purposes.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272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Line item</w:t>
            </w:r>
          </w:p>
        </w:tc>
        <w:tc>
          <w:tcPr>
            <w:tcW w:type="dxa" w:w="3855"/>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Input / formula</w:t>
            </w:r>
          </w:p>
        </w:tc>
        <w:tc>
          <w:tcPr>
            <w:tcW w:type="dxa" w:w="1928"/>
            <w:vAlign w:val="center"/>
            <w:tcMar>
              <w:top w:w="80" w:type="dxa"/>
              <w:start w:w="95" w:type="dxa"/>
              <w:bottom w:w="80" w:type="dxa"/>
              <w:end w:w="95" w:type="dxa"/>
            </w:tcMar>
            <w:tcBorders>
              <w:bottom w:val="single" w:sz="8" w:space="0" w:color="666666"/>
            </w:tcBorders>
          </w:tcPr>
          <w:p>
            <w:pPr>
              <w:spacing w:before="0" w:after="0" w:line="250" w:lineRule="auto"/>
              <w:jc w:val="right"/>
            </w:pPr>
            <w:r>
              <w:rPr>
                <w:rFonts w:ascii="EB Garamond" w:hAnsi="EB Garamond" w:eastAsia="EB Garamond"/>
                <w:b/>
                <w:sz w:val="16"/>
              </w:rPr>
            </w:r>
            <w:r>
              <w:rPr>
                <w:rFonts w:ascii="EB Garamond" w:hAnsi="EB Garamond" w:eastAsia="EB Garamond"/>
                <w:b/>
                <w:i w:val="0"/>
                <w:sz w:val="16"/>
              </w:rPr>
              <w:t>Your output</w:t>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price</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DKK 16.50</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Unaffected close</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DKK 7.86</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12-month VWAP</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DKK 7.93</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Premium to close</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price / unaffected close - 1</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Premium to VWAP</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price / VWAP - 1</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Final accepted shares</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32,705,282</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Final ownership</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91.45% fully diluted</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Back-solved fully diluted shares</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Accepted shares / final ownership</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Implied equity value</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price × fully diluted shares</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Pre-offer market value</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Unaffected close × fully diluted shares</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Implied value uplift</w:t>
            </w:r>
          </w:p>
        </w:tc>
        <w:tc>
          <w:tcPr>
            <w:tcW w:type="dxa" w:w="385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equity value - pre-offer market value</w:t>
            </w:r>
          </w:p>
        </w:tc>
        <w:tc>
          <w:tcPr>
            <w:tcW w:type="dxa" w:w="1928"/>
            <w:vAlign w:val="center"/>
            <w:tcMar>
              <w:top w:w="80" w:type="dxa"/>
              <w:start w:w="95" w:type="dxa"/>
              <w:bottom w:w="80" w:type="dxa"/>
              <w:end w:w="95" w:type="dxa"/>
            </w:tcMar>
          </w:tcPr>
          <w:p>
            <w:pPr>
              <w:spacing w:before="0" w:after="0" w:line="250" w:lineRule="auto"/>
              <w:jc w:val="right"/>
            </w:pPr>
            <w:r>
              <w:rPr>
                <w:rFonts w:ascii="EB Garamond" w:hAnsi="EB Garamond" w:eastAsia="EB Garamond"/>
                <w:sz w:val="16"/>
              </w:rPr>
            </w:r>
            <w:r>
              <w:rPr>
                <w:rFonts w:ascii="EB Garamond" w:hAnsi="EB Garamond" w:eastAsia="EB Garamond"/>
                <w:b w:val="0"/>
                <w:i w:val="0"/>
                <w:sz w:val="16"/>
              </w:rPr>
            </w:r>
          </w:p>
        </w:tc>
      </w:tr>
    </w:tbl>
    <w:p>
      <w:pPr>
        <w:pStyle w:val="Instruction"/>
      </w:pPr>
      <w:r>
        <w:rPr>
          <w:rFonts w:ascii="EB Garamond" w:hAnsi="EB Garamond" w:eastAsia="EB Garamond"/>
          <w:b w:val="0"/>
          <w:i w:val="0"/>
        </w:rPr>
        <w:t>Interpretation requirement: Explain why premium analysis is central for board defensibility, but not sufficient to prove that the offer is strategically or intrinsically fair.</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9. Task C, SaaS valuation and strategic buyer logic</w:t>
      </w:r>
    </w:p>
    <w:p>
      <w:r>
        <w:rPr>
          <w:rFonts w:ascii="EB Garamond" w:hAnsi="EB Garamond" w:eastAsia="EB Garamond"/>
          <w:b w:val="0"/>
          <w:i w:val="0"/>
        </w:rPr>
        <w:t>Build a SaaS KPI table. The point is to understand how ARR, growth, retention, churn and international expansion frame the buyer rationale.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255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Metric</w:t>
            </w:r>
          </w:p>
        </w:tc>
        <w:tc>
          <w:tcPr>
            <w:tcW w:type="dxa" w:w="294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Input / source</w:t>
            </w:r>
          </w:p>
        </w:tc>
        <w:tc>
          <w:tcPr>
            <w:tcW w:type="dxa" w:w="3005"/>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Your output / comment</w:t>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ARR at Q3 2024</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DKK 97.5m</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YoY ARR growth</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18%</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ARR net retention</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103%</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YoY churn</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5%</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Foreign ARR</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DKK 30.6m</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Foreign ARR growth</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29%</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ARR guidance 2024</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DKK 101-106m</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Implied equity value / ARR</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Implied equity value / ARR</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Strategic fit hypothesis</w:t>
            </w:r>
          </w:p>
        </w:tc>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Signing + KYC + Visma customer base</w:t>
            </w:r>
          </w:p>
        </w:tc>
        <w:tc>
          <w:tcPr>
            <w:tcW w:type="dxa" w:w="300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bl>
    <w:p>
      <w:r>
        <w:rPr>
          <w:rFonts w:ascii="EB Garamond" w:hAnsi="EB Garamond" w:eastAsia="EB Garamond"/>
          <w:b/>
          <w:i w:val="0"/>
        </w:rPr>
        <w:t>Conceptual prompt: Why might a buyer pay a high ARR multiple for a SaaS company with high gross margin, recurring revenue, cross-sell potential and product adjacency, even if current EBITDA is modest?</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10. Task D, acceptance threshold and squeeze-out mechanics</w:t>
      </w:r>
    </w:p>
    <w:p>
      <w:r>
        <w:rPr>
          <w:rFonts w:ascii="EB Garamond" w:hAnsi="EB Garamond" w:eastAsia="EB Garamond"/>
          <w:b w:val="0"/>
          <w:i w:val="0"/>
        </w:rPr>
        <w:t>Model the acceptance scenarios. The critical concept is that the transaction changes character once the buyer crosses 90%.</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2394"/>
        <w:gridCol w:w="2394"/>
        <w:gridCol w:w="2394"/>
        <w:gridCol w:w="2394"/>
      </w:tblGrid>
      <w:tr>
        <w:tc>
          <w:tcPr>
            <w:tcW w:type="dxa" w:w="192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Scenario</w:t>
            </w:r>
          </w:p>
        </w:tc>
        <w:tc>
          <w:tcPr>
            <w:tcW w:type="dxa" w:w="170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Ownership / acceptance</w:t>
            </w:r>
          </w:p>
        </w:tc>
        <w:tc>
          <w:tcPr>
            <w:tcW w:type="dxa" w:w="3402"/>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Commercial meaning</w:t>
            </w:r>
          </w:p>
        </w:tc>
        <w:tc>
          <w:tcPr>
            <w:tcW w:type="dxa" w:w="1474"/>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Your output</w:t>
            </w:r>
          </w:p>
        </w:tc>
      </w:tr>
      <w:tr>
        <w:tc>
          <w:tcPr>
            <w:tcW w:type="dxa" w:w="192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Initial support</w:t>
            </w:r>
          </w:p>
        </w:tc>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Approx. 52.9%</w:t>
            </w:r>
          </w:p>
        </w:tc>
        <w:tc>
          <w:tcPr>
            <w:tcW w:type="dxa" w:w="3402"/>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Strong starting deal certainty but not enough for squeeze-out</w:t>
            </w:r>
          </w:p>
        </w:tc>
        <w:tc>
          <w:tcPr>
            <w:tcW w:type="dxa" w:w="147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r>
          </w:p>
        </w:tc>
      </w:tr>
      <w:tr>
        <w:tc>
          <w:tcPr>
            <w:tcW w:type="dxa" w:w="192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Minimum acceptance condition</w:t>
            </w:r>
          </w:p>
        </w:tc>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&gt;90%</w:t>
            </w:r>
          </w:p>
        </w:tc>
        <w:tc>
          <w:tcPr>
            <w:tcW w:type="dxa" w:w="3402"/>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Required to take full control and initiate squeeze-out</w:t>
            </w:r>
          </w:p>
        </w:tc>
        <w:tc>
          <w:tcPr>
            <w:tcW w:type="dxa" w:w="147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r>
          </w:p>
        </w:tc>
      </w:tr>
      <w:tr>
        <w:tc>
          <w:tcPr>
            <w:tcW w:type="dxa" w:w="192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Final result</w:t>
            </w:r>
          </w:p>
        </w:tc>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91.45%</w:t>
            </w:r>
          </w:p>
        </w:tc>
        <w:tc>
          <w:tcPr>
            <w:tcW w:type="dxa" w:w="3402"/>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Threshold crossed; compulsory acquisition and delisting path opened</w:t>
            </w:r>
          </w:p>
        </w:tc>
        <w:tc>
          <w:tcPr>
            <w:tcW w:type="dxa" w:w="147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r>
          </w:p>
        </w:tc>
      </w:tr>
      <w:tr>
        <w:tc>
          <w:tcPr>
            <w:tcW w:type="dxa" w:w="192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Full ownership</w:t>
            </w:r>
          </w:p>
        </w:tc>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100%</w:t>
            </w:r>
          </w:p>
        </w:tc>
        <w:tc>
          <w:tcPr>
            <w:tcW w:type="dxa" w:w="3402"/>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No minority shareholders remain</w:t>
            </w:r>
          </w:p>
        </w:tc>
        <w:tc>
          <w:tcPr>
            <w:tcW w:type="dxa" w:w="147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r>
          </w:p>
        </w:tc>
      </w:tr>
      <w:tr>
        <w:tc>
          <w:tcPr>
            <w:tcW w:type="dxa" w:w="192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Shares required for 90%</w:t>
            </w:r>
          </w:p>
        </w:tc>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Fully diluted shares × 90%</w:t>
            </w:r>
          </w:p>
        </w:tc>
        <w:tc>
          <w:tcPr>
            <w:tcW w:type="dxa" w:w="3402"/>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Threshold shares</w:t>
            </w:r>
          </w:p>
        </w:tc>
        <w:tc>
          <w:tcPr>
            <w:tcW w:type="dxa" w:w="147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r>
          </w:p>
        </w:tc>
      </w:tr>
      <w:tr>
        <w:tc>
          <w:tcPr>
            <w:tcW w:type="dxa" w:w="192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Excess over 90%</w:t>
            </w:r>
          </w:p>
        </w:tc>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Final accepted shares - 90% threshold</w:t>
            </w:r>
          </w:p>
        </w:tc>
        <w:tc>
          <w:tcPr>
            <w:tcW w:type="dxa" w:w="3402"/>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Headroom above threshold</w:t>
            </w:r>
          </w:p>
        </w:tc>
        <w:tc>
          <w:tcPr>
            <w:tcW w:type="dxa" w:w="147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r>
          </w:p>
        </w:tc>
      </w:tr>
      <w:tr>
        <w:tc>
          <w:tcPr>
            <w:tcW w:type="dxa" w:w="192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Minority shares remaining</w:t>
            </w:r>
          </w:p>
        </w:tc>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Fully diluted shares - accepted shares</w:t>
            </w:r>
          </w:p>
        </w:tc>
        <w:tc>
          <w:tcPr>
            <w:tcW w:type="dxa" w:w="3402"/>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Squeeze-out target</w:t>
            </w:r>
          </w:p>
        </w:tc>
        <w:tc>
          <w:tcPr>
            <w:tcW w:type="dxa" w:w="147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r>
          </w:p>
        </w:tc>
      </w:tr>
    </w:tbl>
    <w:p>
      <w:pPr>
        <w:pStyle w:val="Instruction"/>
      </w:pPr>
      <w:r>
        <w:rPr>
          <w:rFonts w:ascii="EB Garamond" w:hAnsi="EB Garamond" w:eastAsia="EB Garamond"/>
          <w:b w:val="0"/>
          <w:i w:val="0"/>
        </w:rPr>
        <w:t>Interpretation requirement: Explain the difference between obtaining a majority, obtaining control, crossing 90%, and reaching 100%.</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11. Task E, warrant and minority shareholder analysis</w:t>
      </w:r>
    </w:p>
    <w:p>
      <w:r>
        <w:rPr>
          <w:rFonts w:ascii="EB Garamond" w:hAnsi="EB Garamond" w:eastAsia="EB Garamond"/>
          <w:b w:val="0"/>
          <w:i w:val="0"/>
        </w:rPr>
        <w:t>Model the treatment conceptually. The offer did not extend directly to warrants, but shares issued after exercise of eligible warrants could be sold into the offer. Several warrants had strike prices below the offer price, creating economic incentive to exercise.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238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Item</w:t>
            </w:r>
          </w:p>
        </w:tc>
        <w:tc>
          <w:tcPr>
            <w:tcW w:type="dxa" w:w="306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Mechanic</w:t>
            </w:r>
          </w:p>
        </w:tc>
        <w:tc>
          <w:tcPr>
            <w:tcW w:type="dxa" w:w="306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Why it matters</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Warrant strike below offer price</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Exercise creates shares that can be tendered at DKK 16.50</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Can affect fully diluted share count and proceeds to warrant holders</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Warrants not exercised</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May be cancelled depending on terms and exit notice process</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Important for employee / management incentives</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Minority not accepting</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May remain shareholder until squeeze-out or delisting process</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Liquidity and control risk</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Squeeze-out price</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DKK 16.50 cash per share</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Same price as the offer</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Delisting</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Trading liquidity and public disclosure framework may disappear</w:t>
            </w:r>
          </w:p>
        </w:tc>
        <w:tc>
          <w:tcPr>
            <w:tcW w:type="dxa" w:w="306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Minority protection and exit route change</w:t>
            </w:r>
          </w:p>
        </w:tc>
      </w:tr>
    </w:tbl>
    <w:p>
      <w:r>
        <w:rPr>
          <w:rFonts w:ascii="EB Garamond" w:hAnsi="EB Garamond" w:eastAsia="EB Garamond"/>
          <w:b/>
          <w:i w:val="0"/>
        </w:rPr>
        <w:t>Prompt: If you are a minority shareholder, what are the practical consequences of not accepting the offer once Visma has crossed 90%?</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12. Task F, stakeholder incentive map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2394"/>
        <w:gridCol w:w="2394"/>
        <w:gridCol w:w="2394"/>
        <w:gridCol w:w="2394"/>
      </w:tblGrid>
      <w:tr>
        <w:tc>
          <w:tcPr>
            <w:tcW w:type="dxa" w:w="170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Stakeholder</w:t>
            </w:r>
          </w:p>
        </w:tc>
        <w:tc>
          <w:tcPr>
            <w:tcW w:type="dxa" w:w="226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Wants</w:t>
            </w:r>
          </w:p>
        </w:tc>
        <w:tc>
          <w:tcPr>
            <w:tcW w:type="dxa" w:w="2154"/>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Fears</w:t>
            </w:r>
          </w:p>
        </w:tc>
        <w:tc>
          <w:tcPr>
            <w:tcW w:type="dxa" w:w="238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5"/>
              </w:rPr>
            </w:r>
            <w:r>
              <w:rPr>
                <w:rFonts w:ascii="EB Garamond" w:hAnsi="EB Garamond" w:eastAsia="EB Garamond"/>
                <w:b/>
                <w:i w:val="0"/>
                <w:sz w:val="15"/>
              </w:rPr>
              <w:t>Model / analysis implication</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Visma</w:t>
            </w:r>
          </w:p>
        </w:tc>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Control, product fit, cross-sell and long-term ownership</w:t>
            </w:r>
          </w:p>
        </w:tc>
        <w:tc>
          <w:tcPr>
            <w:tcW w:type="dxa" w:w="215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Overpaying or failing to reach 90%</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Premium, acceptance and strategic rationale</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Penneo board</w:t>
            </w:r>
          </w:p>
        </w:tc>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Defensible recommendation and shareholder value</w:t>
            </w:r>
          </w:p>
        </w:tc>
        <w:tc>
          <w:tcPr>
            <w:tcW w:type="dxa" w:w="215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Recommending a weak or risky offer</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Premium, alternatives and fairness logic</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Major shareholders</w:t>
            </w:r>
          </w:p>
        </w:tc>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Liquidity at high premium and deal certainty</w:t>
            </w:r>
          </w:p>
        </w:tc>
        <w:tc>
          <w:tcPr>
            <w:tcW w:type="dxa" w:w="215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Missing upside if company performs strongly later</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Premium and hold/sell trade-off</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Warrant holders / management</w:t>
            </w:r>
          </w:p>
        </w:tc>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Realise in-the-money value and align with buyer</w:t>
            </w:r>
          </w:p>
        </w:tc>
        <w:tc>
          <w:tcPr>
            <w:tcW w:type="dxa" w:w="215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Cancellation or uncertain value</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Fully diluted and exercise logic</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Minority shareholders</w:t>
            </w:r>
          </w:p>
        </w:tc>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Fair cash exit or continued upside</w:t>
            </w:r>
          </w:p>
        </w:tc>
        <w:tc>
          <w:tcPr>
            <w:tcW w:type="dxa" w:w="215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Illiquidity, delisting and squeeze-out</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Minority scenario</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Employees</w:t>
            </w:r>
          </w:p>
        </w:tc>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Strategic owner and career / product opportunity</w:t>
            </w:r>
          </w:p>
        </w:tc>
        <w:tc>
          <w:tcPr>
            <w:tcW w:type="dxa" w:w="215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Integration changes</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Qualitative rationale</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Customers</w:t>
            </w:r>
          </w:p>
        </w:tc>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Product continuity and stronger platform</w:t>
            </w:r>
          </w:p>
        </w:tc>
        <w:tc>
          <w:tcPr>
            <w:tcW w:type="dxa" w:w="215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Service disruption</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Buyer strategic rationale</w:t>
            </w:r>
          </w:p>
        </w:tc>
      </w:tr>
      <w:tr>
        <w:tc>
          <w:tcPr>
            <w:tcW w:type="dxa" w:w="170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Financial advisor</w:t>
            </w:r>
          </w:p>
        </w:tc>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Clean process and board support</w:t>
            </w:r>
          </w:p>
        </w:tc>
        <w:tc>
          <w:tcPr>
            <w:tcW w:type="dxa" w:w="2154"/>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Process error or poor communication</w:t>
            </w:r>
          </w:p>
        </w:tc>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5"/>
              </w:rPr>
            </w:r>
            <w:r>
              <w:rPr>
                <w:rFonts w:ascii="EB Garamond" w:hAnsi="EB Garamond" w:eastAsia="EB Garamond"/>
                <w:b w:val="0"/>
                <w:i w:val="0"/>
                <w:sz w:val="15"/>
              </w:rPr>
              <w:t>Premium, process and shareholder analysis</w:t>
            </w:r>
          </w:p>
        </w:tc>
      </w:tr>
    </w:tbl>
    <w:p>
      <w:pPr>
        <w:pStyle w:val="Heading1"/>
      </w:pPr>
      <w:r>
        <w:rPr>
          <w:rFonts w:ascii="EB Garamond" w:hAnsi="EB Garamond" w:eastAsia="EB Garamond"/>
        </w:rPr>
        <w:t>13. Task G, required visuals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226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Visual</w:t>
            </w:r>
          </w:p>
        </w:tc>
        <w:tc>
          <w:tcPr>
            <w:tcW w:type="dxa" w:w="379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Required message</w:t>
            </w:r>
          </w:p>
        </w:tc>
        <w:tc>
          <w:tcPr>
            <w:tcW w:type="dxa" w:w="243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Minimum design</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premium bridge</w:t>
            </w:r>
          </w:p>
        </w:tc>
        <w:tc>
          <w:tcPr>
            <w:tcW w:type="dxa" w:w="379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price is materially above unaffected trading levels</w:t>
            </w:r>
          </w:p>
        </w:tc>
        <w:tc>
          <w:tcPr>
            <w:tcW w:type="dxa" w:w="243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Bar or bridge: unaffected close, VWAP, offer price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Acceptance threshold chart</w:t>
            </w:r>
          </w:p>
        </w:tc>
        <w:tc>
          <w:tcPr>
            <w:tcW w:type="dxa" w:w="379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The deal becomes a squeeze-out / delisting case after crossing 90%</w:t>
            </w:r>
          </w:p>
        </w:tc>
        <w:tc>
          <w:tcPr>
            <w:tcW w:type="dxa" w:w="243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Line or bar: 52.9%, 90%, 91.45%, 100%</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SaaS valuation snapshot</w:t>
            </w:r>
          </w:p>
        </w:tc>
        <w:tc>
          <w:tcPr>
            <w:tcW w:type="dxa" w:w="379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Strategic buyer value depends on ARR quality and growth, not only EBITDA</w:t>
            </w:r>
          </w:p>
        </w:tc>
        <w:tc>
          <w:tcPr>
            <w:tcW w:type="dxa" w:w="243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KPI table or simple multiple chart</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Stakeholder incentive map</w:t>
            </w:r>
          </w:p>
        </w:tc>
        <w:tc>
          <w:tcPr>
            <w:tcW w:type="dxa" w:w="379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Each party has different incentives and risks</w:t>
            </w:r>
          </w:p>
        </w:tc>
        <w:tc>
          <w:tcPr>
            <w:tcW w:type="dxa" w:w="243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Matrix or heatmap</w:t>
            </w:r>
          </w:p>
        </w:tc>
      </w:tr>
    </w:tbl>
    <w:p>
      <w:pPr>
        <w:pStyle w:val="Heading1"/>
      </w:pPr>
      <w:r>
        <w:rPr>
          <w:rFonts w:ascii="EB Garamond" w:hAnsi="EB Garamond" w:eastAsia="EB Garamond"/>
        </w:rPr>
        <w:t>14. 90_Checks requirements</w:t>
      </w:r>
    </w:p>
    <w:p>
      <w:pPr>
        <w:pStyle w:val="Checklist"/>
      </w:pPr>
      <w:r>
        <w:rPr>
          <w:rFonts w:ascii="EB Garamond" w:hAnsi="EB Garamond" w:eastAsia="EB Garamond"/>
        </w:rPr>
        <w:t xml:space="preserve">☐ </w:t>
      </w:r>
      <w:r>
        <w:rPr>
          <w:rFonts w:ascii="EB Garamond" w:hAnsi="EB Garamond" w:eastAsia="EB Garamond"/>
        </w:rPr>
        <w:t>Offer premium to closing price equals offer price divided by unaffected closing price minus one.</w:t>
      </w:r>
    </w:p>
    <w:p>
      <w:pPr>
        <w:pStyle w:val="Checklist"/>
      </w:pPr>
      <w:r>
        <w:rPr>
          <w:rFonts w:ascii="EB Garamond" w:hAnsi="EB Garamond" w:eastAsia="EB Garamond"/>
        </w:rPr>
        <w:t xml:space="preserve">☐ </w:t>
      </w:r>
      <w:r>
        <w:rPr>
          <w:rFonts w:ascii="EB Garamond" w:hAnsi="EB Garamond" w:eastAsia="EB Garamond"/>
        </w:rPr>
        <w:t>Offer premium to VWAP equals offer price divided by 12-month VWAP minus one.</w:t>
      </w:r>
    </w:p>
    <w:p>
      <w:pPr>
        <w:pStyle w:val="Checklist"/>
      </w:pPr>
      <w:r>
        <w:rPr>
          <w:rFonts w:ascii="EB Garamond" w:hAnsi="EB Garamond" w:eastAsia="EB Garamond"/>
        </w:rPr>
        <w:t xml:space="preserve">☐ </w:t>
      </w:r>
      <w:r>
        <w:rPr>
          <w:rFonts w:ascii="EB Garamond" w:hAnsi="EB Garamond" w:eastAsia="EB Garamond"/>
        </w:rPr>
        <w:t>Fully diluted share count is consistent with accepted shares divided by final ownership percentage.</w:t>
      </w:r>
    </w:p>
    <w:p>
      <w:pPr>
        <w:pStyle w:val="Checklist"/>
      </w:pPr>
      <w:r>
        <w:rPr>
          <w:rFonts w:ascii="EB Garamond" w:hAnsi="EB Garamond" w:eastAsia="EB Garamond"/>
        </w:rPr>
        <w:t xml:space="preserve">☐ </w:t>
      </w:r>
      <w:r>
        <w:rPr>
          <w:rFonts w:ascii="EB Garamond" w:hAnsi="EB Garamond" w:eastAsia="EB Garamond"/>
        </w:rPr>
        <w:t>Implied equity value equals offer price multiplied by fully diluted shares.</w:t>
      </w:r>
    </w:p>
    <w:p>
      <w:pPr>
        <w:pStyle w:val="Checklist"/>
      </w:pPr>
      <w:r>
        <w:rPr>
          <w:rFonts w:ascii="EB Garamond" w:hAnsi="EB Garamond" w:eastAsia="EB Garamond"/>
        </w:rPr>
        <w:t xml:space="preserve">☐ </w:t>
      </w:r>
      <w:r>
        <w:rPr>
          <w:rFonts w:ascii="EB Garamond" w:hAnsi="EB Garamond" w:eastAsia="EB Garamond"/>
        </w:rPr>
        <w:t>Pre-offer market value equals unaffected close multiplied by fully diluted shares.</w:t>
      </w:r>
    </w:p>
    <w:p>
      <w:pPr>
        <w:pStyle w:val="Checklist"/>
      </w:pPr>
      <w:r>
        <w:rPr>
          <w:rFonts w:ascii="EB Garamond" w:hAnsi="EB Garamond" w:eastAsia="EB Garamond"/>
        </w:rPr>
        <w:t xml:space="preserve">☐ </w:t>
      </w:r>
      <w:r>
        <w:rPr>
          <w:rFonts w:ascii="EB Garamond" w:hAnsi="EB Garamond" w:eastAsia="EB Garamond"/>
        </w:rPr>
        <w:t>Value uplift equals offer equity value minus pre-offer market value.</w:t>
      </w:r>
    </w:p>
    <w:p>
      <w:pPr>
        <w:pStyle w:val="Checklist"/>
      </w:pPr>
      <w:r>
        <w:rPr>
          <w:rFonts w:ascii="EB Garamond" w:hAnsi="EB Garamond" w:eastAsia="EB Garamond"/>
        </w:rPr>
        <w:t xml:space="preserve">☐ </w:t>
      </w:r>
      <w:r>
        <w:rPr>
          <w:rFonts w:ascii="EB Garamond" w:hAnsi="EB Garamond" w:eastAsia="EB Garamond"/>
        </w:rPr>
        <w:t>ARR multiple uses the same valuation basis consistently and flags if net debt is unavailable.</w:t>
      </w:r>
    </w:p>
    <w:p>
      <w:pPr>
        <w:pStyle w:val="Checklist"/>
      </w:pPr>
      <w:r>
        <w:rPr>
          <w:rFonts w:ascii="EB Garamond" w:hAnsi="EB Garamond" w:eastAsia="EB Garamond"/>
        </w:rPr>
        <w:t xml:space="preserve">☐ </w:t>
      </w:r>
      <w:r>
        <w:rPr>
          <w:rFonts w:ascii="EB Garamond" w:hAnsi="EB Garamond" w:eastAsia="EB Garamond"/>
        </w:rPr>
        <w:t>Shares required for 90% equals fully diluted shares multiplied by 90%.</w:t>
      </w:r>
    </w:p>
    <w:p>
      <w:pPr>
        <w:pStyle w:val="Checklist"/>
      </w:pPr>
      <w:r>
        <w:rPr>
          <w:rFonts w:ascii="EB Garamond" w:hAnsi="EB Garamond" w:eastAsia="EB Garamond"/>
        </w:rPr>
        <w:t xml:space="preserve">☐ </w:t>
      </w:r>
      <w:r>
        <w:rPr>
          <w:rFonts w:ascii="EB Garamond" w:hAnsi="EB Garamond" w:eastAsia="EB Garamond"/>
        </w:rPr>
        <w:t>Final accepted shares exceed the 90% threshold in the completed case.</w:t>
      </w:r>
    </w:p>
    <w:p>
      <w:pPr>
        <w:pStyle w:val="Checklist"/>
      </w:pPr>
      <w:r>
        <w:rPr>
          <w:rFonts w:ascii="EB Garamond" w:hAnsi="EB Garamond" w:eastAsia="EB Garamond"/>
        </w:rPr>
        <w:t xml:space="preserve">☐ </w:t>
      </w:r>
      <w:r>
        <w:rPr>
          <w:rFonts w:ascii="EB Garamond" w:hAnsi="EB Garamond" w:eastAsia="EB Garamond"/>
        </w:rPr>
        <w:t>Minority shares remaining equals fully diluted shares minus final accepted shares.</w:t>
      </w:r>
    </w:p>
    <w:p>
      <w:pPr>
        <w:pStyle w:val="Checklist"/>
      </w:pPr>
      <w:r>
        <w:rPr>
          <w:rFonts w:ascii="EB Garamond" w:hAnsi="EB Garamond" w:eastAsia="EB Garamond"/>
        </w:rPr>
        <w:t xml:space="preserve">☐ </w:t>
      </w:r>
      <w:r>
        <w:rPr>
          <w:rFonts w:ascii="EB Garamond" w:hAnsi="EB Garamond" w:eastAsia="EB Garamond"/>
        </w:rPr>
        <w:t>Warrant treatment is separately documented and not ignored in fully diluted analysis.</w:t>
      </w:r>
    </w:p>
    <w:p>
      <w:pPr>
        <w:pStyle w:val="Checklist"/>
      </w:pPr>
      <w:r>
        <w:rPr>
          <w:rFonts w:ascii="EB Garamond" w:hAnsi="EB Garamond" w:eastAsia="EB Garamond"/>
        </w:rPr>
        <w:t xml:space="preserve">☐ </w:t>
      </w:r>
      <w:r>
        <w:rPr>
          <w:rFonts w:ascii="EB Garamond" w:hAnsi="EB Garamond" w:eastAsia="EB Garamond"/>
        </w:rPr>
        <w:t>Dashboard cells link to output lines and contain no manual calculations.</w:t>
      </w:r>
    </w:p>
    <w:p>
      <w:pPr>
        <w:pStyle w:val="Checklist"/>
      </w:pPr>
      <w:r>
        <w:rPr>
          <w:rFonts w:ascii="EB Garamond" w:hAnsi="EB Garamond" w:eastAsia="EB Garamond"/>
        </w:rPr>
        <w:t xml:space="preserve">☐ </w:t>
      </w:r>
      <w:r>
        <w:rPr>
          <w:rFonts w:ascii="EB Garamond" w:hAnsi="EB Garamond" w:eastAsia="EB Garamond"/>
        </w:rPr>
        <w:t>At least one downside / alternative scenario is shown: lower acceptance, no squeeze-out or lower ARR multiple.</w:t>
      </w:r>
    </w:p>
    <w:p>
      <w:pPr>
        <w:pStyle w:val="Heading1"/>
      </w:pPr>
      <w:r>
        <w:rPr>
          <w:rFonts w:ascii="EB Garamond" w:hAnsi="EB Garamond" w:eastAsia="EB Garamond"/>
        </w:rPr>
        <w:t>15. Interpretation prompts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4788"/>
        <w:gridCol w:w="4788"/>
      </w:tblGrid>
      <w:tr>
        <w:tc>
          <w:tcPr>
            <w:tcW w:type="dxa" w:w="238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7"/>
              </w:rPr>
            </w:r>
            <w:r>
              <w:rPr>
                <w:rFonts w:ascii="EB Garamond" w:hAnsi="EB Garamond" w:eastAsia="EB Garamond"/>
                <w:b/>
                <w:i w:val="0"/>
                <w:sz w:val="17"/>
              </w:rPr>
              <w:t>Prompt</w:t>
            </w:r>
          </w:p>
        </w:tc>
        <w:tc>
          <w:tcPr>
            <w:tcW w:type="dxa" w:w="6123"/>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7"/>
              </w:rPr>
            </w:r>
            <w:r>
              <w:rPr>
                <w:rFonts w:ascii="EB Garamond" w:hAnsi="EB Garamond" w:eastAsia="EB Garamond"/>
                <w:b/>
                <w:i w:val="0"/>
                <w:sz w:val="17"/>
              </w:rPr>
              <w:t>Your answer should address</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Why a recommended offer?</w:t>
            </w:r>
          </w:p>
        </w:tc>
        <w:tc>
          <w:tcPr>
            <w:tcW w:type="dxa" w:w="6123"/>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Board credibility, shareholder acceptance and execution certainty</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Why such a high premium?</w:t>
            </w:r>
          </w:p>
        </w:tc>
        <w:tc>
          <w:tcPr>
            <w:tcW w:type="dxa" w:w="6123"/>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Low trading liquidity, strategic value, control, SaaS growth and certainty for shareholders</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Why 90%?</w:t>
            </w:r>
          </w:p>
        </w:tc>
        <w:tc>
          <w:tcPr>
            <w:tcW w:type="dxa" w:w="6123"/>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Compulsory acquisition, full control and delisting path</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Why warrants matter?</w:t>
            </w:r>
          </w:p>
        </w:tc>
        <w:tc>
          <w:tcPr>
            <w:tcW w:type="dxa" w:w="6123"/>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Fully diluted economics and incentive holder treatment</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Why ARR matters?</w:t>
            </w:r>
          </w:p>
        </w:tc>
        <w:tc>
          <w:tcPr>
            <w:tcW w:type="dxa" w:w="6123"/>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Recurring revenue base, scalability, retention and strategic platform value</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Why minorities face risk?</w:t>
            </w:r>
          </w:p>
        </w:tc>
        <w:tc>
          <w:tcPr>
            <w:tcW w:type="dxa" w:w="6123"/>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Reduced liquidity, potential delisting and limited influence</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Why strategic buyer differs from PE?</w:t>
            </w:r>
          </w:p>
        </w:tc>
        <w:tc>
          <w:tcPr>
            <w:tcW w:type="dxa" w:w="6123"/>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Strategic fit and synergy / cross-sell can justify valuation beyond standalone return math</w:t>
            </w:r>
          </w:p>
        </w:tc>
      </w:tr>
      <w:tr>
        <w:tc>
          <w:tcPr>
            <w:tcW w:type="dxa" w:w="2381"/>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Main junior mistake?</w:t>
            </w:r>
          </w:p>
        </w:tc>
        <w:tc>
          <w:tcPr>
            <w:tcW w:type="dxa" w:w="6123"/>
            <w:vAlign w:val="center"/>
            <w:tcMar>
              <w:top w:w="80" w:type="dxa"/>
              <w:start w:w="95" w:type="dxa"/>
              <w:bottom w:w="80" w:type="dxa"/>
              <w:end w:w="95" w:type="dxa"/>
            </w:tcMar>
          </w:tcPr>
          <w:p>
            <w:pPr>
              <w:spacing w:before="0" w:after="0" w:line="250" w:lineRule="auto"/>
            </w:pPr>
            <w:r>
              <w:rPr>
                <w:rFonts w:ascii="EB Garamond" w:hAnsi="EB Garamond" w:eastAsia="EB Garamond"/>
                <w:sz w:val="17"/>
              </w:rPr>
            </w:r>
            <w:r>
              <w:rPr>
                <w:rFonts w:ascii="EB Garamond" w:hAnsi="EB Garamond" w:eastAsia="EB Garamond"/>
                <w:b w:val="0"/>
                <w:i w:val="0"/>
                <w:sz w:val="17"/>
              </w:rPr>
              <w:t>Treating the premium as the whole analysis rather than connecting it to control, SaaS metrics and execution path</w:t>
            </w:r>
          </w:p>
        </w:tc>
      </w:tr>
    </w:tbl>
    <w:p>
      <w:pPr>
        <w:pStyle w:val="Heading1"/>
      </w:pPr>
      <w:r>
        <w:rPr>
          <w:rFonts w:ascii="EB Garamond" w:hAnsi="EB Garamond" w:eastAsia="EB Garamond"/>
        </w:rPr>
        <w:t>16. 8-line Associate email</w:t>
      </w:r>
    </w:p>
    <w:p>
      <w:r>
        <w:rPr>
          <w:rFonts w:ascii="EB Garamond" w:hAnsi="EB Garamond" w:eastAsia="EB Garamond"/>
          <w:b w:val="0"/>
          <w:i w:val="0"/>
        </w:rPr>
        <w:t>Write a maximum 8-line email. It must follow this structure: conclusion, offer premium, implied value, SaaS metrics, acceptance, minority / squeeze-out point, decision / ask and next step.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680"/>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Line</w:t>
            </w:r>
          </w:p>
        </w:tc>
        <w:tc>
          <w:tcPr>
            <w:tcW w:type="dxa" w:w="2835"/>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Required content</w:t>
            </w:r>
          </w:p>
        </w:tc>
        <w:tc>
          <w:tcPr>
            <w:tcW w:type="dxa" w:w="4989"/>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Your draft</w:t>
            </w:r>
          </w:p>
        </w:tc>
      </w:tr>
      <w:tr>
        <w:tc>
          <w:tcPr>
            <w:tcW w:type="dxa" w:w="680"/>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1</w:t>
            </w:r>
          </w:p>
        </w:tc>
        <w:tc>
          <w:tcPr>
            <w:tcW w:type="dxa" w:w="283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Conclusion on whether the offer looks compelling and executable</w:t>
            </w:r>
          </w:p>
        </w:tc>
        <w:tc>
          <w:tcPr>
            <w:tcW w:type="dxa" w:w="4989"/>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680"/>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2</w:t>
            </w:r>
          </w:p>
        </w:tc>
        <w:tc>
          <w:tcPr>
            <w:tcW w:type="dxa" w:w="283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premium vs closing price and VWAP</w:t>
            </w:r>
          </w:p>
        </w:tc>
        <w:tc>
          <w:tcPr>
            <w:tcW w:type="dxa" w:w="4989"/>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680"/>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3</w:t>
            </w:r>
          </w:p>
        </w:tc>
        <w:tc>
          <w:tcPr>
            <w:tcW w:type="dxa" w:w="283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Implied equity value and ARR multiple</w:t>
            </w:r>
          </w:p>
        </w:tc>
        <w:tc>
          <w:tcPr>
            <w:tcW w:type="dxa" w:w="4989"/>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680"/>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4</w:t>
            </w:r>
          </w:p>
        </w:tc>
        <w:tc>
          <w:tcPr>
            <w:tcW w:type="dxa" w:w="283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Strategic SaaS rationale</w:t>
            </w:r>
          </w:p>
        </w:tc>
        <w:tc>
          <w:tcPr>
            <w:tcW w:type="dxa" w:w="4989"/>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680"/>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5</w:t>
            </w:r>
          </w:p>
        </w:tc>
        <w:tc>
          <w:tcPr>
            <w:tcW w:type="dxa" w:w="283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Acceptance / 90% threshold point</w:t>
            </w:r>
          </w:p>
        </w:tc>
        <w:tc>
          <w:tcPr>
            <w:tcW w:type="dxa" w:w="4989"/>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680"/>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6</w:t>
            </w:r>
          </w:p>
        </w:tc>
        <w:tc>
          <w:tcPr>
            <w:tcW w:type="dxa" w:w="283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Minority / warrant / delisting risk</w:t>
            </w:r>
          </w:p>
        </w:tc>
        <w:tc>
          <w:tcPr>
            <w:tcW w:type="dxa" w:w="4989"/>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680"/>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7</w:t>
            </w:r>
          </w:p>
        </w:tc>
        <w:tc>
          <w:tcPr>
            <w:tcW w:type="dxa" w:w="283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Decision / ask</w:t>
            </w:r>
          </w:p>
        </w:tc>
        <w:tc>
          <w:tcPr>
            <w:tcW w:type="dxa" w:w="4989"/>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r>
        <w:tc>
          <w:tcPr>
            <w:tcW w:type="dxa" w:w="680"/>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8</w:t>
            </w:r>
          </w:p>
        </w:tc>
        <w:tc>
          <w:tcPr>
            <w:tcW w:type="dxa" w:w="283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Next step</w:t>
            </w:r>
          </w:p>
        </w:tc>
        <w:tc>
          <w:tcPr>
            <w:tcW w:type="dxa" w:w="4989"/>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r>
          </w:p>
        </w:tc>
      </w:tr>
    </w:tbl>
    <w:p>
      <w:pPr>
        <w:pStyle w:val="Heading1"/>
      </w:pPr>
      <w:r>
        <w:rPr>
          <w:rFonts w:ascii="EB Garamond" w:hAnsi="EB Garamond" w:eastAsia="EB Garamond"/>
        </w:rPr>
        <w:t>17. Gold-standard intuition</w:t>
      </w:r>
    </w:p>
    <w:p>
      <w:r>
        <w:rPr>
          <w:rFonts w:ascii="EB Garamond" w:hAnsi="EB Garamond" w:eastAsia="EB Garamond"/>
          <w:b w:val="0"/>
          <w:i w:val="0"/>
        </w:rPr>
        <w:t>This case is not only about a buyer paying a large premium. It is about a strategic acquirer using a recommended cash offer to gain control of a listed SaaS platform, supported by major shareholders and structured around a 90% threshold that enables squeeze-out and delisting.</w:t>
      </w:r>
    </w:p>
    <w:p>
      <w:r>
        <w:rPr>
          <w:rFonts w:ascii="EB Garamond" w:hAnsi="EB Garamond" w:eastAsia="EB Garamond"/>
          <w:b w:val="0"/>
          <w:i w:val="0"/>
        </w:rPr>
        <w:t>For a SaaS target, the valuation discussion should not stop at current profitability. The analysis should ask whether ARR quality, retention, churn, international expansion and product adjacency support a strategic value case. A high premium can be rational if the buyer sees platform value that public minority investors are not fully pricing.</w:t>
      </w:r>
    </w:p>
    <w:p>
      <w:r>
        <w:rPr>
          <w:rFonts w:ascii="EB Garamond" w:hAnsi="EB Garamond" w:eastAsia="EB Garamond"/>
          <w:b w:val="0"/>
          <w:i w:val="0"/>
        </w:rPr>
        <w:t>For minority shareholders, the key question is not simply whether DKK 16.50 is attractive. It is whether refusing the offer leaves them with meaningful upside, or instead with reduced liquidity, delisting risk and eventual compulsory acquisition at the same price.</w:t>
      </w:r>
    </w:p>
    <w:p>
      <w:pPr>
        <w:pStyle w:val="Heading1"/>
      </w:pPr>
      <w:r>
        <w:rPr>
          <w:rFonts w:ascii="EB Garamond" w:hAnsi="EB Garamond" w:eastAsia="EB Garamond"/>
        </w:rPr>
        <w:t>18. Review and critique rubric</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3192"/>
        <w:gridCol w:w="3192"/>
        <w:gridCol w:w="3192"/>
      </w:tblGrid>
      <w:tr>
        <w:tc>
          <w:tcPr>
            <w:tcW w:type="dxa" w:w="1814"/>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Area</w:t>
            </w:r>
          </w:p>
        </w:tc>
        <w:tc>
          <w:tcPr>
            <w:tcW w:type="dxa" w:w="3515"/>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Pass standard</w:t>
            </w:r>
          </w:p>
        </w:tc>
        <w:tc>
          <w:tcPr>
            <w:tcW w:type="dxa" w:w="3231"/>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Fail indicator</w:t>
            </w:r>
          </w:p>
        </w:tc>
      </w:tr>
      <w:tr>
        <w:tc>
          <w:tcPr>
            <w:tcW w:type="dxa" w:w="1814"/>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mechanics</w:t>
            </w:r>
          </w:p>
        </w:tc>
        <w:tc>
          <w:tcPr>
            <w:tcW w:type="dxa" w:w="351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Premium, equity value and share count calculate correctly</w:t>
            </w:r>
          </w:p>
        </w:tc>
        <w:tc>
          <w:tcPr>
            <w:tcW w:type="dxa" w:w="323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Wrong premium or inconsistent share count</w:t>
            </w:r>
          </w:p>
        </w:tc>
      </w:tr>
      <w:tr>
        <w:tc>
          <w:tcPr>
            <w:tcW w:type="dxa" w:w="1814"/>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Public M&amp;A logic</w:t>
            </w:r>
          </w:p>
        </w:tc>
        <w:tc>
          <w:tcPr>
            <w:tcW w:type="dxa" w:w="351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Explains board recommendation, offer period and 90% threshold</w:t>
            </w:r>
          </w:p>
        </w:tc>
        <w:tc>
          <w:tcPr>
            <w:tcW w:type="dxa" w:w="323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Only describes price</w:t>
            </w:r>
          </w:p>
        </w:tc>
      </w:tr>
      <w:tr>
        <w:tc>
          <w:tcPr>
            <w:tcW w:type="dxa" w:w="1814"/>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SaaS valuation</w:t>
            </w:r>
          </w:p>
        </w:tc>
        <w:tc>
          <w:tcPr>
            <w:tcW w:type="dxa" w:w="351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Uses ARR, growth, retention and churn to explain strategic value</w:t>
            </w:r>
          </w:p>
        </w:tc>
        <w:tc>
          <w:tcPr>
            <w:tcW w:type="dxa" w:w="323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Treats SaaS like generic industrial EBITDA case</w:t>
            </w:r>
          </w:p>
        </w:tc>
      </w:tr>
      <w:tr>
        <w:tc>
          <w:tcPr>
            <w:tcW w:type="dxa" w:w="1814"/>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Warrants</w:t>
            </w:r>
          </w:p>
        </w:tc>
        <w:tc>
          <w:tcPr>
            <w:tcW w:type="dxa" w:w="351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Documents warrant treatment and fully diluted implications</w:t>
            </w:r>
          </w:p>
        </w:tc>
        <w:tc>
          <w:tcPr>
            <w:tcW w:type="dxa" w:w="323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Ignores warrant holders</w:t>
            </w:r>
          </w:p>
        </w:tc>
      </w:tr>
      <w:tr>
        <w:tc>
          <w:tcPr>
            <w:tcW w:type="dxa" w:w="1814"/>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Minority analysis</w:t>
            </w:r>
          </w:p>
        </w:tc>
        <w:tc>
          <w:tcPr>
            <w:tcW w:type="dxa" w:w="351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Explains squeeze-out, liquidity and delisting consequences</w:t>
            </w:r>
          </w:p>
        </w:tc>
        <w:tc>
          <w:tcPr>
            <w:tcW w:type="dxa" w:w="323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Assumes minorities are unaffected</w:t>
            </w:r>
          </w:p>
        </w:tc>
      </w:tr>
      <w:tr>
        <w:tc>
          <w:tcPr>
            <w:tcW w:type="dxa" w:w="1814"/>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Visuals</w:t>
            </w:r>
          </w:p>
        </w:tc>
        <w:tc>
          <w:tcPr>
            <w:tcW w:type="dxa" w:w="351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At least two charts from linked output cells</w:t>
            </w:r>
          </w:p>
        </w:tc>
        <w:tc>
          <w:tcPr>
            <w:tcW w:type="dxa" w:w="323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Manual chart data or unclear message</w:t>
            </w:r>
          </w:p>
        </w:tc>
      </w:tr>
      <w:tr>
        <w:tc>
          <w:tcPr>
            <w:tcW w:type="dxa" w:w="1814"/>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QC</w:t>
            </w:r>
          </w:p>
        </w:tc>
        <w:tc>
          <w:tcPr>
            <w:tcW w:type="dxa" w:w="351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90_Checks green and traceable</w:t>
            </w:r>
          </w:p>
        </w:tc>
        <w:tc>
          <w:tcPr>
            <w:tcW w:type="dxa" w:w="323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Checks absent or superficial</w:t>
            </w:r>
          </w:p>
        </w:tc>
      </w:tr>
      <w:tr>
        <w:tc>
          <w:tcPr>
            <w:tcW w:type="dxa" w:w="1814"/>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Communication</w:t>
            </w:r>
          </w:p>
        </w:tc>
        <w:tc>
          <w:tcPr>
            <w:tcW w:type="dxa" w:w="3515"/>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8-line email gives conclusion, evidence, risk and ask</w:t>
            </w:r>
          </w:p>
        </w:tc>
        <w:tc>
          <w:tcPr>
            <w:tcW w:type="dxa" w:w="3231"/>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Email repeats facts without judgement</w:t>
            </w:r>
          </w:p>
        </w:tc>
      </w:tr>
    </w:tbl>
    <w:p>
      <w:pPr>
        <w:pStyle w:val="Heading1"/>
      </w:pPr>
      <w:r>
        <w:rPr>
          <w:rFonts w:ascii="EB Garamond" w:hAnsi="EB Garamond" w:eastAsia="EB Garamond"/>
        </w:rPr>
        <w:t>19. Glossary for this case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4788"/>
        <w:gridCol w:w="4788"/>
      </w:tblGrid>
      <w:tr>
        <w:tc>
          <w:tcPr>
            <w:tcW w:type="dxa" w:w="226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Term</w:t>
            </w:r>
          </w:p>
        </w:tc>
        <w:tc>
          <w:tcPr>
            <w:tcW w:type="dxa" w:w="6236"/>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Practical definition</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Recommended offer</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 public offer that the target board recommends shareholders accept.</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Cash offer</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Consideration paid fully in cash rather than shares.</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premium</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Premium of offer price to an unaffected share price or VWAP reference.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VWAP</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Volume-weighted average price; often used as a more stable public-market reference.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Irrevocable undertaking</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Binding commitment by a shareholder to accept the offer under specified conditions.</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Minimum acceptance condition</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Threshold of shareholder acceptances required for the buyer to complete the offer.</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Squeeze-out</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Compulsory acquisition of remaining minority shareholders after a high ownership threshold is reached.</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Delisting</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Removal of shares from trading and official listing.</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Fully diluted shares</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Share count including dilutive instruments such as warrants or options if relevant.</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Warrant</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Right to subscribe for shares at a specified strike price.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ARR</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Annual recurring revenue; key SaaS metric for recurring revenue base.</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Net retention</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Revenue retained and expanded from existing customers after churn and upsell.</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Churn</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Recurring revenue or customers lost over a period.</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Strategic buyer</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Corporate acquirer that may realise synergies or strategic benefits.</w:t>
            </w:r>
          </w:p>
        </w:tc>
      </w:tr>
      <w:tr>
        <w:tc>
          <w:tcPr>
            <w:tcW w:type="dxa" w:w="226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Board statement</w:t>
            </w:r>
          </w:p>
        </w:tc>
        <w:tc>
          <w:tcPr>
            <w:tcW w:type="dxa" w:w="623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Formal statement from target board on the offer and recommendation.</w:t>
            </w:r>
          </w:p>
        </w:tc>
      </w:tr>
    </w:tbl>
    <w:p>
      <w:pPr>
        <w:pStyle w:val="Heading1"/>
      </w:pPr>
      <w:r>
        <w:rPr>
          <w:rFonts w:ascii="EB Garamond" w:hAnsi="EB Garamond" w:eastAsia="EB Garamond"/>
        </w:rPr>
        <w:t>20. Level up</w:t>
      </w:r>
    </w:p>
    <w:p>
      <w:r>
        <w:rPr>
          <w:rFonts w:ascii="EB Garamond" w:hAnsi="EB Garamond" w:eastAsia="EB Garamond"/>
          <w:b w:val="0"/>
          <w:i w:val="0"/>
        </w:rPr>
        <w:t>Next difficulty: add a fairness-style valuation page with DCF, trading comps, SaaS ARR multiples and precedent SaaS takeovers. Then add a competing-bid scenario and a no-squeeze-out scenario where Visma reaches only 75%, creating a minority overhang and reduced liquidity.</w:t>
      </w:r>
    </w:p>
    <w:p>
      <w:pPr>
        <w:pStyle w:val="Heading1"/>
      </w:pPr>
      <w:r>
        <w:rPr>
          <w:rFonts w:ascii="EB Garamond" w:hAnsi="EB Garamond" w:eastAsia="EB Garamond"/>
        </w:rPr>
        <w:t>21. Source notes</w:t>
      </w:r>
    </w:p>
    <w:p>
      <w:r>
        <w:rPr>
          <w:rFonts w:ascii="EB Garamond" w:hAnsi="EB Garamond" w:eastAsia="EB Garamond"/>
          <w:b w:val="0"/>
          <w:i w:val="0"/>
        </w:rPr>
        <w:t>Use these sources only as fact anchors. Your model should translate public information into a structured analyst deliverable. Where exact share count or net debt inputs are unavailable or ambiguous, use explicit training assumptions and document them clearly.</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A6A6A6"/>
          <w:left w:val="nil" w:sz="0" w:space="0" w:color="FFFFFF"/>
          <w:right w:val="nil" w:sz="0" w:space="0" w:color="FFFFFF"/>
          <w:insideV w:val="nil" w:sz="0" w:space="0" w:color="FFFFFF"/>
        </w:tblBorders>
      </w:tblPr>
      <w:tblGrid>
        <w:gridCol w:w="4788"/>
        <w:gridCol w:w="4788"/>
      </w:tblGrid>
      <w:tr>
        <w:tc>
          <w:tcPr>
            <w:tcW w:type="dxa" w:w="2948"/>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Source</w:t>
            </w:r>
          </w:p>
        </w:tc>
        <w:tc>
          <w:tcPr>
            <w:tcW w:type="dxa" w:w="5556"/>
            <w:vAlign w:val="center"/>
            <w:tcMar>
              <w:top w:w="80" w:type="dxa"/>
              <w:start w:w="95" w:type="dxa"/>
              <w:bottom w:w="80" w:type="dxa"/>
              <w:end w:w="95" w:type="dxa"/>
            </w:tcMar>
            <w:tcBorders>
              <w:bottom w:val="single" w:sz="8" w:space="0" w:color="666666"/>
            </w:tcBorders>
          </w:tcPr>
          <w:p>
            <w:pPr>
              <w:spacing w:before="0" w:after="0" w:line="250" w:lineRule="auto"/>
            </w:pPr>
            <w:r>
              <w:rPr>
                <w:rFonts w:ascii="EB Garamond" w:hAnsi="EB Garamond" w:eastAsia="EB Garamond"/>
                <w:b/>
                <w:sz w:val="16"/>
              </w:rPr>
            </w:r>
            <w:r>
              <w:rPr>
                <w:rFonts w:ascii="EB Garamond" w:hAnsi="EB Garamond" w:eastAsia="EB Garamond"/>
                <w:b/>
                <w:i w:val="0"/>
                <w:sz w:val="16"/>
              </w:rPr>
              <w:t>Relevant data</w:t>
            </w:r>
          </w:p>
        </w:tc>
      </w:tr>
      <w:tr>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Penneo company announcement, 29 Nov. 2024</w:t>
            </w:r>
          </w:p>
        </w:tc>
        <w:tc>
          <w:tcPr>
            <w:tcW w:type="dxa" w:w="555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price, premium, initial undertakings / intentions, 90% condition, board intention to recommend and financing statement.</w:t>
            </w:r>
          </w:p>
        </w:tc>
      </w:tr>
      <w:tr>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Penneo offer document / board statement, 19 Dec. 2024</w:t>
            </w:r>
          </w:p>
        </w:tc>
        <w:tc>
          <w:tcPr>
            <w:tcW w:type="dxa" w:w="555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Offer period, board recommendation, conditions, warrant treatment and shareholder consequences.</w:t>
            </w:r>
          </w:p>
        </w:tc>
      </w:tr>
      <w:tr>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Penneo final result announcement, 27 Jan. 2025</w:t>
            </w:r>
          </w:p>
        </w:tc>
        <w:tc>
          <w:tcPr>
            <w:tcW w:type="dxa" w:w="555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Accepted shares, 91.45% ownership, settlement, squeeze-out and delisting intention.</w:t>
            </w:r>
          </w:p>
        </w:tc>
      </w:tr>
      <w:tr>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Compulsory acquisition notice, 5 Feb. 2025</w:t>
            </w:r>
          </w:p>
        </w:tc>
        <w:tc>
          <w:tcPr>
            <w:tcW w:type="dxa" w:w="555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Section 70-72 squeeze-out process and DKK 16.50 compulsory acquisition price.</w:t>
            </w:r>
          </w:p>
        </w:tc>
      </w:tr>
      <w:tr>
        <w:tc>
          <w:tcPr>
            <w:tcW w:type="dxa" w:w="2948"/>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Penneo Q3 2024 financial report</w:t>
            </w:r>
          </w:p>
        </w:tc>
        <w:tc>
          <w:tcPr>
            <w:tcW w:type="dxa" w:w="5556"/>
            <w:vAlign w:val="center"/>
            <w:tcMar>
              <w:top w:w="80" w:type="dxa"/>
              <w:start w:w="95" w:type="dxa"/>
              <w:bottom w:w="80" w:type="dxa"/>
              <w:end w:w="95" w:type="dxa"/>
            </w:tcMar>
          </w:tcPr>
          <w:p>
            <w:pPr>
              <w:spacing w:before="0" w:after="0" w:line="250" w:lineRule="auto"/>
            </w:pPr>
            <w:r>
              <w:rPr>
                <w:rFonts w:ascii="EB Garamond" w:hAnsi="EB Garamond" w:eastAsia="EB Garamond"/>
                <w:sz w:val="16"/>
              </w:rPr>
            </w:r>
            <w:r>
              <w:rPr>
                <w:rFonts w:ascii="EB Garamond" w:hAnsi="EB Garamond" w:eastAsia="EB Garamond"/>
                <w:b w:val="0"/>
                <w:i w:val="0"/>
                <w:sz w:val="16"/>
              </w:rPr>
              <w:t>ARR, ARR growth, net retention, churn and foreign ARR metrics.</w:t>
            </w:r>
          </w:p>
        </w:tc>
      </w:tr>
    </w:tbl>
    <w:sectPr w:rsidR="00FC693F" w:rsidRPr="0006063C" w:rsidSect="00034616">
      <w:headerReference w:type="default" r:id="rId9"/>
      <w:footerReference w:type="default" r:id="rId10"/>
      <w:pgSz w:w="12240" w:h="15840"/>
      <w:pgMar w:top="1361" w:right="1332" w:bottom="1304" w:left="1332" w:header="624"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eastAsia="EB Garamond"/>
        <w:i/>
        <w:sz w:val="18"/>
      </w:rPr>
      <w:t>Analyst IB Prep · Danish SaaS M&amp;A · Print-ready exercise 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EB Garamond" w:hAnsi="EB Garamond" w:eastAsia="EB Garamond"/>
        <w:i/>
        <w:sz w:val="18"/>
      </w:rPr>
      <w:t>Case 6 · Penneo / Visma Public Takeover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before="0"/>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EB Garamond" w:hAnsi="EB Garamond" w:eastAsia="EB Garamond"/>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EB Garamond" w:hAnsi="EB Garamond" w:eastAsia="EB Garamond"/>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EB Garamond" w:hAnsi="EB Garamond" w:eastAsia="EB 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pPr>
      <w:spacing w:after="160"/>
    </w:pPr>
    <w:rPr>
      <w:rFonts w:ascii="EB Garamond" w:hAnsi="EB Garamond" w:eastAsia="EB Garamond"/>
      <w:caps/>
      <w:sz w:val="18"/>
    </w:rPr>
  </w:style>
  <w:style w:type="paragraph" w:customStyle="1" w:styleId="Instruction">
    <w:name w:val="Instruction"/>
    <w:pPr>
      <w:spacing w:before="40" w:after="120"/>
      <w:ind w:left="198"/>
    </w:pPr>
    <w:rPr>
      <w:rFonts w:ascii="EB Garamond" w:hAnsi="EB Garamond" w:eastAsia="EB Garamond"/>
      <w:i/>
      <w:sz w:val="21"/>
    </w:rPr>
  </w:style>
  <w:style w:type="paragraph" w:customStyle="1" w:styleId="Checklist">
    <w:name w:val="Checklist"/>
    <w:pPr>
      <w:spacing w:after="40"/>
      <w:ind w:left="227"/>
    </w:pPr>
    <w:rPr>
      <w:rFonts w:ascii="EB Garamond" w:hAnsi="EB Garamond" w:eastAsia="EB Garamon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