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Ata técnica de decisões — DDA v5.3 / Arquitetura Tese</w:t>
      </w:r>
    </w:p>
    <w:p>
      <w:r>
        <w:t>Data: 2026-10-05. Ambiente medido na máquina de referência.</w:t>
      </w:r>
    </w:p>
    <w:p>
      <w:pPr>
        <w:pStyle w:val="Heading2"/>
      </w:pPr>
      <w:r>
        <w:t>§3.2 — Dados e insumos</w:t>
      </w:r>
    </w:p>
    <w:p>
      <w:pPr>
        <w:pStyle w:val="Heading3"/>
      </w:pPr>
      <w:r>
        <w:t>D1 — Hardware de referência (medido)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Máquina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ASUS ROG Strix SCAR 18 G835LX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Intel Core Ultra 9 275HX, 24C/24T @ 2,7 GHz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RTX 5090 Laptop, 24.463 MiB VRAM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Driver / CUDA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610.88 / CUDA 13.3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64 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Windows 11 Home SL, build 26200, x64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29.8.0 (verificar </w:t>
            </w:r>
            <w:r>
              <w:rPr>
                <w:rFonts w:ascii="Consolas" w:hAnsi="Consolas"/>
                <w:color w:val="333333"/>
                <w:sz w:val="18"/>
              </w:rPr>
              <w:t>docker run --gpus all</w:t>
            </w:r>
            <w:r>
              <w:rPr>
                <w:sz w:val="18"/>
              </w:rPr>
              <w:t xml:space="preserve"> para cenários §4.7)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pendente de instalação</w:t>
            </w:r>
            <w:r>
              <w:rPr>
                <w:sz w:val="18"/>
              </w:rPr>
              <w:t xml:space="preserve"> — registrar versão ao instalar (suporte sm_120/Blackwell)</w:t>
            </w:r>
          </w:p>
        </w:tc>
      </w:tr>
    </w:tbl>
    <w:p>
      <w:r>
        <w:t>Condições de medição: energia na tomada + modo performance; keep_alive ativo;</w:t>
      </w:r>
    </w:p>
    <w:p>
      <w:r>
        <w:t>5 warmups descartados; cold start reportado à parte (§4.0).</w:t>
      </w:r>
    </w:p>
    <w:p>
      <w:pPr>
        <w:pStyle w:val="Heading3"/>
      </w:pPr>
      <w:r>
        <w:t>Amostra e narrativas (D7 decidido: opção b)</w:t>
      </w:r>
    </w:p>
    <w:p>
      <w:pPr>
        <w:pStyle w:val="ListBullet"/>
      </w:pPr>
      <w:r>
        <w:t xml:space="preserve">Base tabular: </w:t>
      </w:r>
      <w:r>
        <w:rPr>
          <w:rFonts w:ascii="Consolas" w:hAnsi="Consolas"/>
          <w:color w:val="333333"/>
          <w:sz w:val="18"/>
        </w:rPr>
        <w:t>base_sintetica_risco.xlsx</w:t>
      </w:r>
      <w:r>
        <w:t xml:space="preserve"> — 20.202 episódios, target</w:t>
      </w:r>
    </w:p>
    <w:p>
      <w:r>
        <w:rPr>
          <w:rFonts w:ascii="Consolas" w:hAnsi="Consolas"/>
          <w:color w:val="333333"/>
          <w:sz w:val="18"/>
        </w:rPr>
        <w:t>nova_agressao</w:t>
      </w:r>
      <w:r>
        <w:t xml:space="preserve"> (10.217 pos / 9.983 neg ≈ 50/50), 14.591 agressores e</w:t>
      </w:r>
    </w:p>
    <w:p>
      <w:r>
        <w:t>14.592 vítimas com ids sintéticos estáveis.</w:t>
      </w:r>
    </w:p>
    <w:p>
      <w:pPr>
        <w:pStyle w:val="ListBullet"/>
      </w:pPr>
      <w:r>
        <w:rPr>
          <w:b/>
        </w:rPr>
        <w:t>Sem texto narrativo real</w:t>
      </w:r>
      <w:r>
        <w:t xml:space="preserve"> — narrativas geradas sinteticamente por</w:t>
      </w:r>
    </w:p>
    <w:p>
      <w:r>
        <w:rPr>
          <w:rFonts w:ascii="Consolas" w:hAnsi="Consolas"/>
          <w:color w:val="333333"/>
          <w:sz w:val="18"/>
        </w:rPr>
        <w:t>arquitetura_tese/dados/narrativas.py</w:t>
      </w:r>
      <w:r>
        <w:t xml:space="preserve">, vinculadas por </w:t>
      </w:r>
      <w:r>
        <w:rPr>
          <w:rFonts w:ascii="Consolas" w:hAnsi="Consolas"/>
          <w:color w:val="333333"/>
          <w:sz w:val="18"/>
        </w:rPr>
        <w:t>id_agressor_sintetico</w:t>
      </w:r>
      <w:r>
        <w:t xml:space="preserve"> /</w:t>
      </w:r>
    </w:p>
    <w:p>
      <w:r>
        <w:rPr>
          <w:rFonts w:ascii="Consolas" w:hAnsi="Consolas"/>
          <w:color w:val="333333"/>
          <w:sz w:val="18"/>
        </w:rPr>
        <w:t>id_vitima_sintetica</w:t>
      </w:r>
      <w:r>
        <w:t xml:space="preserve"> (liga pessoa↔episódios → grafo de reincidência viável).</w:t>
      </w:r>
    </w:p>
    <w:p>
      <w:pPr>
        <w:pStyle w:val="ListBullet"/>
      </w:pPr>
      <w:r>
        <w:rPr>
          <w:b/>
        </w:rPr>
        <w:t>Limitação declarada (§6.6)</w:t>
      </w:r>
      <w:r>
        <w:t>: Hit Rate@5 medido vale para o pipeline, não</w:t>
      </w:r>
    </w:p>
    <w:p>
      <w:r>
        <w:t>para texto real. Revalidar com dados reais antes de escala (R4).</w:t>
      </w:r>
    </w:p>
    <w:p>
      <w:pPr>
        <w:pStyle w:val="ListBullet"/>
      </w:pPr>
      <w:r>
        <w:t>Ligação real pessoa↔processos via CNJ/DataJud não se aplica: amostra é</w:t>
      </w:r>
    </w:p>
    <w:p>
      <w:r>
        <w:t>sintética. Pseudonimização real será exigida na fase de dados reais.</w:t>
      </w:r>
    </w:p>
    <w:p>
      <w:pPr>
        <w:pStyle w:val="ListBullet"/>
      </w:pPr>
      <w:r>
        <w:t xml:space="preserve">Features proibidas (vazamento, §4.5): </w:t>
      </w:r>
      <w:r>
        <w:rPr>
          <w:rFonts w:ascii="Consolas" w:hAnsi="Consolas"/>
          <w:color w:val="333333"/>
          <w:sz w:val="18"/>
        </w:rPr>
        <w:t>prob_geracao</w:t>
      </w:r>
      <w:r>
        <w:t xml:space="preserve">, </w:t>
      </w:r>
      <w:r>
        <w:rPr>
          <w:rFonts w:ascii="Consolas" w:hAnsi="Consolas"/>
          <w:color w:val="333333"/>
          <w:sz w:val="18"/>
        </w:rPr>
        <w:t>score_geracao</w:t>
      </w:r>
      <w:r>
        <w:t>,</w:t>
      </w:r>
    </w:p>
    <w:p>
      <w:r>
        <w:rPr>
          <w:rFonts w:ascii="Consolas" w:hAnsi="Consolas"/>
          <w:color w:val="333333"/>
          <w:sz w:val="18"/>
        </w:rPr>
        <w:t>perfil_risco_agressor</w:t>
      </w:r>
      <w:r>
        <w:t xml:space="preserve"> — artefatos do gerador sintético.</w:t>
      </w:r>
    </w:p>
    <w:p>
      <w:pPr>
        <w:pStyle w:val="Heading3"/>
      </w:pPr>
      <w:r>
        <w:t>Auditoria da base (scripts/analisar_base.py, 2026-10-05)</w:t>
      </w:r>
    </w:p>
    <w:p>
      <w:pPr>
        <w:pStyle w:val="ListBullet"/>
      </w:pPr>
      <w:r>
        <w:t xml:space="preserve">20.200 registros, </w:t>
      </w:r>
      <w:r>
        <w:rPr>
          <w:b/>
        </w:rPr>
        <w:t>0 nulos</w:t>
      </w:r>
      <w:r>
        <w:t>; alvo 50,6% positivo (artificial, §P07 — declarar).</w:t>
      </w:r>
    </w:p>
    <w:p>
      <w:pPr>
        <w:pStyle w:val="ListBullet"/>
      </w:pPr>
      <w:r>
        <w:rPr>
          <w:b/>
        </w:rPr>
        <w:t>Vazamento confirmado empiricamente</w:t>
      </w:r>
      <w:r>
        <w:t xml:space="preserve">: </w:t>
      </w:r>
      <w:r>
        <w:rPr>
          <w:rFonts w:ascii="Consolas" w:hAnsi="Consolas"/>
          <w:color w:val="333333"/>
          <w:sz w:val="18"/>
        </w:rPr>
        <w:t>prob_geracao</w:t>
      </w:r>
      <w:r>
        <w:t xml:space="preserve"> (r=+0,484) e</w:t>
      </w:r>
    </w:p>
    <w:p>
      <w:r>
        <w:rPr>
          <w:rFonts w:ascii="Consolas" w:hAnsi="Consolas"/>
          <w:color w:val="333333"/>
          <w:sz w:val="18"/>
        </w:rPr>
        <w:t>score_geracao</w:t>
      </w:r>
      <w:r>
        <w:t xml:space="preserve"> (r=+0,409) são as maiores correlações com o alvo; o artefato</w:t>
      </w:r>
    </w:p>
    <w:p>
      <w:r>
        <w:t xml:space="preserve">categórico </w:t>
      </w:r>
      <w:r>
        <w:rPr>
          <w:rFonts w:ascii="Consolas" w:hAnsi="Consolas"/>
          <w:color w:val="333333"/>
          <w:sz w:val="18"/>
        </w:rPr>
        <w:t>perfil_risco_agressor</w:t>
      </w:r>
      <w:r>
        <w:t xml:space="preserve"> tem taxa_pos de 0,70 no nível "alto".</w:t>
      </w:r>
    </w:p>
    <w:p>
      <w:r>
        <w:t xml:space="preserve">Os três ficam </w:t>
      </w:r>
      <w:r>
        <w:rPr>
          <w:b/>
        </w:rPr>
        <w:t>fora das features</w:t>
      </w:r>
      <w:r>
        <w:t xml:space="preserve"> (ver </w:t>
      </w:r>
      <w:r>
        <w:rPr>
          <w:rFonts w:ascii="Consolas" w:hAnsi="Consolas"/>
          <w:color w:val="333333"/>
          <w:sz w:val="18"/>
        </w:rPr>
        <w:t>tabular.py: FEATURES_PROIBIDAS</w:t>
      </w:r>
      <w:r>
        <w:t>) —</w:t>
      </w:r>
    </w:p>
    <w:p>
      <w:r>
        <w:t>o teste de permutação do §4.5 deve confirmar que nenhum proxy similar domina.</w:t>
      </w:r>
    </w:p>
    <w:p>
      <w:pPr>
        <w:pStyle w:val="ListBullet"/>
      </w:pPr>
      <w:r>
        <w:t xml:space="preserve">Features legítimas mais correlatas: </w:t>
      </w:r>
      <w:r>
        <w:rPr>
          <w:rFonts w:ascii="Consolas" w:hAnsi="Consolas"/>
          <w:color w:val="333333"/>
          <w:sz w:val="18"/>
        </w:rPr>
        <w:t>ameaca_morte</w:t>
      </w:r>
      <w:r>
        <w:t xml:space="preserve"> (+0,29),</w:t>
      </w:r>
    </w:p>
    <w:p>
      <w:r>
        <w:rPr>
          <w:rFonts w:ascii="Consolas" w:hAnsi="Consolas"/>
          <w:color w:val="333333"/>
          <w:sz w:val="18"/>
        </w:rPr>
        <w:t>n_episodios_anteriores</w:t>
      </w:r>
      <w:r>
        <w:t xml:space="preserve"> (+0,27), </w:t>
      </w:r>
      <w:r>
        <w:rPr>
          <w:rFonts w:ascii="Consolas" w:hAnsi="Consolas"/>
          <w:color w:val="333333"/>
          <w:sz w:val="18"/>
        </w:rPr>
        <w:t>descumpriu_medida</w:t>
      </w:r>
      <w:r>
        <w:t xml:space="preserve"> (+0,25),</w:t>
      </w:r>
    </w:p>
    <w:p>
      <w:r>
        <w:rPr>
          <w:rFonts w:ascii="Consolas" w:hAnsi="Consolas"/>
          <w:color w:val="333333"/>
          <w:sz w:val="18"/>
        </w:rPr>
        <w:t>acesso_arma</w:t>
      </w:r>
      <w:r>
        <w:t>/</w:t>
      </w:r>
      <w:r>
        <w:rPr>
          <w:rFonts w:ascii="Consolas" w:hAnsi="Consolas"/>
          <w:color w:val="333333"/>
          <w:sz w:val="18"/>
        </w:rPr>
        <w:t>uso_alcool_drogas</w:t>
      </w:r>
      <w:r>
        <w:t xml:space="preserve"> (~+0,20), </w:t>
      </w:r>
      <w:r>
        <w:rPr>
          <w:rFonts w:ascii="Consolas" w:hAnsi="Consolas"/>
          <w:color w:val="333333"/>
          <w:sz w:val="18"/>
        </w:rPr>
        <w:t>controle_coercitivo</w:t>
      </w:r>
      <w:r>
        <w:t xml:space="preserve"> (+0,17).</w:t>
      </w:r>
    </w:p>
    <w:p>
      <w:pPr>
        <w:pStyle w:val="ListBullet"/>
      </w:pPr>
      <w:r>
        <w:rPr>
          <w:b/>
        </w:rPr>
        <w:t>Split obrigatório por grupo</w:t>
      </w:r>
      <w:r>
        <w:t xml:space="preserve"> </w:t>
      </w:r>
      <w:r>
        <w:rPr>
          <w:rFonts w:ascii="Consolas" w:hAnsi="Consolas"/>
          <w:color w:val="333333"/>
          <w:sz w:val="18"/>
        </w:rPr>
        <w:t>id_agressor_sintetico</w:t>
      </w:r>
      <w:r>
        <w:t xml:space="preserve"> na Fase 1: 3.579</w:t>
      </w:r>
    </w:p>
    <w:p>
      <w:r>
        <w:t>agressores (17,7%) têm ≥2 episódios; split aleatório vazaria pessoa entre</w:t>
      </w:r>
    </w:p>
    <w:p>
      <w:r>
        <w:t xml:space="preserve">treino/teste e inflaria AUC. </w:t>
      </w:r>
      <w:r>
        <w:rPr>
          <w:rFonts w:ascii="Consolas" w:hAnsi="Consolas"/>
          <w:color w:val="333333"/>
          <w:sz w:val="18"/>
        </w:rPr>
        <w:t>n_episodios_anteriores</w:t>
      </w:r>
      <w:r>
        <w:t xml:space="preserve"> é sequencial — usar só</w:t>
      </w:r>
    </w:p>
    <w:p>
      <w:r>
        <w:t>informação disponível naquele episódio.</w:t>
      </w:r>
    </w:p>
    <w:p>
      <w:pPr>
        <w:pStyle w:val="ListBullet"/>
      </w:pPr>
      <w:r>
        <w:t>Grafo (D6): arestas existem (17,7% multi-episódio) mas esparsas; manter a</w:t>
      </w:r>
    </w:p>
    <w:p>
      <w:r>
        <w:t>regra da ablação.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local</w:t>
      </w:r>
      <w:r>
        <w:t xml:space="preserve"> é constante (Manaus) e </w:t>
      </w:r>
      <w:r>
        <w:rPr>
          <w:rFonts w:ascii="Consolas" w:hAnsi="Consolas"/>
          <w:color w:val="333333"/>
          <w:sz w:val="18"/>
        </w:rPr>
        <w:t>escolaridade_*</w:t>
      </w:r>
      <w:r>
        <w:t xml:space="preserve"> ~95% "Não Informado" —</w:t>
      </w:r>
    </w:p>
    <w:p>
      <w:r>
        <w:t>remover das features (variância ~zero).</w:t>
      </w:r>
    </w:p>
    <w:p>
      <w:pPr>
        <w:pStyle w:val="Heading3"/>
      </w:pPr>
      <w:r>
        <w:t>Corpus legal e especialista</w:t>
      </w:r>
    </w:p>
    <w:p>
      <w:pPr>
        <w:pStyle w:val="ListBullet"/>
      </w:pPr>
      <w:r>
        <w:t xml:space="preserve">Seed em </w:t>
      </w:r>
      <w:r>
        <w:rPr>
          <w:rFonts w:ascii="Consolas" w:hAnsi="Consolas"/>
          <w:color w:val="333333"/>
          <w:sz w:val="18"/>
        </w:rPr>
        <w:t>arquitetura_tese/corpus.py</w:t>
      </w:r>
      <w:r>
        <w:t>: Lei 11.340/2006 (arts. 5º, 7º, 12, 18, 19, 22,</w:t>
      </w:r>
    </w:p>
    <w:p>
      <w:r>
        <w:t>24-A, 38-A) + CP (121 §2º-A, 129 §9º, 138–140, 147, 147-A, 148, 150, 163,</w:t>
      </w:r>
    </w:p>
    <w:p>
      <w:r>
        <w:t>213, 215-A, 216-A) + LCP art. 21. Lista final a confirmar com o especialista.</w:t>
      </w:r>
    </w:p>
    <w:p>
      <w:pPr>
        <w:pStyle w:val="ListBullet"/>
      </w:pPr>
      <w:r>
        <w:t>Especialista jurídico: [PENDENTE] — anota o gold set; ≥20% em dupla anotação</w:t>
      </w:r>
    </w:p>
    <w:p>
      <w:r>
        <w:t>com kappa de Cohen reportado (§6.1).</w:t>
      </w:r>
    </w:p>
    <w:p>
      <w:pPr>
        <w:pStyle w:val="Heading3"/>
      </w:pPr>
      <w:r>
        <w:t>Operating point e schema</w:t>
      </w:r>
    </w:p>
    <w:p>
      <w:pPr>
        <w:pStyle w:val="ListBullet"/>
      </w:pPr>
      <w:r>
        <w:t xml:space="preserve">Operating point: </w:t>
      </w:r>
      <w:r>
        <w:rPr>
          <w:b/>
        </w:rPr>
        <w:t>proposta recall ≥ 0,95 (FN ≤ 5%)</w:t>
      </w:r>
      <w:r>
        <w:t xml:space="preserve"> — erro assimétrico</w:t>
      </w:r>
    </w:p>
    <w:p>
      <w:r>
        <w:t>(§8); ratificar com o jurídico. Reportar junto ao ECE.</w:t>
      </w:r>
    </w:p>
    <w:p>
      <w:pPr>
        <w:pStyle w:val="ListBullet"/>
      </w:pPr>
      <w:r>
        <w:t xml:space="preserve">Schema §5.1: </w:t>
      </w:r>
      <w:r>
        <w:rPr>
          <w:b/>
        </w:rPr>
        <w:t>aprovado como v1</w:t>
      </w:r>
      <w:r>
        <w:t xml:space="preserve"> (</w:t>
      </w:r>
      <w:r>
        <w:rPr>
          <w:rFonts w:ascii="Consolas" w:hAnsi="Consolas"/>
          <w:color w:val="333333"/>
          <w:sz w:val="18"/>
        </w:rPr>
        <w:t>schemas.py</w:t>
      </w:r>
      <w:r>
        <w:t>). Ressalvas: reservar chaves</w:t>
      </w:r>
    </w:p>
    <w:p>
      <w:r>
        <w:t xml:space="preserve">de auditoria em </w:t>
      </w:r>
      <w:r>
        <w:rPr>
          <w:rFonts w:ascii="Consolas" w:hAnsi="Consolas"/>
          <w:color w:val="333333"/>
          <w:sz w:val="18"/>
        </w:rPr>
        <w:t>Dados.metadados</w:t>
      </w:r>
      <w:r>
        <w:t xml:space="preserve">; todo doc indexado carrega </w:t>
      </w:r>
      <w:r>
        <w:rPr>
          <w:rFonts w:ascii="Consolas" w:hAnsi="Consolas"/>
          <w:color w:val="333333"/>
          <w:sz w:val="18"/>
        </w:rPr>
        <w:t>artigos: list</w:t>
      </w:r>
    </w:p>
    <w:p>
      <w:r>
        <w:t xml:space="preserve">(contrato do </w:t>
      </w:r>
      <w:r>
        <w:rPr>
          <w:rFonts w:ascii="Consolas" w:hAnsi="Consolas"/>
          <w:color w:val="333333"/>
          <w:sz w:val="18"/>
        </w:rPr>
        <w:t>checar_fundamentacao</w:t>
      </w:r>
      <w:r>
        <w:t>).</w:t>
      </w:r>
    </w:p>
    <w:p>
      <w:pPr>
        <w:pStyle w:val="Heading2"/>
      </w:pPr>
      <w:r>
        <w:t>D1–D9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Fixar esta máquina como referência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24 GB VRAM comporta Mistral 7B até FP16; medir sempre em AC/performance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Não fixar; benchmark (a)(b)(c) no dev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BERT sem STS é fraca; esperado: Legal-BERTimbau-STS ou BGE-M3 + BM25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(b) probe linear sobre embeddings/features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TCAV exige gradientes de rede-alvo — inaplicável a LightGBM+LLM; probe gera AUC mensurável (§4.6). Declarar: é classificador de conceito, não TCAV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(b) Qualificador determinístico (§5.2)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Incerteza emitida por LLM não é calibrada (P06). Override estendido a MODERADO (§5.3): FN assimétrico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Medir o caminho síncrono; webhook à 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SLA 8,5 s é síncrono; webhook testado em §4.7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Incremental: FAISS+BM25 → Neo4j só se ablação justificar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§4.2 torna ablação obrigatória; grafo depende da ligação pessoa↔casos (garantida só nos ids sintéticos)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(b) narrativas sintéticas vinculadas à base tabular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 texto real no escopo do protótipo; limitação declarada no relatório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Limiares provisórios 0,25/0,50/0,75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50/50 invalida significado absoluto; recalibrar com dados reais. Separar bandas de exibição do operating point (recall alvo)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(b) LLM só campos textuais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−tokens (§4.1), −alucinação no eixo Dados por construção (§4.4), −falhas de schema (§4.3)</w:t>
            </w:r>
          </w:p>
        </w:tc>
      </w:tr>
    </w:tbl>
    <w:p>
      <w:pPr>
        <w:pStyle w:val="Heading2"/>
      </w:pPr>
      <w:r>
        <w:t>Fase 1 — resultado (2026-10-05, seed 42, split por grupo 80/20; re-treino com early stopping)</w:t>
      </w:r>
    </w:p>
    <w:p>
      <w:r>
        <w:t xml:space="preserve">Modelo: LightGBM 4.7, </w:t>
      </w:r>
      <w:r>
        <w:rPr>
          <w:b/>
        </w:rPr>
        <w:t>early stopping</w:t>
      </w:r>
      <w:r>
        <w:t xml:space="preserve"> (teto 2000, paciência 50) sobre</w:t>
      </w:r>
    </w:p>
    <w:p>
      <w:r>
        <w:t>16.207 treino / 3.993 holdout. Validação interna de parada: 15% do treino</w:t>
      </w:r>
    </w:p>
    <w:p>
      <w:r>
        <w:t>(2.452 episódios) com grupos disjuntos do fit — o holdout NÃO participa da</w:t>
      </w:r>
    </w:p>
    <w:p>
      <w:r>
        <w:t xml:space="preserve">seleção do número de iterações. Parada na </w:t>
      </w:r>
      <w:r>
        <w:rPr>
          <w:b/>
        </w:rPr>
        <w:t>iteração 54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Métrica §4.5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Critério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AUC (holdout)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0,751</w:t>
            </w:r>
            <w:r>
              <w:rPr>
                <w:sz w:val="18"/>
              </w:rPr>
              <w:t xml:space="preserve"> (era 0,744 com 300 árvores fixas)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Brier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0,201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0,012</w:t>
            </w:r>
            <w:r>
              <w:rPr>
                <w:sz w:val="18"/>
              </w:rPr>
              <w:t xml:space="preserve"> (era 0,021)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 0,05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Artefatos no modelo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teste de vazamento ✅</w:t>
            </w:r>
          </w:p>
        </w:tc>
      </w:tr>
    </w:tbl>
    <w:p>
      <w:r>
        <w:t xml:space="preserve">Top importância por permutação: </w:t>
      </w:r>
      <w:r>
        <w:rPr>
          <w:rFonts w:ascii="Consolas" w:hAnsi="Consolas"/>
          <w:color w:val="333333"/>
          <w:sz w:val="18"/>
        </w:rPr>
        <w:t>n_episodios_anteriores</w:t>
      </w:r>
      <w:r>
        <w:t xml:space="preserve"> (0,047),</w:t>
      </w:r>
    </w:p>
    <w:p>
      <w:r>
        <w:rPr>
          <w:rFonts w:ascii="Consolas" w:hAnsi="Consolas"/>
          <w:color w:val="333333"/>
          <w:sz w:val="18"/>
        </w:rPr>
        <w:t>ameaca_morte</w:t>
      </w:r>
      <w:r>
        <w:t xml:space="preserve"> (0,037), </w:t>
      </w:r>
      <w:r>
        <w:rPr>
          <w:rFonts w:ascii="Consolas" w:hAnsi="Consolas"/>
          <w:color w:val="333333"/>
          <w:sz w:val="18"/>
        </w:rPr>
        <w:t>descumpriu_medida</w:t>
      </w:r>
      <w:r>
        <w:t xml:space="preserve"> (0,017), </w:t>
      </w:r>
      <w:r>
        <w:rPr>
          <w:rFonts w:ascii="Consolas" w:hAnsi="Consolas"/>
          <w:color w:val="333333"/>
          <w:sz w:val="18"/>
        </w:rPr>
        <w:t>uso_alcool_drogas</w:t>
      </w:r>
    </w:p>
    <w:p>
      <w:r>
        <w:t xml:space="preserve">(0,015), </w:t>
      </w:r>
      <w:r>
        <w:rPr>
          <w:rFonts w:ascii="Consolas" w:hAnsi="Consolas"/>
          <w:color w:val="333333"/>
          <w:sz w:val="18"/>
        </w:rPr>
        <w:t>separacao_recente</w:t>
      </w:r>
      <w:r>
        <w:t xml:space="preserve"> (0,011) — nenhuma dominância de proxy.</w:t>
      </w:r>
    </w:p>
    <w:p>
      <w:r>
        <w:t>O diagnóstico da fig8 antecipava o resultado: o holdout estabilizava ~it. 50–150</w:t>
      </w:r>
    </w:p>
    <w:p>
      <w:r>
        <w:t>e o modelo fixo de 300 árvores carregava ~150 árvores redundantes. O early</w:t>
      </w:r>
    </w:p>
    <w:p>
      <w:r>
        <w:t>stopping sobre validação interna removeu a redundância (54 árvores), reduziu</w:t>
      </w:r>
    </w:p>
    <w:p>
      <w:r>
        <w:t>o gap treino/validação e melhorou AUC (+0,007) e calibração (ECE quase metade).</w:t>
      </w:r>
    </w:p>
    <w:p>
      <w:r>
        <w:t xml:space="preserve">Controle §4.5 (modelo COM artefatos): </w:t>
      </w:r>
      <w:r>
        <w:rPr>
          <w:rFonts w:ascii="Consolas" w:hAnsi="Consolas"/>
          <w:color w:val="333333"/>
          <w:sz w:val="18"/>
        </w:rPr>
        <w:t>score_geracao</w:t>
      </w:r>
      <w:r>
        <w:t xml:space="preserve"> domina a importância</w:t>
      </w:r>
    </w:p>
    <w:p>
      <w:r>
        <w:t xml:space="preserve">(0,229 — ~5× o resto somado) + </w:t>
      </w:r>
      <w:r>
        <w:rPr>
          <w:rFonts w:ascii="Consolas" w:hAnsi="Consolas"/>
          <w:color w:val="333333"/>
          <w:sz w:val="18"/>
        </w:rPr>
        <w:t>prob_geracao</w:t>
      </w:r>
      <w:r>
        <w:t xml:space="preserve"> (0,036). Demonstra que o teste</w:t>
      </w:r>
    </w:p>
    <w:p>
      <w:r>
        <w:t>de permutação flagra o vazamento quando presente.</w:t>
      </w:r>
    </w:p>
    <w:p>
      <w:r>
        <w:t xml:space="preserve">API </w:t>
      </w:r>
      <w:r>
        <w:rPr>
          <w:rFonts w:ascii="Consolas" w:hAnsi="Consolas"/>
          <w:color w:val="333333"/>
          <w:sz w:val="18"/>
        </w:rPr>
        <w:t>POST /score</w:t>
      </w:r>
      <w:r>
        <w:t xml:space="preserve"> (</w:t>
      </w:r>
      <w:r>
        <w:rPr>
          <w:rFonts w:ascii="Consolas" w:hAnsi="Consolas"/>
          <w:color w:val="333333"/>
          <w:sz w:val="18"/>
        </w:rPr>
        <w:t>arquitetura_tese/api.py</w:t>
      </w:r>
      <w:r>
        <w:t>): devolve probabilidade em 0-1;</w:t>
      </w:r>
    </w:p>
    <w:p>
      <w:r>
        <w:t>entradas anômalas → 422 + log estruturado JSON (</w:t>
      </w:r>
      <w:r>
        <w:rPr>
          <w:rFonts w:ascii="Consolas" w:hAnsi="Consolas"/>
          <w:color w:val="333333"/>
          <w:sz w:val="18"/>
        </w:rPr>
        <w:t>entrada_anomala</w:t>
      </w:r>
      <w:r>
        <w:t>).</w:t>
      </w:r>
    </w:p>
    <w:p>
      <w:r>
        <w:t xml:space="preserve">Artefatos: </w:t>
      </w:r>
      <w:r>
        <w:rPr>
          <w:rFonts w:ascii="Consolas" w:hAnsi="Consolas"/>
          <w:color w:val="333333"/>
          <w:sz w:val="18"/>
        </w:rPr>
        <w:t>dados/modelo_tabular.txt</w:t>
      </w:r>
      <w:r>
        <w:t xml:space="preserve">, </w:t>
      </w:r>
      <w:r>
        <w:rPr>
          <w:rFonts w:ascii="Consolas" w:hAnsi="Consolas"/>
          <w:color w:val="333333"/>
          <w:sz w:val="18"/>
        </w:rPr>
        <w:t>dados/modelo_tabular.meta.json</w:t>
      </w:r>
      <w:r>
        <w:t>,</w:t>
      </w:r>
    </w:p>
    <w:p>
      <w:r>
        <w:rPr>
          <w:rFonts w:ascii="Consolas" w:hAnsi="Consolas"/>
          <w:color w:val="333333"/>
          <w:sz w:val="18"/>
        </w:rPr>
        <w:t>dados/metricas_tabular.json</w:t>
      </w:r>
      <w:r>
        <w:t xml:space="preserve">. </w:t>
      </w:r>
      <w:r>
        <w:rPr>
          <w:b/>
        </w:rPr>
        <w:t>Fase 1: critério de saída §4.5 atendido.</w:t>
      </w:r>
    </w:p>
    <w:p>
      <w:pPr>
        <w:pStyle w:val="Heading2"/>
      </w:pPr>
      <w:r>
        <w:t>Pendências antes de congelar a Seção 4</w:t>
      </w:r>
    </w:p>
    <w:p>
      <w:pPr>
        <w:pStyle w:val="ListNumber"/>
      </w:pPr>
      <w:r>
        <w:t>Instalar Ollama (registrar versão; confirmar sm_120) e validar GPU em Docker.</w:t>
      </w:r>
    </w:p>
    <w:p>
      <w:r>
        <w:t>~~Resolvido na Fase 3.~~</w:t>
      </w:r>
    </w:p>
    <w:p>
      <w:pPr>
        <w:pStyle w:val="ListNumber"/>
      </w:pPr>
      <w:r>
        <w:rPr>
          <w:rFonts w:ascii="Consolas" w:hAnsi="Consolas"/>
          <w:color w:val="333333"/>
          <w:sz w:val="18"/>
        </w:rPr>
        <w:t>num_predict</w:t>
      </w:r>
      <w:r>
        <w:t xml:space="preserve"> calibrado para 1500 (soma dos max_length ≈ 1.200+ tokens PT);</w:t>
      </w:r>
    </w:p>
    <w:p>
      <w:r>
        <w:t>re-medir na Fase 3. ~~Resolvido na Fase 3.~~</w:t>
      </w:r>
    </w:p>
    <w:p>
      <w:pPr>
        <w:pStyle w:val="ListNumber"/>
      </w:pPr>
      <w:r>
        <w:t>Gold set: ~~gerar ≥100~~ gerado com 400 consultas (200 dev/200 test) a</w:t>
      </w:r>
    </w:p>
    <w:p>
      <w:r>
        <w:t>partir de 1.500 narrativas sintéticas — a expansão revelou que o 0,86</w:t>
      </w:r>
    </w:p>
    <w:p>
      <w:r>
        <w:t>original superestimava (ver resultado §4.2 acima); resta a validação do</w:t>
      </w:r>
    </w:p>
    <w:p>
      <w:r>
        <w:t>especialista (≥20% dupla anotação, kappa reportado); congelado com hash.</w:t>
      </w:r>
    </w:p>
    <w:p>
      <w:pPr>
        <w:pStyle w:val="ListNumber"/>
      </w:pPr>
      <w:r>
        <w:t>Expandir conjuntos §6.2 (≥50 pos + ≥100 neg) e §6.3 (≥50) — seeds em</w:t>
      </w:r>
    </w:p>
    <w:p>
      <w:r>
        <w:rPr>
          <w:rFonts w:ascii="Consolas" w:hAnsi="Consolas"/>
          <w:color w:val="333333"/>
          <w:sz w:val="18"/>
        </w:rPr>
        <w:t>conjuntos/</w:t>
      </w:r>
      <w:r>
        <w:t xml:space="preserve"> já versionados.</w:t>
      </w:r>
    </w:p>
    <w:p>
      <w:pPr>
        <w:pStyle w:val="Heading2"/>
      </w:pPr>
      <w:r>
        <w:t>Resultados da Fase 2 — Recuperação (§4.2)</w:t>
      </w:r>
    </w:p>
    <w:p>
      <w:r>
        <w:t>Corpus legal: 22 dispositivos com texto oficial do Planalto (CP, Lei 11.340/2006,</w:t>
      </w:r>
    </w:p>
    <w:p>
      <w:r>
        <w:t xml:space="preserve">Decreto-Lei 3.688/1941) em </w:t>
      </w:r>
      <w:r>
        <w:rPr>
          <w:rFonts w:ascii="Consolas" w:hAnsi="Consolas"/>
          <w:color w:val="333333"/>
          <w:sz w:val="18"/>
        </w:rPr>
        <w:t>conjuntos/corpus_legal.jsonl</w:t>
      </w:r>
      <w:r>
        <w:t>. As narrativas formam</w:t>
      </w:r>
    </w:p>
    <w:p>
      <w:r>
        <w:t>índice à parte (ramo "caso de apoio" da geração); o gold mede recuperação de</w:t>
      </w:r>
    </w:p>
    <w:p>
      <w:r>
        <w:t>dispositivos, que é o ramo de fundamentação citável (§4.4).</w:t>
      </w:r>
    </w:p>
    <w:p>
      <w:r>
        <w:t>Correções de desenho do gold set (descobertas no benchmark):</w:t>
      </w:r>
    </w:p>
    <w:p>
      <w:pPr>
        <w:pStyle w:val="ListBullet"/>
      </w:pPr>
      <w:r>
        <w:t>Rótulos base (art. 5º/7º, presentes em TODA narrativa) removidos — não</w:t>
      </w:r>
    </w:p>
    <w:p>
      <w:r>
        <w:t>discriminavam nada.</w:t>
      </w:r>
    </w:p>
    <w:p>
      <w:pPr>
        <w:pStyle w:val="ListBullet"/>
      </w:pPr>
      <w:r>
        <w:t>Auto-match mascarado: a narrativa-fonte da consulta é excluída do ranking.</w:t>
      </w:r>
    </w:p>
    <w:p>
      <w:r>
        <w:t>Benchmark de encoders — Hit Rate@5 (gold ORIGINAL n=50/split):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BM25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FAISS Legal-BERTimbau-base + mean pooling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FAISS Legal-BERTimbau-sts-base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FAISS BGE-M3 (dim 1024, cosseno)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0,86</w:t>
            </w:r>
            <w:r>
              <w:rPr>
                <w:sz w:val="18"/>
              </w:rPr>
              <w:t xml:space="preserve"> [IC95 0,74–0,93]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híbrido RRF BM25+BGE-M3 (k=60)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0,82</w:t>
            </w:r>
          </w:p>
        </w:tc>
      </w:tr>
    </w:tbl>
    <w:p>
      <w:r>
        <w:rPr>
          <w:b/>
        </w:rPr>
        <w:t>Gold set EXPANDIDO</w:t>
      </w:r>
      <w:r>
        <w:t xml:space="preserve"> (ação pendente executada — 1.500 narrativas, 400</w:t>
      </w:r>
    </w:p>
    <w:p>
      <w:r>
        <w:t>consultas: 200 dev / 200 test; 200 com dispositivo penal). Mesma regra de</w:t>
      </w:r>
    </w:p>
    <w:p>
      <w:r>
        <w:t>rótulo fraco, mesmo mascaramento de auto-match: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BM25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FAISS Legal-BERTimbau-base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FAISS Legal-BERTimbau-sts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FAISS BGE-M3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0,815</w:t>
            </w:r>
            <w:r>
              <w:rPr>
                <w:sz w:val="18"/>
              </w:rPr>
              <w:t xml:space="preserve"> [IC95 0,755–0,863]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híbrido RRF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0,76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r>
        <w:t>Decisões efetivadas:</w:t>
      </w:r>
    </w:p>
    <w:p>
      <w:pPr>
        <w:pStyle w:val="ListBullet"/>
      </w:pPr>
      <w:r>
        <w:rPr>
          <w:b/>
        </w:rPr>
        <w:t>D2 → BGE-M3</w:t>
      </w:r>
      <w:r>
        <w:t>: denso isolado vence o híbrido em ambos os tamanhos de gold</w:t>
      </w:r>
    </w:p>
    <w:p>
      <w:r>
        <w:t>(0,86 vs 0,78 em n=50; 0,81 vs 0,76 em n=200). O prior "jurídico</w:t>
      </w:r>
    </w:p>
    <w:p>
      <w:r>
        <w:t>especializado" dos Legal-BERTimbau não se confirmou no gold ampliado:</w:t>
      </w:r>
    </w:p>
    <w:p>
      <w:r>
        <w:t>base 0,38 e STS 0,46 no dev.</w:t>
      </w:r>
    </w:p>
    <w:p>
      <w:pPr>
        <w:pStyle w:val="ListBullet"/>
      </w:pPr>
      <w:r>
        <w:rPr>
          <w:b/>
        </w:rPr>
        <w:t>D6 → ramo único denso</w:t>
      </w:r>
      <w:r>
        <w:t>: a fusão RRF prejudicou o resultado; pela cláusula</w:t>
      </w:r>
    </w:p>
    <w:p>
      <w:r>
        <w:t>de remoção do §4.2, o híbrido é rejeitado e o grafo fica fora do smoke.</w:t>
      </w:r>
    </w:p>
    <w:p>
      <w:pPr>
        <w:pStyle w:val="ListBullet"/>
      </w:pPr>
      <w:r>
        <w:t xml:space="preserve">Critério Hit Rate@5 ≥ 0,85: </w:t>
      </w:r>
      <w:r>
        <w:rPr>
          <w:b/>
        </w:rPr>
        <w:t>NÃO atendido no gold ampliado</w:t>
      </w:r>
      <w:r>
        <w:t xml:space="preserve"> — 0,815 no</w:t>
      </w:r>
    </w:p>
    <w:p>
      <w:r>
        <w:t>teste [IC95 0,755–0,863]. O 0,86 do n=50 era parcialmente efeito de amostra</w:t>
      </w:r>
    </w:p>
    <w:p>
      <w:r>
        <w:t>pequena, exatamente o que a expansão veio medir. Consequência declarada:</w:t>
      </w:r>
    </w:p>
    <w:p>
      <w:r>
        <w:t>o encoder comercial pré-treinado fica ~3,5 p.p. abaixo do limiar neste</w:t>
      </w:r>
    </w:p>
    <w:p>
      <w:r>
        <w:t>domínio sintético — justificativa técnica REAL para fine-tuning do encoder,</w:t>
      </w:r>
    </w:p>
    <w:p>
      <w:r>
        <w:t>que só deve ocorrer sobre rótulos validados por especialista em dados reais</w:t>
      </w:r>
    </w:p>
    <w:p>
      <w:r>
        <w:t>(em sintético, aprenderia os templates do gerador).</w:t>
      </w:r>
    </w:p>
    <w:p>
      <w:r>
        <w:t>Limitações declaradas: rótulos fracos (regras feature→dispositivo) pendentes de</w:t>
      </w:r>
    </w:p>
    <w:p>
      <w:r>
        <w:t>validação do especialista; corpus reduzido a 22 dispositivos de 3 diplomas;</w:t>
      </w:r>
    </w:p>
    <w:p>
      <w:r>
        <w:t>encoder rodou em CPU (torch wheel CPU em py3.14) — latência de codificação de</w:t>
      </w:r>
    </w:p>
    <w:p>
      <w:r>
        <w:t>consulta deve ser re-mediada na GPU na Fase 3.</w:t>
      </w:r>
    </w:p>
    <w:p>
      <w:r>
        <w:t xml:space="preserve">Artefatos: </w:t>
      </w:r>
      <w:r>
        <w:rPr>
          <w:rFonts w:ascii="Consolas" w:hAnsi="Consolas"/>
          <w:color w:val="333333"/>
          <w:sz w:val="18"/>
        </w:rPr>
        <w:t>dados/metricas_recuperacao.json</w:t>
      </w:r>
      <w:r>
        <w:t xml:space="preserve"> (completo, com dim/device/tempo de</w:t>
      </w:r>
    </w:p>
    <w:p>
      <w:r>
        <w:t xml:space="preserve">carga por encoder), </w:t>
      </w:r>
      <w:r>
        <w:rPr>
          <w:rFonts w:ascii="Consolas" w:hAnsi="Consolas"/>
          <w:color w:val="333333"/>
          <w:sz w:val="18"/>
        </w:rPr>
        <w:t>conjuntos/corpus_legal.jsonl</w:t>
      </w:r>
      <w:r>
        <w:t xml:space="preserve">, </w:t>
      </w:r>
      <w:r>
        <w:rPr>
          <w:rFonts w:ascii="Consolas" w:hAnsi="Consolas"/>
          <w:color w:val="333333"/>
          <w:sz w:val="18"/>
        </w:rPr>
        <w:t>conjuntos/gold_set.jsonl</w:t>
      </w:r>
      <w:r>
        <w:t>.</w:t>
      </w:r>
    </w:p>
    <w:p>
      <w:pPr>
        <w:pStyle w:val="Heading2"/>
      </w:pPr>
      <w:r>
        <w:t>Resultados da Fase 3 — Geração estruturada e latência (§4.1, §4.3, §4.4)</w:t>
      </w:r>
    </w:p>
    <w:p>
      <w:r>
        <w:t>Infra: Ollama 0.35.1 nativo (Docker pendente para §4.7), mistral:7b Q4 100% GPU</w:t>
      </w:r>
    </w:p>
    <w:p>
      <w:r>
        <w:t>(RTX 5090, ~8,9 GB VRAM, 120 tok/s medidos), BGE-M3 em CPU (encode ~0,5 s/consulta).</w:t>
      </w:r>
    </w:p>
    <w:p>
      <w:r>
        <w:t>Pipeline por requisição: LightGBM (~7 ms) → evidências BGE-M3/FAISS (~0,5 s;</w:t>
      </w:r>
    </w:p>
    <w:p>
      <w:r>
        <w:t>5 dispositivos + 2 casos similares) → Mistral com formato JSON Schema (LaudoLLM)</w:t>
      </w:r>
    </w:p>
    <w:p>
      <w:r>
        <w:t>→ montar_laudo determinístico + checar_fundamentacao.</w:t>
      </w:r>
    </w:p>
    <w:p>
      <w:r>
        <w:t>Medição N=200 (modelo quente, requisições sequenciais, keep_alive 30m):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estágio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p99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tabular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7,1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7,7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13,3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41,8 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509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939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1.082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1.204 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llm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4.387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5.744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7.268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7.815 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montagem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0,1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0,2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0,2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0,2 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4.911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6.264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8.347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8.829 ms</w:t>
            </w:r>
          </w:p>
        </w:tc>
      </w:tr>
    </w:tbl>
    <w:p>
      <w:r>
        <w:t>Vereditos §4:</w:t>
      </w:r>
    </w:p>
    <w:p>
      <w:pPr>
        <w:pStyle w:val="ListBullet"/>
      </w:pPr>
      <w:r>
        <w:t xml:space="preserve">§4.1 SLA 8,5 s: </w:t>
      </w:r>
      <w:r>
        <w:rPr>
          <w:b/>
        </w:rPr>
        <w:t>ATENDIDO</w:t>
      </w:r>
      <w:r>
        <w:t xml:space="preserve"> — p95 6,26 s; até o p99 (8,35 s) ficou dentro.</w:t>
      </w:r>
    </w:p>
    <w:p>
      <w:pPr>
        <w:pStyle w:val="ListBullet"/>
      </w:pPr>
      <w:r>
        <w:t xml:space="preserve">§4.3 schema 1ª tentativa: </w:t>
      </w:r>
      <w:r>
        <w:rPr>
          <w:b/>
        </w:rPr>
        <w:t>ATENDIDO</w:t>
      </w:r>
      <w:r>
        <w:t xml:space="preserve"> — 200/200 (100%), JSON Schema no</w:t>
      </w:r>
    </w:p>
    <w:p>
      <w:r>
        <w:t xml:space="preserve">parâmetro </w:t>
      </w:r>
      <w:r>
        <w:rPr>
          <w:rFonts w:ascii="Consolas" w:hAnsi="Consolas"/>
          <w:color w:val="333333"/>
          <w:sz w:val="18"/>
        </w:rPr>
        <w:t>format</w:t>
      </w:r>
      <w:r>
        <w:t xml:space="preserve"> + regra de concisão no prompt (regra 7).</w:t>
      </w:r>
    </w:p>
    <w:p>
      <w:pPr>
        <w:pStyle w:val="ListBullet"/>
      </w:pPr>
      <w:r>
        <w:t>§4.4 fundamentação: 95% dos laudos com todas as citações dentro dos</w:t>
      </w:r>
    </w:p>
    <w:p>
      <w:r>
        <w:t>recuperados; o guardião detecta as violações restantes. Diagnóstico do modo</w:t>
      </w:r>
    </w:p>
    <w:p>
      <w:r>
        <w:t>de falha: não é alucinação de fonte, é despejo do TEXTO do dispositivo no</w:t>
      </w:r>
    </w:p>
    <w:p>
      <w:r>
        <w:t xml:space="preserve">campo </w:t>
      </w:r>
      <w:r>
        <w:rPr>
          <w:rFonts w:ascii="Consolas" w:hAnsi="Consolas"/>
          <w:color w:val="333333"/>
          <w:sz w:val="18"/>
        </w:rPr>
        <w:t>artigo</w:t>
      </w:r>
      <w:r>
        <w:t xml:space="preserve"> — mitigado explicitando no prompt que artigo recebe só o</w:t>
      </w:r>
    </w:p>
    <w:p>
      <w:r>
        <w:t>identificador curto ("Art. 22"). Antes do ajuste: 64,5%.</w:t>
      </w:r>
    </w:p>
    <w:p>
      <w:r>
        <w:rPr>
          <w:b/>
        </w:rPr>
        <w:t>Pendência executada</w:t>
      </w:r>
      <w:r>
        <w:t>: política de re-tentativa implementada</w:t>
      </w:r>
    </w:p>
    <w:p>
      <w:r>
        <w:t>(</w:t>
      </w:r>
      <w:r>
        <w:rPr>
          <w:rFonts w:ascii="Consolas" w:hAnsi="Consolas"/>
          <w:color w:val="333333"/>
          <w:sz w:val="18"/>
        </w:rPr>
        <w:t>resiliencia.gerar_fundamentado</w:t>
      </w:r>
      <w:r>
        <w:t>) — laudo com violação é rejeitado</w:t>
      </w:r>
    </w:p>
    <w:p>
      <w:r>
        <w:t xml:space="preserve">internamente e reenviado UMA vez com o bloco </w:t>
      </w:r>
      <w:r>
        <w:rPr>
          <w:rFonts w:ascii="Consolas" w:hAnsi="Consolas"/>
          <w:color w:val="333333"/>
          <w:sz w:val="18"/>
        </w:rPr>
        <w:t>[CORREÇÃO OBRIGATÓRIA]</w:t>
      </w:r>
    </w:p>
    <w:p>
      <w:r>
        <w:t>contendo os erros do verificador; se persistir, o laudo sai com flag</w:t>
      </w:r>
    </w:p>
    <w:p>
      <w:r>
        <w:rPr>
          <w:rFonts w:ascii="Consolas" w:hAnsi="Consolas"/>
          <w:color w:val="333333"/>
          <w:sz w:val="18"/>
        </w:rPr>
        <w:t>fundamentacao_pendente:revisao_humana</w:t>
      </w:r>
      <w:r>
        <w:t xml:space="preserve"> (nunca aceito em silêncio).</w:t>
      </w:r>
    </w:p>
    <w:p>
      <w:r>
        <w:t>Efeito medido na re-medição N=200 (ver abaixo).</w:t>
      </w:r>
    </w:p>
    <w:p>
      <w:r>
        <w:t>Calibrações feitas: num_ctx 4096 (prompt ~3,5 k tok), num_predict 1500,</w:t>
      </w:r>
    </w:p>
    <w:p>
      <w:r>
        <w:t>saída real mediana ~500 tok; carga a frio do modelo ~12,4 s (fora do SLA —</w:t>
      </w:r>
    </w:p>
    <w:p>
      <w:r>
        <w:t>keep_alive obrigatório). Docker Desktop estava parado; cenários de caos do</w:t>
      </w:r>
    </w:p>
    <w:p>
      <w:r>
        <w:t>§4.7 ficam para a Fase 4 (Ollama em contêiner ou degradado nativo).</w:t>
      </w:r>
    </w:p>
    <w:p>
      <w:r>
        <w:t xml:space="preserve">Artefatos: </w:t>
      </w:r>
      <w:r>
        <w:rPr>
          <w:rFonts w:ascii="Consolas" w:hAnsi="Consolas"/>
          <w:color w:val="333333"/>
          <w:sz w:val="18"/>
        </w:rPr>
        <w:t>dados/metricas_latencia.json</w:t>
      </w:r>
      <w:r>
        <w:t xml:space="preserve">, </w:t>
      </w:r>
      <w:r>
        <w:rPr>
          <w:rFonts w:ascii="Consolas" w:hAnsi="Consolas"/>
          <w:color w:val="333333"/>
          <w:sz w:val="18"/>
        </w:rPr>
        <w:t>arquitetura_tese/evidencias.py</w:t>
      </w:r>
      <w:r>
        <w:t>,</w:t>
      </w:r>
    </w:p>
    <w:p>
      <w:r>
        <w:rPr>
          <w:rFonts w:ascii="Consolas" w:hAnsi="Consolas"/>
          <w:color w:val="333333"/>
          <w:sz w:val="18"/>
        </w:rPr>
        <w:t>scripts/medir_latencia.py</w:t>
      </w:r>
      <w:r>
        <w:t xml:space="preserve"> (por estágio + prévias §4.3/§4.4).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