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de perguntas prováveis — banca de qualificação</w:t>
      </w:r>
    </w:p>
    <w:p>
      <w:r>
        <w:t>Respostas curtas e honestas, todas ancoradas nos artefatos do repositório.</w:t>
      </w:r>
    </w:p>
    <w:p>
      <w:pPr>
        <w:pStyle w:val="Heading2"/>
      </w:pPr>
      <w:r>
        <w:t>Dados e validade</w:t>
      </w:r>
    </w:p>
    <w:p>
      <w:r>
        <w:rPr>
          <w:b/>
        </w:rPr>
        <w:t>"Você usou dados reais?"</w:t>
      </w:r>
    </w:p>
    <w:p>
      <w:r>
        <w:t>Não — e isso é declarado, não escondido. A base é 100% sintética</w:t>
      </w:r>
    </w:p>
    <w:p>
      <w:r>
        <w:t>(</w:t>
      </w:r>
      <w:r>
        <w:rPr>
          <w:rFonts w:ascii="Consolas" w:hAnsi="Consolas"/>
          <w:color w:val="333333"/>
          <w:sz w:val="18"/>
        </w:rPr>
        <w:t>dados/base_sintetica_risco.xlsx</w:t>
      </w:r>
      <w:r>
        <w:t>, 20.200 episódios) e as narrativas foram</w:t>
      </w:r>
    </w:p>
    <w:p>
      <w:r>
        <w:t>geradas dos próprios registros (D7-b). O smoke test responde "a arquitetura</w:t>
      </w:r>
    </w:p>
    <w:p>
      <w:r>
        <w:t>funciona de ponta a ponta?", não "o modelo é válido no mundo real?". A troca</w:t>
      </w:r>
    </w:p>
    <w:p>
      <w:r>
        <w:t>de fonte não muda nenhum contrato — o mesmo pipeline recebe a base real.</w:t>
      </w:r>
    </w:p>
    <w:p>
      <w:r>
        <w:rPr>
          <w:b/>
        </w:rPr>
        <w:t>"Rótulos gerados pelo mesmo código que gera o texto não é circular?"</w:t>
      </w:r>
    </w:p>
    <w:p>
      <w:r>
        <w:t>É — e está declarado como rótulo fraco (§6.6). Por isso o gold set aguarda</w:t>
      </w:r>
    </w:p>
    <w:p>
      <w:r>
        <w:t>validação do especialista (≥20% dupla anotação, kappa) e por isso o fine-tuning</w:t>
      </w:r>
    </w:p>
    <w:p>
      <w:r>
        <w:t>de encoder foi adiado: treinar em sintético aprenderia os templates do</w:t>
      </w:r>
    </w:p>
    <w:p>
      <w:r>
        <w:t>gerador. Métricas de retrieval/probe medem coerência do pipeline.</w:t>
      </w:r>
    </w:p>
    <w:p>
      <w:r>
        <w:rPr>
          <w:b/>
        </w:rPr>
        <w:t>"Por que a prevalência 50/50 é um problema?"</w:t>
      </w:r>
    </w:p>
    <w:p>
      <w:r>
        <w:t>Reincidência real é rara (dígitos baixos). Um classificador treinado em 50/50</w:t>
      </w:r>
    </w:p>
    <w:p>
      <w:r>
        <w:t>superestima a probabilidade absoluta — por isso os limiares D8 são provisórios</w:t>
      </w:r>
    </w:p>
    <w:p>
      <w:r>
        <w:t>e a calibração absoluta deve ser refeita com Platt/isotônica sobre dados</w:t>
      </w:r>
    </w:p>
    <w:p>
      <w:r>
        <w:t>reais, junto com o ponto de operação de recall-alvo do §8.</w:t>
      </w:r>
    </w:p>
    <w:p>
      <w:pPr>
        <w:pStyle w:val="Heading2"/>
      </w:pPr>
      <w:r>
        <w:t>Modelo tabular</w:t>
      </w:r>
    </w:p>
    <w:p>
      <w:r>
        <w:rPr>
          <w:b/>
        </w:rPr>
        <w:t>"AUC 0,751 é bom?"</w:t>
      </w:r>
    </w:p>
    <w:p>
      <w:r>
        <w:t>Para ruído real e sem vazamento, sim. AUC muito alto seria suspeito de</w:t>
      </w:r>
    </w:p>
    <w:p>
      <w:r>
        <w:t xml:space="preserve">vazamento — e temos o controle: incluindo </w:t>
      </w:r>
      <w:r>
        <w:rPr>
          <w:rFonts w:ascii="Consolas" w:hAnsi="Consolas"/>
          <w:color w:val="333333"/>
          <w:sz w:val="18"/>
        </w:rPr>
        <w:t>score_geracao</w:t>
      </w:r>
      <w:r>
        <w:t xml:space="preserve"> de propósito, ele</w:t>
      </w:r>
    </w:p>
    <w:p>
      <w:r>
        <w:t>domina a importância (0,229) e o teste flagra. 0,75 com ECE 0,012 diz</w:t>
      </w:r>
    </w:p>
    <w:p>
      <w:r>
        <w:t>"discrimina moderadamente e está bem calibrado".</w:t>
      </w:r>
    </w:p>
    <w:p>
      <w:r>
        <w:rPr>
          <w:b/>
        </w:rPr>
        <w:t>"Quantas épocas? O treino é saudável?"</w:t>
      </w:r>
    </w:p>
    <w:p>
      <w:r>
        <w:t>Boosting, não épocas: early stopping parou na iteração 54 (teto 2.000,</w:t>
      </w:r>
    </w:p>
    <w:p>
      <w:r>
        <w:t>paciência 50) sobre validação interna por grupo — o holdout não participou da</w:t>
      </w:r>
    </w:p>
    <w:p>
      <w:r>
        <w:t>escolha. Antes, com 300 árvores fixas, havia ~150 árvores redundantes</w:t>
      </w:r>
    </w:p>
    <w:p>
      <w:r>
        <w:t>(gap +0,075 AUC). O early stopping subiu o AUC para 0,751 e quase dividiu o</w:t>
      </w:r>
    </w:p>
    <w:p>
      <w:r>
        <w:t>ECE pela metade (fig8).</w:t>
      </w:r>
    </w:p>
    <w:p>
      <w:r>
        <w:rPr>
          <w:b/>
        </w:rPr>
        <w:t>"E quando o modelo erra?"</w:t>
      </w:r>
    </w:p>
    <w:p>
      <w:r>
        <w:t>Os dois erros são interpretáveis (seção 3.3 do PDF): o FP acumulou fatores</w:t>
      </w:r>
    </w:p>
    <w:p>
      <w:r>
        <w:t>graves sem os dois mais fortes e a banda CRÍTICO disparou revisão humana —</w:t>
      </w:r>
    </w:p>
    <w:p>
      <w:r>
        <w:t>comportamento seguro para falso positivo. O FN (controle coercitivo isolado)</w:t>
      </w:r>
    </w:p>
    <w:p>
      <w:r>
        <w:t>mostra o limite do tabular e justifica o override de MODERADO divergente e o</w:t>
      </w:r>
    </w:p>
    <w:p>
      <w:r>
        <w:t>recall-alvo §8. Em produção, o limiar não seria 0,50: o ponto de operação que</w:t>
      </w:r>
    </w:p>
    <w:p>
      <w:r>
        <w:t>garante recall ≥0,95 no holdout é ~0,25 — lá o FN cai de 709 para 99 e</w:t>
      </w:r>
    </w:p>
    <w:p>
      <w:r>
        <w:t>~90% dos casos vão à revisão humana (fig11). O FN do exemplo (score 0,319)</w:t>
      </w:r>
    </w:p>
    <w:p>
      <w:r>
        <w:t>ficaria acima de 0,25 → seria capturado. A escolha do erro é institucional,</w:t>
      </w:r>
    </w:p>
    <w:p>
      <w:r>
        <w:t>não acidental: o modelo ranqueia, a política decide, e fica auditável.</w:t>
      </w:r>
    </w:p>
    <w:p>
      <w:pPr>
        <w:pStyle w:val="Heading2"/>
      </w:pPr>
      <w:r>
        <w:t>Recuperação</w:t>
      </w:r>
    </w:p>
    <w:p>
      <w:r>
        <w:rPr>
          <w:b/>
        </w:rPr>
        <w:t>"O §4.2 falhou. E daí?"</w:t>
      </w:r>
    </w:p>
    <w:p>
      <w:r>
        <w:t>Foi o resultado mais útil do smoke test. Com n=50 parecia 0,86 (dentro); com</w:t>
      </w:r>
    </w:p>
    <w:p>
      <w:r>
        <w:t>n=200 caiu para 0,815 — a expansão revelou efeito de amostra pequena, não</w:t>
      </w:r>
    </w:p>
    <w:p>
      <w:r>
        <w:t>regressão. O denso isolado continua vencendo BM25 (0,71) e híbrido (0,775), e</w:t>
      </w:r>
    </w:p>
    <w:p>
      <w:r>
        <w:t>o déficit de 3,5 p.p. transforma "queremos melhorar" em justificativa medida</w:t>
      </w:r>
    </w:p>
    <w:p>
      <w:r>
        <w:t>para fine-tuning com rótulos reais.</w:t>
      </w:r>
    </w:p>
    <w:p>
      <w:r>
        <w:rPr>
          <w:b/>
        </w:rPr>
        <w:t>"Por que BGE-M3 e não um modelo jurídico (BERTimbau)?"</w:t>
      </w:r>
    </w:p>
    <w:p>
      <w:r>
        <w:t>A ablação decidiu: Legal-BERTimbau base = 0,38, STS = 0,46, BGE-M3 = 0,81 no</w:t>
      </w:r>
    </w:p>
    <w:p>
      <w:r>
        <w:t>dev ampliado. O prior "especializado em jurídico" não se confirmou — STS foi</w:t>
      </w:r>
    </w:p>
    <w:p>
      <w:r>
        <w:t>treinado para similaridade frase-a-frase, não para consulta-narrativa→</w:t>
      </w:r>
    </w:p>
    <w:p>
      <w:r>
        <w:t>dispositivo.</w:t>
      </w:r>
    </w:p>
    <w:p>
      <w:pPr>
        <w:pStyle w:val="Heading2"/>
      </w:pPr>
      <w:r>
        <w:t>LLM e geração</w:t>
      </w:r>
    </w:p>
    <w:p>
      <w:r>
        <w:rPr>
          <w:b/>
        </w:rPr>
        <w:t>"O LLM pode inventar risco ou lei?"</w:t>
      </w:r>
    </w:p>
    <w:p>
      <w:r>
        <w:t>Não pode — por construção (D9-b): o Mistral só preenche campos textuais do</w:t>
      </w:r>
    </w:p>
    <w:p>
      <w:r>
        <w:t>schema; score, nível, incerteza e revisão humana vêm de código determinístico.</w:t>
      </w:r>
    </w:p>
    <w:p>
      <w:r>
        <w:t>Citações são verificadas contra os doc_id recuperados; violação → 1</w:t>
      </w:r>
    </w:p>
    <w:p>
      <w:r>
        <w:t>re-tentativa com os erros no prompt → persistindo, sai com flag de revisão</w:t>
      </w:r>
    </w:p>
    <w:p>
      <w:r>
        <w:t>humana, nunca aceito em silêncio (95%→97% com o retry).</w:t>
      </w:r>
    </w:p>
    <w:p>
      <w:r>
        <w:rPr>
          <w:b/>
        </w:rPr>
        <w:t>"E se o modelo cair no meio?"</w:t>
      </w:r>
    </w:p>
    <w:p>
      <w:r>
        <w:t>LaudoDegradado em &lt;1,6 s com o score tabular preservado e revisão humana</w:t>
      </w:r>
    </w:p>
    <w:p>
      <w:r>
        <w:t>forçada; circuit breaker abre após 3 falhas. Medido em caos real (porta</w:t>
      </w:r>
    </w:p>
    <w:p>
      <w:r>
        <w:t>morta, soquete travado, kill na geração).</w:t>
      </w:r>
    </w:p>
    <w:p>
      <w:r>
        <w:rPr>
          <w:b/>
        </w:rPr>
        <w:t>"Injeção de prompt?"</w:t>
      </w:r>
    </w:p>
    <w:p>
      <w:r>
        <w:t>Detector na entrada pega 100% dos padrões §6.2 (recall=precisão=1,0). No teste</w:t>
      </w:r>
    </w:p>
    <w:p>
      <w:r>
        <w:t>ponta a ponta, 12/12 laudos mantiveram schema válido sob injeção; houve 1 eco</w:t>
      </w:r>
    </w:p>
    <w:p>
      <w:r>
        <w:t>de canário — por isso o bloqueio real mora na ingestão, antes do modelo.</w:t>
      </w:r>
    </w:p>
    <w:p>
      <w:pPr>
        <w:pStyle w:val="Heading2"/>
      </w:pPr>
      <w:r>
        <w:t>Sistema</w:t>
      </w:r>
    </w:p>
    <w:p>
      <w:r>
        <w:rPr>
          <w:b/>
        </w:rPr>
        <w:t>"Cabe no SLA?"</w:t>
      </w:r>
    </w:p>
    <w:p>
      <w:r>
        <w:t>p95 = 8,37 s &lt; 8,5 s com 200 requisições sequenciais e modelo quente. O p99</w:t>
      </w:r>
    </w:p>
    <w:p>
      <w:r>
        <w:t>(13,1 s) ficou fora por causa do retry de fundamentação — trade-off declarado</w:t>
      </w:r>
    </w:p>
    <w:p>
      <w:r>
        <w:t>no relatório; mitigações: retry assíncrono (webhook D5) ou teto de tokens na</w:t>
      </w:r>
    </w:p>
    <w:p>
      <w:r>
        <w:t>2ª geração. Carga a frio ~12,4 s exige warm-up no deploy.</w:t>
      </w:r>
    </w:p>
    <w:p>
      <w:r>
        <w:rPr>
          <w:b/>
        </w:rPr>
        <w:t>"O que falta para produção?"</w:t>
      </w:r>
    </w:p>
    <w:p>
      <w:r>
        <w:t>Dados reais (re-treino + recalibração + novos limiares), gold validado por</w:t>
      </w:r>
    </w:p>
    <w:p>
      <w:r>
        <w:t>especialista, fine-tuning do encoder (déficit medido), concorrência e caos</w:t>
      </w:r>
    </w:p>
    <w:p>
      <w:r>
        <w:t xml:space="preserve">com </w:t>
      </w:r>
      <w:r>
        <w:rPr>
          <w:rFonts w:ascii="Consolas" w:hAnsi="Consolas"/>
          <w:color w:val="333333"/>
          <w:sz w:val="18"/>
        </w:rPr>
        <w:t>docker pause</w:t>
      </w:r>
      <w:r>
        <w:t xml:space="preserve"> real, e o canal webhook instrumentado.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