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verificação do smoke test — Arquitetura Tese v1</w:t>
      </w:r>
    </w:p>
    <w:p>
      <w:r>
        <w:t xml:space="preserve">Data da execução: ver </w:t>
      </w:r>
      <w:r>
        <w:rPr>
          <w:rFonts w:ascii="Consolas" w:hAnsi="Consolas"/>
          <w:color w:val="333333"/>
          <w:sz w:val="18"/>
        </w:rPr>
        <w:t>dados/hash_registry.json</w:t>
      </w:r>
      <w:r>
        <w:t>. Ambiente: ASUS ROG Strix SCAR 18</w:t>
      </w:r>
    </w:p>
    <w:p>
      <w:r>
        <w:t>(Ultra 9 275HX, RTX 5090 Laptop 24 GB, 64 GB RAM, Win11), Python 3.14.7,</w:t>
      </w:r>
    </w:p>
    <w:p>
      <w:r>
        <w:t>Ollama 0.35.1 nativo, mistral:7b Q4 (100% GPU), BGE-M3 em CPU, faiss-cpu 1.15.1.</w:t>
      </w:r>
    </w:p>
    <w:p>
      <w:r>
        <w:rPr>
          <w:b/>
        </w:rPr>
        <w:t>Escopo</w:t>
      </w:r>
      <w:r>
        <w:t>: base_sintetica_risco.xlsx (20.200 episódios) + narrativas sintéticas</w:t>
      </w:r>
    </w:p>
    <w:p>
      <w:r>
        <w:t>vinculadas (D7-b) + corpus legal oficial (22 dispositivos, Planalto). Sem dados</w:t>
      </w:r>
    </w:p>
    <w:p>
      <w:r>
        <w:t>reais de tribunal — todos os resultados validam o PIPELINE, não o mundo real.</w:t>
      </w:r>
    </w:p>
    <w:p>
      <w:pPr>
        <w:pStyle w:val="Heading2"/>
      </w:pPr>
      <w:r>
        <w:t>Resumo dos critérios §4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Limiar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Medido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Veredito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§4.1 Latência (N=200, com retry §4.4)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p95 &lt; 8,5 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p95 8,37 s</w:t>
            </w:r>
            <w:r>
              <w:rPr>
                <w:sz w:val="18"/>
              </w:rPr>
              <w:t xml:space="preserve"> (p50 5,09 / p99 13,1)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 no p95; p99 fora</w:t>
            </w:r>
            <w:r>
              <w:rPr>
                <w:sz w:val="18"/>
              </w:rPr>
              <w:t xml:space="preserve"> (ver nota)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§4.2 Hit Rate@5 (gold ampliado n=200)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≥ 0,85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0,815</w:t>
            </w:r>
            <w:r>
              <w:rPr>
                <w:sz w:val="18"/>
              </w:rPr>
              <w:t xml:space="preserve"> [IC95 0,755–0,863]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NÃO 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§4.3 Schema 1ª tent.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200/200 (100%)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§4.4 Fundamentação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 citações sem suporte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97% limpo após 1 retry</w:t>
            </w:r>
            <w:r>
              <w:rPr>
                <w:sz w:val="18"/>
              </w:rPr>
              <w:t xml:space="preserve"> (20 retentativas, 6 flagged p/ revisão); guardião detecta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 com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§4.5 AUC/Brier/ECE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reportar; ECE ≤ 0,05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AUC </w:t>
            </w:r>
            <w:r>
              <w:rPr>
                <w:b/>
                <w:sz w:val="18"/>
              </w:rPr>
              <w:t>0,751</w:t>
            </w:r>
            <w:r>
              <w:rPr>
                <w:sz w:val="18"/>
              </w:rPr>
              <w:t xml:space="preserve"> / Brier 0,201 / ECE </w:t>
            </w:r>
            <w:r>
              <w:rPr>
                <w:b/>
                <w:sz w:val="18"/>
              </w:rPr>
              <w:t>0,012</w:t>
            </w:r>
            <w:r>
              <w:rPr>
                <w:sz w:val="18"/>
              </w:rPr>
              <w:t xml:space="preserve"> (early stopping it. 54)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§4.5 anti-vazamento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permutação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 artefatos no modelo; controle flagra score_geracao (0,229)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§4.6 Probe CAV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reportar AUC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0,78–1,00 por conceito (7 conceitos)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§4.6 Guardião injeção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conjunto §6.2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recall 1,0 / precisão 1,0 (seeds)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§4.6 Override §6.4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matriz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40+ casos pytest, incl. MODERADO+CAV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§4.7 Resiliência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degradado &lt;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a) 912 ms b) 315 ms c) 1.583 ms; breaker abre no 4º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ATENDIDO</w:t>
            </w:r>
          </w:p>
        </w:tc>
      </w:tr>
    </w:tbl>
    <w:p>
      <w:r>
        <w:t>Notas honestas sobre a re-medição:</w:t>
      </w:r>
    </w:p>
    <w:p>
      <w:pPr>
        <w:pStyle w:val="ListBullet"/>
      </w:pPr>
      <w:r>
        <w:t xml:space="preserve">O retry §4.4 elevou a fundamentação de 95% → </w:t>
      </w:r>
      <w:r>
        <w:rPr>
          <w:b/>
        </w:rPr>
        <w:t>97%</w:t>
      </w:r>
      <w:r>
        <w:t xml:space="preserve"> e empurrou a cauda de</w:t>
      </w:r>
    </w:p>
    <w:p>
      <w:r>
        <w:t>latência: p95 6,26 s → 8,37 s (ainda &lt; 8,5 s, folga de ~130 ms) e p99 de</w:t>
      </w:r>
    </w:p>
    <w:p>
      <w:r>
        <w:t>8,35 s → 13,1 s. O trade-off é real e fica declarado: quem falha na</w:t>
      </w:r>
    </w:p>
    <w:p>
      <w:r>
        <w:t>fundamentação paga uma 2ª geração (~+5 s). Sem retry, p95 seria menor mas o</w:t>
      </w:r>
    </w:p>
    <w:p>
      <w:r>
        <w:t>§4.4 ficaria em 95%.</w:t>
      </w:r>
    </w:p>
    <w:p>
      <w:pPr>
        <w:pStyle w:val="ListBullet"/>
      </w:pPr>
      <w:r>
        <w:t>O gold ampliado (400 consultas, n=200/split) derrubou o 0,86 do n=50 para</w:t>
      </w:r>
    </w:p>
    <w:p>
      <w:r>
        <w:t>0,815 — a expansão fez seu papel: medir de verdade, não confirmar o número</w:t>
      </w:r>
    </w:p>
    <w:p>
      <w:r>
        <w:t>anterior. A decisão D2/D6 mantém-se (denso isolado continua vencendo o</w:t>
      </w:r>
    </w:p>
    <w:p>
      <w:r>
        <w:t>híbrido: 0,815 vs 0,775).</w:t>
      </w:r>
    </w:p>
    <w:p>
      <w:pPr>
        <w:pStyle w:val="Heading2"/>
      </w:pPr>
      <w:r>
        <w:t>Evidências por fase</w:t>
      </w:r>
    </w:p>
    <w:p>
      <w:pPr>
        <w:pStyle w:val="ListBullet"/>
      </w:pPr>
      <w:r>
        <w:rPr>
          <w:b/>
        </w:rPr>
        <w:t>Fase 1 (tabular)</w:t>
      </w:r>
      <w:r>
        <w:t xml:space="preserve">: LightGBM com </w:t>
      </w:r>
      <w:r>
        <w:rPr>
          <w:b/>
        </w:rPr>
        <w:t>early stopping</w:t>
      </w:r>
      <w:r>
        <w:t xml:space="preserve"> (teto 2000, paciência</w:t>
      </w:r>
    </w:p>
    <w:p>
      <w:r>
        <w:t>50, validação interna 15% do treino com grupos disjuntos — holdout intocado).</w:t>
      </w:r>
    </w:p>
    <w:p>
      <w:r>
        <w:t xml:space="preserve">Parada na iteração 54; split por grupo </w:t>
      </w:r>
      <w:r>
        <w:rPr>
          <w:rFonts w:ascii="Consolas" w:hAnsi="Consolas"/>
          <w:color w:val="333333"/>
          <w:sz w:val="18"/>
        </w:rPr>
        <w:t>id_agressor_sintetico</w:t>
      </w:r>
      <w:r>
        <w:t>, 15 features</w:t>
      </w:r>
    </w:p>
    <w:p>
      <w:r>
        <w:t>sem artefatos de geração, controle anti-vazamento demonstrado.</w:t>
      </w:r>
    </w:p>
    <w:p>
      <w:r>
        <w:rPr>
          <w:rFonts w:ascii="Consolas" w:hAnsi="Consolas"/>
          <w:color w:val="333333"/>
          <w:sz w:val="18"/>
        </w:rPr>
        <w:t>dados/metricas_tabular.json</w:t>
      </w:r>
    </w:p>
    <w:p>
      <w:pPr>
        <w:pStyle w:val="ListBullet"/>
      </w:pPr>
      <w:r>
        <w:rPr>
          <w:b/>
        </w:rPr>
        <w:t>Fase 2 (recuperação)</w:t>
      </w:r>
      <w:r>
        <w:t>: ablação honesta re-medida no gold ampliado —</w:t>
      </w:r>
    </w:p>
    <w:p>
      <w:r>
        <w:t xml:space="preserve">BM25 0,72/0,71 | </w:t>
      </w:r>
      <w:r>
        <w:rPr>
          <w:b/>
        </w:rPr>
        <w:t>BGE-M3 0,81/0,815</w:t>
      </w:r>
      <w:r>
        <w:t xml:space="preserve"> | híbrido RRF 0,76/0,775 (rejeitado;</w:t>
      </w:r>
    </w:p>
    <w:p>
      <w:r>
        <w:t>Legal-BERTimbau base/STS ficaram em 0,36/0,50 no gold original). Decisões</w:t>
      </w:r>
    </w:p>
    <w:p>
      <w:r>
        <w:t xml:space="preserve">D2=BGE-M3 e D6=denso-isolado mantidas. </w:t>
      </w:r>
      <w:r>
        <w:rPr>
          <w:rFonts w:ascii="Consolas" w:hAnsi="Consolas"/>
          <w:color w:val="333333"/>
          <w:sz w:val="18"/>
        </w:rPr>
        <w:t>dados/metricas_recuperacao.json</w:t>
      </w:r>
    </w:p>
    <w:p>
      <w:pPr>
        <w:pStyle w:val="ListBullet"/>
      </w:pPr>
      <w:r>
        <w:rPr>
          <w:b/>
        </w:rPr>
        <w:t>Fase 3 (geração+latência)</w:t>
      </w:r>
      <w:r>
        <w:t>: por estágio — tabular ~7 ms / retrieval</w:t>
      </w:r>
    </w:p>
    <w:p>
      <w:r>
        <w:t>0,5–1,1 s / LLM p95 7,8 s (inclui retry) / montagem 0,1 ms. Schema 100% via</w:t>
      </w:r>
    </w:p>
    <w:p>
      <w:r>
        <w:rPr>
          <w:rFonts w:ascii="Consolas" w:hAnsi="Consolas"/>
          <w:color w:val="333333"/>
          <w:sz w:val="18"/>
        </w:rPr>
        <w:t>format</w:t>
      </w:r>
      <w:r>
        <w:t xml:space="preserve"> JSON Schema + concisão. Fundamentação: 64,5% → 95% (prompt) →</w:t>
      </w:r>
    </w:p>
    <w:p>
      <w:r>
        <w:rPr>
          <w:b/>
        </w:rPr>
        <w:t>97% com re-tentativa determinística</w:t>
      </w:r>
      <w:r>
        <w:t xml:space="preserve"> (</w:t>
      </w:r>
      <w:r>
        <w:rPr>
          <w:rFonts w:ascii="Consolas" w:hAnsi="Consolas"/>
          <w:color w:val="333333"/>
          <w:sz w:val="18"/>
        </w:rPr>
        <w:t>resiliencia.gerar_fundamentado</w:t>
      </w:r>
      <w:r>
        <w:t>).</w:t>
      </w:r>
    </w:p>
    <w:p>
      <w:r>
        <w:rPr>
          <w:rFonts w:ascii="Consolas" w:hAnsi="Consolas"/>
          <w:color w:val="333333"/>
          <w:sz w:val="18"/>
        </w:rPr>
        <w:t>dados/metricas_latencia.json</w:t>
      </w:r>
    </w:p>
    <w:p>
      <w:pPr>
        <w:pStyle w:val="ListBullet"/>
      </w:pPr>
      <w:r>
        <w:rPr>
          <w:b/>
        </w:rPr>
        <w:t>Fase 4 (resiliência+guardiões)</w:t>
      </w:r>
      <w:r>
        <w:t>: caos a/b/c todos degradados corretamente;</w:t>
      </w:r>
    </w:p>
    <w:p>
      <w:r>
        <w:t>breaker abre após 3 falhas; detector de injeção 6/6 seeds; e2e 12/12 schema</w:t>
      </w:r>
    </w:p>
    <w:p>
      <w:r>
        <w:t>sob injeção com 1 eco de canário (mitigação: bloqueio na ingestão, que pega</w:t>
      </w:r>
    </w:p>
    <w:p>
      <w:r>
        <w:t xml:space="preserve">100% dos padrões). </w:t>
      </w:r>
      <w:r>
        <w:rPr>
          <w:rFonts w:ascii="Consolas" w:hAnsi="Consolas"/>
          <w:color w:val="333333"/>
          <w:sz w:val="18"/>
        </w:rPr>
        <w:t>dados/metricas_caos.json</w:t>
      </w:r>
      <w:r>
        <w:t xml:space="preserve">, </w:t>
      </w:r>
      <w:r>
        <w:rPr>
          <w:rFonts w:ascii="Consolas" w:hAnsi="Consolas"/>
          <w:color w:val="333333"/>
          <w:sz w:val="18"/>
        </w:rPr>
        <w:t>dados/metricas_guardiao.json</w:t>
      </w:r>
      <w:r>
        <w:t>,</w:t>
      </w:r>
    </w:p>
    <w:p>
      <w:r>
        <w:rPr>
          <w:rFonts w:ascii="Consolas" w:hAnsi="Consolas"/>
          <w:color w:val="333333"/>
          <w:sz w:val="18"/>
        </w:rPr>
        <w:t>dados/metricas_cav.json</w:t>
      </w:r>
    </w:p>
    <w:p>
      <w:pPr>
        <w:pStyle w:val="Heading2"/>
      </w:pPr>
      <w:r>
        <w:t>Limitações declaradas (§6.6)</w:t>
      </w:r>
    </w:p>
    <w:p>
      <w:pPr>
        <w:pStyle w:val="ListNumber"/>
      </w:pPr>
      <w:r>
        <w:t>Dados 100% sintéticos: prevalência artificial ~50/50, rótulos fracos de</w:t>
      </w:r>
    </w:p>
    <w:p>
      <w:r>
        <w:t>relevância e de conceito derivados dos mesmos templates que geram o texto —</w:t>
      </w:r>
    </w:p>
    <w:p>
      <w:r>
        <w:t>métricas de retrieval/probe medem coerência do pipeline, não validade externa.</w:t>
      </w:r>
    </w:p>
    <w:p>
      <w:pPr>
        <w:pStyle w:val="ListNumber"/>
      </w:pPr>
      <w:r>
        <w:t>Ollama nativo: cenários de caos adaptados (porta morta, soquete travado,</w:t>
      </w:r>
    </w:p>
    <w:p>
      <w:r>
        <w:t xml:space="preserve">taskkill) em vez de </w:t>
      </w:r>
      <w:r>
        <w:rPr>
          <w:rFonts w:ascii="Consolas" w:hAnsi="Consolas"/>
          <w:color w:val="333333"/>
          <w:sz w:val="18"/>
        </w:rPr>
        <w:t>docker pause</w:t>
      </w:r>
      <w:r>
        <w:t>. Refazer com Docker Desktop ativo para</w:t>
      </w:r>
    </w:p>
    <w:p>
      <w:r>
        <w:t>fidelidade total ao §4.7.</w:t>
      </w:r>
    </w:p>
    <w:p>
      <w:pPr>
        <w:pStyle w:val="ListNumber"/>
      </w:pPr>
      <w:r>
        <w:t>Latência medida sequencial, modelo quente, keep_alive 30 m; carga a frio</w:t>
      </w:r>
    </w:p>
    <w:p>
      <w:r>
        <w:t>~12,4 s fica fora do SLA e exige warm-up no deploy. Sem concorrência medida.</w:t>
      </w:r>
    </w:p>
    <w:p>
      <w:pPr>
        <w:pStyle w:val="ListNumber"/>
      </w:pPr>
      <w:r>
        <w:t>Webhook (canal assíncrono) não instrumentado — D5 prevê medição à parte.</w:t>
      </w:r>
    </w:p>
    <w:p>
      <w:pPr>
        <w:pStyle w:val="ListNumber"/>
      </w:pPr>
      <w:r>
        <w:t>Gold set pendente de validação do especialista (≥20% dupla anotação, kappa).</w:t>
      </w:r>
    </w:p>
    <w:p>
      <w:pPr>
        <w:pStyle w:val="ListNumber"/>
      </w:pPr>
      <w:r>
        <w:t>Encoder BGE-M3 rodou em CPU (torch CPU-only no py3.14); GPU pode reduzir</w:t>
      </w:r>
    </w:p>
    <w:p>
      <w:r>
        <w:t>o estágio retrieval de ~0,5 s para ~50 ms.</w:t>
      </w:r>
    </w:p>
    <w:p>
      <w:pPr>
        <w:pStyle w:val="Heading2"/>
      </w:pPr>
      <w:r>
        <w:t>Pendências para fechar a Seção 4</w:t>
      </w:r>
    </w:p>
    <w:p>
      <w:pPr>
        <w:pStyle w:val="ListBullet"/>
      </w:pPr>
      <w:r>
        <w:t>~~Ampliar gold set para ~200 consultas e repetir a ablação (IC95).~~ Feito:</w:t>
      </w:r>
    </w:p>
    <w:p>
      <w:r>
        <w:t xml:space="preserve">400 consultas (200/200). Resultado honesto: critério §4.2 </w:t>
      </w:r>
      <w:r>
        <w:rPr>
          <w:b/>
        </w:rPr>
        <w:t>não atendido</w:t>
      </w:r>
    </w:p>
    <w:p>
      <w:r>
        <w:t>(0,815 &lt; 0,85). Caminho declarado: fine-tuning do encoder sobre rótulos</w:t>
      </w:r>
    </w:p>
    <w:p>
      <w:r>
        <w:t>validados por especialista quando houver dados reais — em sintético ele</w:t>
      </w:r>
    </w:p>
    <w:p>
      <w:r>
        <w:t>aprenderia os templates do gerador.</w:t>
      </w:r>
    </w:p>
    <w:p>
      <w:pPr>
        <w:pStyle w:val="ListBullet"/>
      </w:pPr>
      <w:r>
        <w:t>~~Política de rejeição do laudo flagado pelo guardião de fundamentação.~~</w:t>
      </w:r>
    </w:p>
    <w:p>
      <w:r>
        <w:t xml:space="preserve">Feito: retry-on-violation + flag </w:t>
      </w:r>
      <w:r>
        <w:rPr>
          <w:rFonts w:ascii="Consolas" w:hAnsi="Consolas"/>
          <w:color w:val="333333"/>
          <w:sz w:val="18"/>
        </w:rPr>
        <w:t>fundamentacao_pendente:revisao_humana</w:t>
      </w:r>
      <w:r>
        <w:t>.</w:t>
      </w:r>
    </w:p>
    <w:p>
      <w:pPr>
        <w:pStyle w:val="ListBullet"/>
      </w:pPr>
      <w:r>
        <w:t>Cauda de latência: p99 13,1 s ficou fora do SLA por causa do retry; opções</w:t>
      </w:r>
    </w:p>
    <w:p>
      <w:r>
        <w:t>se a margem incomodar — SLA em p95 (já é o critério), retry assíncrono via</w:t>
      </w:r>
    </w:p>
    <w:p>
      <w:r>
        <w:t>webhook (D5), ou limite de tokens da 2ª geração.</w:t>
      </w:r>
    </w:p>
    <w:p>
      <w:pPr>
        <w:pStyle w:val="ListBullet"/>
      </w:pPr>
      <w:r>
        <w:t xml:space="preserve">Subir Docker Desktop e reexecutar caos via </w:t>
      </w:r>
      <w:r>
        <w:rPr>
          <w:rFonts w:ascii="Consolas" w:hAnsi="Consolas"/>
          <w:color w:val="333333"/>
          <w:sz w:val="18"/>
        </w:rPr>
        <w:t>docker pause</w:t>
      </w:r>
      <w:r>
        <w:t xml:space="preserve"> real.</w:t>
      </w:r>
    </w:p>
    <w:p>
      <w:pPr>
        <w:pStyle w:val="ListBullet"/>
      </w:pPr>
      <w:r>
        <w:t>Validar gold labels + amostra de narrativas com o especialista (kappa).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