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Áreas de Impacto (Workday)</w:t>
      </w:r>
    </w:p>
    <w:p>
      <w:r>
        <w:rPr>
          <w:i/>
          <w:color w:val="555555"/>
          <w:sz w:val="22"/>
        </w:rPr>
        <w:t>Áreas de Impacto · Workday · PL</w:t>
      </w:r>
    </w:p>
    <w:p/>
    <w:p>
      <w:r>
        <w:rPr>
          <w:b/>
        </w:rPr>
        <w:t>Uso interno People Lead · Colar nos comentários de Areas of Impact</w:t>
      </w:r>
    </w:p>
    <w:p>
      <w:r>
        <w:t>Atualizado: 10/09/2026</w:t>
      </w:r>
    </w:p>
    <w:p>
      <w:pPr>
        <w:ind w:left="425"/>
      </w:pPr>
      <w:r>
        <w:rPr>
          <w:i/>
          <w:color w:val="444444"/>
        </w:rPr>
        <w:t xml:space="preserve">O sistema indicou que pode faltar reflexão em </w:t>
      </w:r>
      <w:r>
        <w:rPr>
          <w:b/>
          <w:color w:val="444444"/>
        </w:rPr>
        <w:t>Client Value Creation</w:t>
      </w:r>
      <w:r>
        <w:rPr>
          <w:i/>
          <w:color w:val="444444"/>
        </w:rPr>
        <w:t>. Use o bloco 1 abaixo para preencher o comentário do PL nessa área.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1) Criação de Valor para o Cliente (Client Value Creation)</w:t>
      </w:r>
    </w:p>
    <w:p>
      <w:r>
        <w:t>Ana Karina gerou valor no cliente BANCO BRADESCO no desenvolvimento do app nativo (Kotlin/Android), com evolução consistente nas entregas e na compreensão do produto, incluindo a transição de desenvolvimento para homologação. Os feedbacks de Rafael Coloda, Jessica e Celline confirmam desempenho alinhado ao nível Associate: qualidade das implementações, comunicação antecipada de riscos e colaboração no time. Ainda precisa de suporte em alguns temas — esperado para o momento de carreira — e o próximo ciclo deve ampliar autonomia em demandas de maior complexidade.</w:t>
      </w:r>
    </w:p>
    <w:p>
      <w:r>
        <w:rPr>
          <w:b/>
        </w:rPr>
        <w:t>Impacto sugerido:</w:t>
      </w:r>
      <w:r>
        <w:t xml:space="preserve"> médio-alto / alinhado ao nível (7–8 na escala das prioridades).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2) Habilitação de IA (AI Enablement)</w:t>
      </w:r>
    </w:p>
    <w:p>
      <w:r>
        <w:t>Ana Karina aplicou IA de forma prática no projeto Bradesco, com uso de Copilot (incl. VS Code no cliente) e agentes derivados no fluxo do time (analytics e frontend), alinhado à habilitação de IA da prática. Concluiu AZ-900; a certificação AI-900 formal permanece como trilha do próximo ciclo, sem prejudicar a evidência de uso aplicado já demonstrada. Deve formalizar cases (problema → agente → efeito) para tornar o impacto mais visível e replicável.</w:t>
      </w:r>
    </w:p>
    <w:p>
      <w:r>
        <w:rPr>
          <w:b/>
        </w:rPr>
        <w:t>Não usar:</w:t>
      </w:r>
      <w:r>
        <w:t xml:space="preserve"> “AI-900 concluída” — no histórico PL a badge formal concluída é </w:t>
      </w:r>
      <w:r>
        <w:rPr>
          <w:b/>
        </w:rPr>
        <w:t>AZ-900</w:t>
      </w:r>
      <w:r>
        <w:t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3) Ótimo Lugar para Trabalhar / Reinventors (Great Place to Work)</w:t>
      </w:r>
    </w:p>
    <w:p>
      <w:r>
        <w:t>Ana Karina contribui para um ambiente colaborativo e de aprendizado contínuo: curiosidade, abertura a feedbacks e boa interação com pares (reforçado por Celline e Jessica). Evoluiu o inglês de B2 para C1+ no goFluent e mantém engajamento nas 1:1 de carreira com o People Lead, com norte em arquitetura mobile. Ponto de evolução: disciplina operacional no lançamento de horas no Jira, de forma autônoma e consistente.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4) Comunidade (Community)</w:t>
      </w:r>
    </w:p>
    <w:p>
      <w:r>
        <w:t>Neste FY, a prioridade de comunidade avançou de forma limitada diante da carga de faculdade presencial e da entrega no cliente Bradesco — leitura alinhada às 1:1. Mantém intenção de impacto e colaboração; para o próximo ciclo, recomenda-se uma iniciativa objetiva (voluntariado ou compartilhamento de case técnico/IA na prática), compatível com a agenda, sem inflar participação não evidenciada.</w:t>
      </w:r>
    </w:p>
    <w:p>
      <w:r>
        <w:rPr>
          <w:b/>
        </w:rPr>
        <w:t>Não usar:</w:t>
      </w:r>
      <w:r>
        <w:t xml:space="preserve"> texto genérico de saúde/escolas técnicas sem evidência nas 1:1/feedbacks de projeto.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Resumo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Evidência-chave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Forte / consolidar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Bradesco, homologação, qualidade, riscos (Rafael/Jessica/Celline)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Forte aplicado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Copilot/agentes; AZ-900; AI-900 → FY27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Ótimo Lugar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Esperado+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C1+, colaboração; Jira a evoluir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Honesto / parcial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Limitado no FY; plano FY27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