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Análise Exploratória de Dados: Padrões de Consumo Energético</w:t>
      </w:r>
    </w:p>
    <w:p>
      <w:pPr>
        <w:pStyle w:val="Heading2"/>
      </w:pPr>
      <w:r>
        <w:t>Introdução</w:t>
      </w:r>
    </w:p>
    <w:p>
      <w:r>
        <w:t>Este documento apresenta uma análise exploratória de dados sobre padrões de consumo energético com o objetivo de identificar oportunidades para transição a fontes sustentáveis. Os dados foram extraídos do sistema CTR, incluindo informações de diversos grupos tarifários e horários.</w:t>
      </w:r>
    </w:p>
    <w:p>
      <w:pPr>
        <w:pStyle w:val="Heading2"/>
      </w:pPr>
      <w:r>
        <w:t>Limpeza e Preparação dos Dados</w:t>
      </w:r>
    </w:p>
    <w:p>
      <w:r>
        <w:t>Os dados foram limpos e transformados para corrigir separadores decimais, converter colunas numéricas, e ajustar nomes de colunas para maior clareza. Foi verificado que não existem valores ausentes nos dados.</w:t>
      </w:r>
    </w:p>
    <w:p>
      <w:pPr>
        <w:pStyle w:val="Heading2"/>
      </w:pPr>
      <w:r>
        <w:t>Análise Descritiva</w:t>
      </w:r>
    </w:p>
    <w:p>
      <w:r>
        <w:t>As principais estatísticas descritivas do consumo energético ('Demanda_Valor') são as seguintes:</w:t>
      </w:r>
    </w:p>
    <w:p>
      <w:r>
        <w:t>- Média: 13.20</w:t>
        <w:br/>
        <w:t>- Mediana: 1.25</w:t>
        <w:br/>
        <w:t>- Desvio padrão: 40.05</w:t>
        <w:br/>
        <w:t>- Valor mínimo: 0.00</w:t>
        <w:br/>
        <w:t>- Valor máximo: 1197.86</w:t>
        <w:br/>
      </w:r>
    </w:p>
    <w:p>
      <w:r>
        <w:t>Foi identificada a seguinte distribuição de frequências por grupo tarifário:</w:t>
      </w:r>
    </w:p>
    <w:p>
      <w:r>
        <w:t>- B3: 294,116 registros (demais classes)</w:t>
        <w:br/>
        <w:t>- A4: 138,916 registros</w:t>
        <w:br/>
        <w:t>- B1: 119,695 registros (residencial)</w:t>
        <w:br/>
        <w:t>- B2: 112,453 registros (rural)</w:t>
        <w:br/>
      </w:r>
    </w:p>
    <w:p>
      <w:pPr>
        <w:pStyle w:val="Heading2"/>
      </w:pPr>
      <w:r>
        <w:t>Insights Visuais</w:t>
      </w:r>
    </w:p>
    <w:p>
      <w:r>
        <w:t>1. **Distribuição de frequência por tipo de dia**: Sábados e domingos apresentam maior foco, com consumo mais elevado em horários específicos.</w:t>
        <w:br/>
        <w:t>2. **Demanda média por hora do dia**: Identificou-se picos e quedas de consumo ao longo do dia. Grupos como A2 e A4 têm maior variação em dias úteis.</w:t>
      </w:r>
    </w:p>
    <w:p>
      <w:pPr>
        <w:pStyle w:val="Heading2"/>
      </w:pPr>
      <w:r>
        <w:t>Recomendações</w:t>
      </w:r>
    </w:p>
    <w:p>
      <w:r>
        <w:t>Baseando-se nos padrões identificados, foram feitas as seguintes recomendações práticas:</w:t>
        <w:br/>
        <w:t>- Priorizar grupos de alta demanda para ações sustentáveis.</w:t>
        <w:br/>
        <w:t>- Implementar tarifas horárias para deslocar o consumo de picos.</w:t>
        <w:br/>
        <w:t>- Promover fontes renováveis no setor residencial.</w:t>
        <w:br/>
        <w:t>- Monitorar grandes consumidores com IoT e auditorias energéticas.</w:t>
        <w:br/>
        <w:t>- Investir em baterias para armazenamento de energia e estabilização de oferta.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