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0347" w14:textId="77777777" w:rsidR="00565D7A" w:rsidRDefault="00565D7A" w:rsidP="00565D7A">
      <w:pPr>
        <w:rPr>
          <w:rFonts w:ascii="Arial" w:hAnsi="Arial" w:cs="Arial"/>
          <w:b/>
          <w:bCs/>
        </w:rPr>
      </w:pPr>
    </w:p>
    <w:p w14:paraId="7EB530BD" w14:textId="6D3813BC" w:rsidR="00565D7A" w:rsidRDefault="00565D7A" w:rsidP="00565D7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2ª SÉRIE</w:t>
      </w:r>
      <w:r w:rsidR="002B47CE">
        <w:rPr>
          <w:rFonts w:ascii="Arial" w:hAnsi="Arial" w:cs="Arial"/>
          <w:b/>
          <w:bCs/>
        </w:rPr>
        <w:t xml:space="preserve"> (Modelo </w:t>
      </w:r>
      <w:r w:rsidR="00E765EA">
        <w:rPr>
          <w:rFonts w:ascii="Arial" w:hAnsi="Arial" w:cs="Arial"/>
          <w:b/>
          <w:bCs/>
        </w:rPr>
        <w:t>3</w:t>
      </w:r>
      <w:r w:rsidR="002B47CE">
        <w:rPr>
          <w:rFonts w:ascii="Arial" w:hAnsi="Arial" w:cs="Arial"/>
          <w:b/>
          <w:bCs/>
        </w:rPr>
        <w:t>)</w:t>
      </w:r>
    </w:p>
    <w:p w14:paraId="48F8C17E" w14:textId="4250D17B" w:rsidR="00565D7A" w:rsidRPr="00565D7A" w:rsidRDefault="00565D7A" w:rsidP="00565D7A">
      <w:pPr>
        <w:rPr>
          <w:rFonts w:ascii="Arial" w:hAnsi="Arial" w:cs="Arial"/>
          <w:b/>
          <w:bCs/>
        </w:rPr>
      </w:pPr>
      <w:r w:rsidRPr="00565D7A">
        <w:rPr>
          <w:rFonts w:ascii="Arial" w:hAnsi="Arial" w:cs="Arial"/>
          <w:b/>
          <w:bCs/>
        </w:rPr>
        <w:t xml:space="preserve">ATIVIDADE PEDAGÓGICA VALORADA – 1ª ETAPA DO </w:t>
      </w:r>
      <w:r w:rsidR="00A5183B">
        <w:rPr>
          <w:rFonts w:ascii="Arial" w:hAnsi="Arial" w:cs="Arial"/>
          <w:b/>
          <w:bCs/>
        </w:rPr>
        <w:t>3</w:t>
      </w:r>
      <w:r w:rsidRPr="00565D7A">
        <w:rPr>
          <w:rFonts w:ascii="Arial" w:hAnsi="Arial" w:cs="Arial"/>
          <w:b/>
          <w:bCs/>
        </w:rPr>
        <w:t>º PERÍODO DE 202</w:t>
      </w:r>
      <w:r w:rsidR="00A5183B">
        <w:rPr>
          <w:rFonts w:ascii="Arial" w:hAnsi="Arial" w:cs="Arial"/>
          <w:b/>
          <w:bCs/>
        </w:rPr>
        <w:t>6</w:t>
      </w:r>
    </w:p>
    <w:p w14:paraId="0A23CA74" w14:textId="77777777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>I - Análise de pinturas</w:t>
      </w:r>
    </w:p>
    <w:p w14:paraId="1A1A8927" w14:textId="6C4C121F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 xml:space="preserve">Pintura </w:t>
      </w:r>
      <w:r w:rsidR="00B578A3">
        <w:rPr>
          <w:rFonts w:ascii="Arial" w:hAnsi="Arial" w:cs="Arial"/>
        </w:rPr>
        <w:t xml:space="preserve">1 </w:t>
      </w:r>
      <w:r w:rsidRPr="00565D7A">
        <w:rPr>
          <w:rFonts w:ascii="Arial" w:hAnsi="Arial" w:cs="Arial"/>
        </w:rPr>
        <w:t xml:space="preserve">-"A REDENÇÃO DE CAM -1895 DE MODESTO BROCOS </w:t>
      </w:r>
      <w:r w:rsidR="00A5183B">
        <w:rPr>
          <w:rFonts w:ascii="Arial" w:hAnsi="Arial" w:cs="Arial"/>
        </w:rPr>
        <w:t>(Impressão deve ser em cores)</w:t>
      </w:r>
      <w:r w:rsidRPr="00565D7A">
        <w:rPr>
          <w:rFonts w:ascii="Arial" w:hAnsi="Arial" w:cs="Arial"/>
          <w:noProof/>
        </w:rPr>
        <w:drawing>
          <wp:inline distT="0" distB="0" distL="0" distR="0" wp14:anchorId="19D441EC" wp14:editId="7EF1C4FC">
            <wp:extent cx="5400040" cy="6395720"/>
            <wp:effectExtent l="0" t="0" r="0" b="5080"/>
            <wp:docPr id="3" name="Imagem 3" descr="Grupo de pessoas fantasiad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Grupo de pessoas fantasiad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9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5BD0" w14:textId="77777777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 xml:space="preserve">Obra consagrada por tratar de questões raciais e populares no século XIX, a </w:t>
      </w:r>
      <w:r w:rsidRPr="00565D7A">
        <w:rPr>
          <w:rFonts w:ascii="Arial" w:hAnsi="Arial" w:cs="Arial"/>
          <w:b/>
          <w:bCs/>
        </w:rPr>
        <w:t xml:space="preserve">tela </w:t>
      </w:r>
      <w:r w:rsidRPr="00565D7A">
        <w:rPr>
          <w:rFonts w:ascii="Arial" w:hAnsi="Arial" w:cs="Arial"/>
          <w:b/>
          <w:bCs/>
          <w:i/>
          <w:iCs/>
        </w:rPr>
        <w:t xml:space="preserve">A Redenção de </w:t>
      </w:r>
      <w:proofErr w:type="spellStart"/>
      <w:r w:rsidRPr="00565D7A">
        <w:rPr>
          <w:rFonts w:ascii="Arial" w:hAnsi="Arial" w:cs="Arial"/>
          <w:b/>
          <w:bCs/>
          <w:i/>
          <w:iCs/>
        </w:rPr>
        <w:t>Cam</w:t>
      </w:r>
      <w:proofErr w:type="spellEnd"/>
      <w:r w:rsidRPr="00565D7A">
        <w:rPr>
          <w:rFonts w:ascii="Arial" w:hAnsi="Arial" w:cs="Arial"/>
          <w:b/>
          <w:bCs/>
        </w:rPr>
        <w:t>,</w:t>
      </w:r>
      <w:r w:rsidRPr="00565D7A">
        <w:rPr>
          <w:rFonts w:ascii="Arial" w:hAnsi="Arial" w:cs="Arial"/>
        </w:rPr>
        <w:t xml:space="preserve"> de </w:t>
      </w:r>
      <w:hyperlink r:id="rId6" w:history="1">
        <w:r w:rsidRPr="00565D7A">
          <w:rPr>
            <w:rStyle w:val="Hyperlink"/>
            <w:rFonts w:ascii="Arial" w:hAnsi="Arial" w:cs="Arial"/>
          </w:rPr>
          <w:t>Modesto Brocos (1852-1936)</w:t>
        </w:r>
      </w:hyperlink>
      <w:r w:rsidRPr="00565D7A">
        <w:rPr>
          <w:rFonts w:ascii="Arial" w:hAnsi="Arial" w:cs="Arial"/>
        </w:rPr>
        <w:t xml:space="preserve">, ainda hoje suscita </w:t>
      </w:r>
      <w:r w:rsidRPr="00565D7A">
        <w:rPr>
          <w:rFonts w:ascii="Arial" w:hAnsi="Arial" w:cs="Arial"/>
        </w:rPr>
        <w:lastRenderedPageBreak/>
        <w:t>polêmicas, sobretudo no que se refere a sua recorrente utilização como ilustração em teses favoráveis ao branqueamento da população brasileira.</w:t>
      </w:r>
    </w:p>
    <w:p w14:paraId="002AE859" w14:textId="77777777" w:rsidR="00565D7A" w:rsidRPr="00565D7A" w:rsidRDefault="00565D7A" w:rsidP="00565D7A">
      <w:pPr>
        <w:rPr>
          <w:rFonts w:ascii="Arial" w:hAnsi="Arial" w:cs="Arial"/>
          <w:b/>
          <w:bCs/>
        </w:rPr>
      </w:pPr>
      <w:r w:rsidRPr="00565D7A">
        <w:rPr>
          <w:rFonts w:ascii="Arial" w:hAnsi="Arial" w:cs="Arial"/>
        </w:rPr>
        <w:t xml:space="preserve"> Como o próprio título diz, a obra faz referência direta à passagem bíblica de </w:t>
      </w:r>
      <w:proofErr w:type="spellStart"/>
      <w:r w:rsidRPr="00565D7A">
        <w:rPr>
          <w:rFonts w:ascii="Arial" w:hAnsi="Arial" w:cs="Arial"/>
        </w:rPr>
        <w:t>Cam</w:t>
      </w:r>
      <w:proofErr w:type="spellEnd"/>
      <w:r w:rsidRPr="00565D7A">
        <w:rPr>
          <w:rFonts w:ascii="Arial" w:hAnsi="Arial" w:cs="Arial"/>
        </w:rPr>
        <w:t xml:space="preserve">, filho de Noé, castigado por ter olhado o pai nu e bêbado. Na verdade, o castigo divino é aplicado a seu filho Canaã, amaldiçoado como ‘servo dos servos’. O fato de </w:t>
      </w:r>
      <w:proofErr w:type="spellStart"/>
      <w:r w:rsidRPr="00565D7A">
        <w:rPr>
          <w:rFonts w:ascii="Arial" w:hAnsi="Arial" w:cs="Arial"/>
        </w:rPr>
        <w:t>Cam</w:t>
      </w:r>
      <w:proofErr w:type="spellEnd"/>
      <w:r w:rsidRPr="00565D7A">
        <w:rPr>
          <w:rFonts w:ascii="Arial" w:hAnsi="Arial" w:cs="Arial"/>
        </w:rPr>
        <w:t xml:space="preserve"> ser apontado na </w:t>
      </w:r>
      <w:r w:rsidRPr="00565D7A">
        <w:rPr>
          <w:rFonts w:ascii="Arial" w:hAnsi="Arial" w:cs="Arial"/>
          <w:i/>
          <w:iCs/>
        </w:rPr>
        <w:t>Bíblia</w:t>
      </w:r>
      <w:r w:rsidRPr="00565D7A">
        <w:rPr>
          <w:rFonts w:ascii="Arial" w:hAnsi="Arial" w:cs="Arial"/>
        </w:rPr>
        <w:t xml:space="preserve"> como suposto ascendente das raças africanas faz com que tal passagem comece a ser usada pelos defensores da escravidão negra como um argumento claro de que tal sistema não seria contrário aos desígnios de Deus.” </w:t>
      </w:r>
      <w:r w:rsidRPr="00565D7A">
        <w:rPr>
          <w:rFonts w:ascii="Arial" w:hAnsi="Arial" w:cs="Arial"/>
          <w:b/>
          <w:bCs/>
        </w:rPr>
        <w:t>https://enciclopedia.itaucultural.org.br/obra3281/a-redencao-de-cam)</w:t>
      </w:r>
    </w:p>
    <w:p w14:paraId="09205123" w14:textId="230FE1EE" w:rsidR="00565D7A" w:rsidRPr="00565D7A" w:rsidRDefault="00565D7A" w:rsidP="00565D7A">
      <w:pPr>
        <w:rPr>
          <w:rFonts w:ascii="Arial" w:hAnsi="Arial" w:cs="Arial"/>
        </w:rPr>
      </w:pPr>
      <w:r w:rsidRPr="00565D7A">
        <w:rPr>
          <w:rFonts w:ascii="Arial" w:hAnsi="Arial" w:cs="Arial"/>
        </w:rPr>
        <w:t xml:space="preserve">Considerando alguns elementos presentes na pintura “A Redenção de </w:t>
      </w:r>
      <w:proofErr w:type="spellStart"/>
      <w:r w:rsidRPr="00565D7A">
        <w:rPr>
          <w:rFonts w:ascii="Arial" w:hAnsi="Arial" w:cs="Arial"/>
        </w:rPr>
        <w:t>Cam</w:t>
      </w:r>
      <w:proofErr w:type="spellEnd"/>
      <w:r w:rsidRPr="00565D7A">
        <w:rPr>
          <w:rFonts w:ascii="Arial" w:hAnsi="Arial" w:cs="Arial"/>
        </w:rPr>
        <w:t>” (Imagem 1), seu título</w:t>
      </w:r>
      <w:r w:rsidR="00B105BF">
        <w:rPr>
          <w:rFonts w:ascii="Arial" w:hAnsi="Arial" w:cs="Arial"/>
        </w:rPr>
        <w:t>,</w:t>
      </w:r>
      <w:r w:rsidRPr="00565D7A">
        <w:rPr>
          <w:rFonts w:ascii="Arial" w:hAnsi="Arial" w:cs="Arial"/>
        </w:rPr>
        <w:t xml:space="preserve"> o contexto cronológico em que ela está inserida</w:t>
      </w:r>
      <w:r w:rsidR="00B105BF">
        <w:rPr>
          <w:rFonts w:ascii="Arial" w:hAnsi="Arial" w:cs="Arial"/>
        </w:rPr>
        <w:t xml:space="preserve"> e os textos de apoio indicados previamente</w:t>
      </w:r>
      <w:r w:rsidRPr="00565D7A">
        <w:rPr>
          <w:rFonts w:ascii="Arial" w:hAnsi="Arial" w:cs="Arial"/>
        </w:rPr>
        <w:t>, responda as questões propostas.</w:t>
      </w:r>
    </w:p>
    <w:p w14:paraId="663146FB" w14:textId="517C544F" w:rsidR="006D5858" w:rsidRDefault="00D248CA" w:rsidP="0082242F">
      <w:pPr>
        <w:rPr>
          <w:rFonts w:ascii="Arial" w:hAnsi="Arial" w:cs="Arial"/>
        </w:rPr>
      </w:pPr>
      <w:r>
        <w:rPr>
          <w:rFonts w:ascii="Arial" w:hAnsi="Arial" w:cs="Arial"/>
        </w:rPr>
        <w:t>Q1.</w:t>
      </w:r>
      <w:r w:rsidR="006D5858">
        <w:rPr>
          <w:rFonts w:ascii="Arial" w:hAnsi="Arial" w:cs="Arial"/>
        </w:rPr>
        <w:t xml:space="preserve"> Tendo em vista os temas trabalhados nos textos de apoio, explique em que medida a pintura acima seria a expressão de uma adaptação das teorias europeias do período para o contexto brasileiro.</w:t>
      </w:r>
      <w:r>
        <w:rPr>
          <w:rFonts w:ascii="Arial" w:hAnsi="Arial" w:cs="Arial"/>
        </w:rPr>
        <w:t xml:space="preserve"> </w:t>
      </w:r>
      <w:r w:rsidR="006D5858">
        <w:rPr>
          <w:rFonts w:ascii="Arial" w:hAnsi="Arial" w:cs="Arial"/>
        </w:rPr>
        <w:t>(oito linhas)</w:t>
      </w:r>
    </w:p>
    <w:p w14:paraId="522E600E" w14:textId="79CB2DF1" w:rsidR="006D5858" w:rsidRPr="006D5858" w:rsidRDefault="006D5858" w:rsidP="0082242F">
      <w:pPr>
        <w:rPr>
          <w:rFonts w:ascii="Arial" w:hAnsi="Arial" w:cs="Arial"/>
          <w:color w:val="EE0000"/>
        </w:rPr>
      </w:pPr>
      <w:r w:rsidRPr="006D5858">
        <w:rPr>
          <w:rFonts w:ascii="Arial" w:hAnsi="Arial" w:cs="Arial"/>
          <w:color w:val="EE0000"/>
        </w:rPr>
        <w:t>Gabarito</w:t>
      </w:r>
    </w:p>
    <w:p w14:paraId="26505C71" w14:textId="32F6D7DF" w:rsidR="006D5858" w:rsidRPr="006D5858" w:rsidRDefault="006D5858" w:rsidP="006D5858">
      <w:pPr>
        <w:rPr>
          <w:rFonts w:ascii="Arial" w:hAnsi="Arial" w:cs="Arial"/>
          <w:color w:val="EE0000"/>
        </w:rPr>
      </w:pPr>
      <w:r w:rsidRPr="006D5858">
        <w:rPr>
          <w:rFonts w:ascii="Arial" w:hAnsi="Arial" w:cs="Arial"/>
          <w:color w:val="EE0000"/>
        </w:rPr>
        <w:t xml:space="preserve">A pintura </w:t>
      </w:r>
      <w:r w:rsidRPr="006D5858">
        <w:rPr>
          <w:rFonts w:ascii="Arial" w:hAnsi="Arial" w:cs="Arial"/>
          <w:i/>
          <w:iCs/>
          <w:color w:val="EE0000"/>
        </w:rPr>
        <w:t xml:space="preserve">A Redenção de </w:t>
      </w:r>
      <w:proofErr w:type="spellStart"/>
      <w:r w:rsidRPr="006D5858">
        <w:rPr>
          <w:rFonts w:ascii="Arial" w:hAnsi="Arial" w:cs="Arial"/>
          <w:i/>
          <w:iCs/>
          <w:color w:val="EE0000"/>
        </w:rPr>
        <w:t>Cam</w:t>
      </w:r>
      <w:proofErr w:type="spellEnd"/>
      <w:r w:rsidRPr="006D5858">
        <w:rPr>
          <w:rFonts w:ascii="Arial" w:hAnsi="Arial" w:cs="Arial"/>
          <w:color w:val="EE0000"/>
        </w:rPr>
        <w:t xml:space="preserve"> expressa de forma visual a adaptação das teorias raciais europeias ao contexto brasileiro do final do século XIX e início do XX. Na Europa, o darwinismo social e a eugenia defendiam hierarquias raciais rígidas e a superioridade da população branca. </w:t>
      </w:r>
      <w:r>
        <w:rPr>
          <w:rFonts w:ascii="Arial" w:hAnsi="Arial" w:cs="Arial"/>
          <w:color w:val="EE0000"/>
        </w:rPr>
        <w:t xml:space="preserve">(0,5) </w:t>
      </w:r>
      <w:r w:rsidRPr="006D5858">
        <w:rPr>
          <w:rFonts w:ascii="Arial" w:hAnsi="Arial" w:cs="Arial"/>
          <w:color w:val="EE0000"/>
        </w:rPr>
        <w:t xml:space="preserve">No Brasil, porém, essas teorias chegaram “fora do lugar”, como afirma Lilia Schwarcz, porque a sociedade já era profundamente miscigenada. Para que essas ideias funcionassem, a elite intelectual reinterpretou-as: em vez de condenar a miscigenação como degeneração, passou a tratá-la como instrumento de </w:t>
      </w:r>
      <w:r w:rsidRPr="006D5858">
        <w:rPr>
          <w:rFonts w:ascii="Arial" w:hAnsi="Arial" w:cs="Arial"/>
          <w:b/>
          <w:bCs/>
          <w:color w:val="EE0000"/>
        </w:rPr>
        <w:t>branqueamento progressivo</w:t>
      </w:r>
      <w:r w:rsidRPr="006D5858">
        <w:rPr>
          <w:rFonts w:ascii="Arial" w:hAnsi="Arial" w:cs="Arial"/>
          <w:color w:val="EE0000"/>
        </w:rPr>
        <w:t>.</w:t>
      </w:r>
      <w:r>
        <w:rPr>
          <w:rFonts w:ascii="Arial" w:hAnsi="Arial" w:cs="Arial"/>
          <w:color w:val="EE0000"/>
        </w:rPr>
        <w:t>(0,5)</w:t>
      </w:r>
    </w:p>
    <w:p w14:paraId="73F7108C" w14:textId="77777777" w:rsidR="006D5858" w:rsidRPr="006D5858" w:rsidRDefault="006D5858" w:rsidP="006D5858">
      <w:pPr>
        <w:rPr>
          <w:rFonts w:ascii="Arial" w:hAnsi="Arial" w:cs="Arial"/>
          <w:color w:val="EE0000"/>
        </w:rPr>
      </w:pPr>
      <w:r w:rsidRPr="006D5858">
        <w:rPr>
          <w:rFonts w:ascii="Arial" w:hAnsi="Arial" w:cs="Arial"/>
          <w:color w:val="EE0000"/>
        </w:rPr>
        <w:t xml:space="preserve">A pintura traduz exatamente essa adaptação. Ao representar três gerações que “melhoram” racialmente — da avó negra à criança branca — Brocos visualiza a tese brasileira do embranquecimento, defendida por eugenistas como Renato Kehl e reforçada pelas políticas de imigração europeia. Assim, a obra não reproduz fielmente o racismo europeu original, mas sua versão tropicalizada: a ideia de que a miscigenação apagaria gradualmente a presença negra e conduziria o país ao ideal civilizatório europeu. Dessa forma, </w:t>
      </w:r>
      <w:r w:rsidRPr="006D5858">
        <w:rPr>
          <w:rFonts w:ascii="Arial" w:hAnsi="Arial" w:cs="Arial"/>
          <w:i/>
          <w:iCs/>
          <w:color w:val="EE0000"/>
        </w:rPr>
        <w:t xml:space="preserve">A Redenção de </w:t>
      </w:r>
      <w:proofErr w:type="spellStart"/>
      <w:r w:rsidRPr="006D5858">
        <w:rPr>
          <w:rFonts w:ascii="Arial" w:hAnsi="Arial" w:cs="Arial"/>
          <w:i/>
          <w:iCs/>
          <w:color w:val="EE0000"/>
        </w:rPr>
        <w:t>Cam</w:t>
      </w:r>
      <w:proofErr w:type="spellEnd"/>
      <w:r w:rsidRPr="006D5858">
        <w:rPr>
          <w:rFonts w:ascii="Arial" w:hAnsi="Arial" w:cs="Arial"/>
          <w:color w:val="EE0000"/>
        </w:rPr>
        <w:t xml:space="preserve"> é símbolo da maneira como o Brasil ajustou teorias raciais europeias para justificar um projeto nacional de branqueamento.</w:t>
      </w:r>
    </w:p>
    <w:p w14:paraId="7B284F2F" w14:textId="77777777" w:rsidR="006D5858" w:rsidRPr="006D5858" w:rsidRDefault="006D5858" w:rsidP="0082242F">
      <w:pPr>
        <w:rPr>
          <w:rFonts w:ascii="Arial" w:hAnsi="Arial" w:cs="Arial"/>
          <w:color w:val="EE0000"/>
        </w:rPr>
      </w:pPr>
    </w:p>
    <w:p w14:paraId="1304FDE1" w14:textId="77777777" w:rsidR="006D5858" w:rsidRDefault="006D5858" w:rsidP="0082242F">
      <w:pPr>
        <w:rPr>
          <w:rFonts w:ascii="Arial" w:hAnsi="Arial" w:cs="Arial"/>
        </w:rPr>
      </w:pPr>
    </w:p>
    <w:p w14:paraId="3E3462EA" w14:textId="77777777" w:rsidR="006D5858" w:rsidRDefault="006D5858" w:rsidP="0082242F">
      <w:pPr>
        <w:rPr>
          <w:rFonts w:ascii="Arial" w:hAnsi="Arial" w:cs="Arial"/>
        </w:rPr>
      </w:pPr>
    </w:p>
    <w:p w14:paraId="37DDE0C0" w14:textId="77777777" w:rsidR="006D5858" w:rsidRDefault="006D5858" w:rsidP="0082242F">
      <w:pPr>
        <w:rPr>
          <w:rFonts w:ascii="Arial" w:hAnsi="Arial" w:cs="Arial"/>
        </w:rPr>
      </w:pPr>
    </w:p>
    <w:p w14:paraId="5CF075AF" w14:textId="0B7CEA1F" w:rsidR="0082242F" w:rsidRDefault="0082242F" w:rsidP="0082242F">
      <w:pPr>
        <w:rPr>
          <w:rFonts w:ascii="Arial" w:hAnsi="Arial" w:cs="Arial"/>
        </w:rPr>
      </w:pPr>
      <w:r w:rsidRPr="0082242F">
        <w:rPr>
          <w:rFonts w:ascii="Arial" w:hAnsi="Arial" w:cs="Arial"/>
        </w:rPr>
        <w:t xml:space="preserve">Observe os pés da personagem “Avó” e os pés do personagem “Genro”. A forma e o lugar em que estão retratados </w:t>
      </w:r>
      <w:r w:rsidR="00D248CA">
        <w:rPr>
          <w:rFonts w:ascii="Arial" w:hAnsi="Arial" w:cs="Arial"/>
        </w:rPr>
        <w:t>possuem</w:t>
      </w:r>
      <w:r w:rsidRPr="0082242F">
        <w:rPr>
          <w:rFonts w:ascii="Arial" w:hAnsi="Arial" w:cs="Arial"/>
        </w:rPr>
        <w:t xml:space="preserve"> significado</w:t>
      </w:r>
      <w:r w:rsidR="00D248CA">
        <w:rPr>
          <w:rFonts w:ascii="Arial" w:hAnsi="Arial" w:cs="Arial"/>
        </w:rPr>
        <w:t>s</w:t>
      </w:r>
      <w:r w:rsidRPr="0082242F">
        <w:rPr>
          <w:rFonts w:ascii="Arial" w:hAnsi="Arial" w:cs="Arial"/>
        </w:rPr>
        <w:t xml:space="preserve"> simbólico</w:t>
      </w:r>
      <w:r w:rsidR="00D248CA">
        <w:rPr>
          <w:rFonts w:ascii="Arial" w:hAnsi="Arial" w:cs="Arial"/>
        </w:rPr>
        <w:t>s expressivos.</w:t>
      </w:r>
      <w:r w:rsidRPr="0082242F">
        <w:rPr>
          <w:rFonts w:ascii="Arial" w:hAnsi="Arial" w:cs="Arial"/>
        </w:rPr>
        <w:t xml:space="preserve"> </w:t>
      </w:r>
      <w:r w:rsidR="00D248CA">
        <w:rPr>
          <w:rFonts w:ascii="Arial" w:hAnsi="Arial" w:cs="Arial"/>
        </w:rPr>
        <w:t>Explique esses significados</w:t>
      </w:r>
      <w:r>
        <w:rPr>
          <w:rFonts w:ascii="Arial" w:hAnsi="Arial" w:cs="Arial"/>
        </w:rPr>
        <w:t xml:space="preserve">, </w:t>
      </w:r>
      <w:r w:rsidR="00D248CA">
        <w:rPr>
          <w:rFonts w:ascii="Arial" w:hAnsi="Arial" w:cs="Arial"/>
        </w:rPr>
        <w:t xml:space="preserve">tendo como referência o universo </w:t>
      </w:r>
      <w:r>
        <w:rPr>
          <w:rFonts w:ascii="Arial" w:hAnsi="Arial" w:cs="Arial"/>
        </w:rPr>
        <w:t>ideológico envolvido</w:t>
      </w:r>
      <w:r w:rsidR="00D248CA">
        <w:rPr>
          <w:rFonts w:ascii="Arial" w:hAnsi="Arial" w:cs="Arial"/>
        </w:rPr>
        <w:t xml:space="preserve"> tratado pelos textos de apoio.</w:t>
      </w:r>
    </w:p>
    <w:p w14:paraId="3D87627D" w14:textId="77777777" w:rsidR="00D248CA" w:rsidRPr="00D248CA" w:rsidRDefault="00D248CA" w:rsidP="0082242F">
      <w:pPr>
        <w:rPr>
          <w:rFonts w:ascii="Arial" w:hAnsi="Arial" w:cs="Arial"/>
          <w:color w:val="EE0000"/>
          <w:sz w:val="20"/>
          <w:szCs w:val="20"/>
        </w:rPr>
      </w:pPr>
      <w:r w:rsidRPr="00D248CA">
        <w:rPr>
          <w:rFonts w:ascii="Arial" w:hAnsi="Arial" w:cs="Arial"/>
          <w:color w:val="EE0000"/>
          <w:sz w:val="20"/>
          <w:szCs w:val="20"/>
        </w:rPr>
        <w:t>Gabarito</w:t>
      </w:r>
    </w:p>
    <w:p w14:paraId="7BADB9B2" w14:textId="58318269" w:rsidR="0082242F" w:rsidRPr="00D248CA" w:rsidRDefault="0082242F" w:rsidP="0082242F">
      <w:pPr>
        <w:rPr>
          <w:rFonts w:ascii="Arial" w:hAnsi="Arial" w:cs="Arial"/>
          <w:color w:val="EE0000"/>
          <w:sz w:val="20"/>
          <w:szCs w:val="20"/>
        </w:rPr>
      </w:pPr>
      <w:r w:rsidRPr="00D248CA">
        <w:rPr>
          <w:rFonts w:ascii="Arial" w:hAnsi="Arial" w:cs="Arial"/>
          <w:color w:val="EE0000"/>
          <w:sz w:val="20"/>
          <w:szCs w:val="20"/>
        </w:rPr>
        <w:t xml:space="preserve">Na pintura </w:t>
      </w:r>
      <w:r w:rsidRPr="00D248CA">
        <w:rPr>
          <w:rFonts w:ascii="Arial" w:hAnsi="Arial" w:cs="Arial"/>
          <w:i/>
          <w:iCs/>
          <w:color w:val="EE0000"/>
          <w:sz w:val="20"/>
          <w:szCs w:val="20"/>
        </w:rPr>
        <w:t xml:space="preserve">A Redenção de </w:t>
      </w:r>
      <w:proofErr w:type="spellStart"/>
      <w:r w:rsidRPr="00D248CA">
        <w:rPr>
          <w:rFonts w:ascii="Arial" w:hAnsi="Arial" w:cs="Arial"/>
          <w:i/>
          <w:iCs/>
          <w:color w:val="EE0000"/>
          <w:sz w:val="20"/>
          <w:szCs w:val="20"/>
        </w:rPr>
        <w:t>Cam</w:t>
      </w:r>
      <w:proofErr w:type="spellEnd"/>
      <w:r w:rsidRPr="00D248CA">
        <w:rPr>
          <w:rFonts w:ascii="Arial" w:hAnsi="Arial" w:cs="Arial"/>
          <w:color w:val="EE0000"/>
          <w:sz w:val="20"/>
          <w:szCs w:val="20"/>
        </w:rPr>
        <w:t>, os pés da “Avó” e do “Genro” possuem forte significado simbólico. Os pés da avó, escuros, descalços e apoiados diretamente sobre a terra, remetem à origem africana, à pobreza, ao trabalho manual e à herança escravizada. Sua posição no chão bruto reforça a ideia de que ela representa o passado marcado pela marginalização e pela falta de acesso a condições materiais consideradas “civilizadas</w:t>
      </w:r>
      <w:proofErr w:type="gramStart"/>
      <w:r w:rsidRPr="00D248CA">
        <w:rPr>
          <w:rFonts w:ascii="Arial" w:hAnsi="Arial" w:cs="Arial"/>
          <w:color w:val="EE0000"/>
          <w:sz w:val="20"/>
          <w:szCs w:val="20"/>
        </w:rPr>
        <w:t>”.</w:t>
      </w:r>
      <w:r w:rsidR="00D248CA">
        <w:rPr>
          <w:rFonts w:ascii="Arial" w:hAnsi="Arial" w:cs="Arial"/>
          <w:color w:val="EE0000"/>
          <w:sz w:val="20"/>
          <w:szCs w:val="20"/>
        </w:rPr>
        <w:t>(</w:t>
      </w:r>
      <w:proofErr w:type="gramEnd"/>
      <w:r w:rsidR="00D248CA">
        <w:rPr>
          <w:rFonts w:ascii="Arial" w:hAnsi="Arial" w:cs="Arial"/>
          <w:color w:val="EE0000"/>
          <w:sz w:val="20"/>
          <w:szCs w:val="20"/>
        </w:rPr>
        <w:t>0,5)</w:t>
      </w:r>
    </w:p>
    <w:p w14:paraId="52B9EBAE" w14:textId="35030A41" w:rsidR="0082242F" w:rsidRPr="00D248CA" w:rsidRDefault="0082242F" w:rsidP="0082242F">
      <w:pPr>
        <w:rPr>
          <w:rFonts w:ascii="Arial" w:hAnsi="Arial" w:cs="Arial"/>
          <w:color w:val="EE0000"/>
          <w:sz w:val="20"/>
          <w:szCs w:val="20"/>
        </w:rPr>
      </w:pPr>
      <w:r w:rsidRPr="00D248CA">
        <w:rPr>
          <w:rFonts w:ascii="Arial" w:hAnsi="Arial" w:cs="Arial"/>
          <w:color w:val="EE0000"/>
          <w:sz w:val="20"/>
          <w:szCs w:val="20"/>
        </w:rPr>
        <w:t xml:space="preserve">Já o genro aparece com os pés calçados e apoiados sobre uma </w:t>
      </w:r>
      <w:r w:rsidRPr="00D248CA">
        <w:rPr>
          <w:rFonts w:ascii="Arial" w:hAnsi="Arial" w:cs="Arial"/>
          <w:b/>
          <w:bCs/>
          <w:color w:val="EE0000"/>
          <w:sz w:val="20"/>
          <w:szCs w:val="20"/>
        </w:rPr>
        <w:t>área cimentada</w:t>
      </w:r>
      <w:r w:rsidRPr="00D248CA">
        <w:rPr>
          <w:rFonts w:ascii="Arial" w:hAnsi="Arial" w:cs="Arial"/>
          <w:color w:val="EE0000"/>
          <w:sz w:val="20"/>
          <w:szCs w:val="20"/>
        </w:rPr>
        <w:t xml:space="preserve">, elemento que simboliza modernidade, estabilidade e integração ao mundo urbano. O cimento funciona como metáfora de “progresso” e “civilidade”, indicando que ele ocupa um lugar social mais elevado e mais próximo do ideal europeu valorizado pelos discursos eugenistas da </w:t>
      </w:r>
      <w:proofErr w:type="gramStart"/>
      <w:r w:rsidRPr="00D248CA">
        <w:rPr>
          <w:rFonts w:ascii="Arial" w:hAnsi="Arial" w:cs="Arial"/>
          <w:color w:val="EE0000"/>
          <w:sz w:val="20"/>
          <w:szCs w:val="20"/>
        </w:rPr>
        <w:t>época.</w:t>
      </w:r>
      <w:r w:rsidR="00D248CA">
        <w:rPr>
          <w:rFonts w:ascii="Arial" w:hAnsi="Arial" w:cs="Arial"/>
          <w:color w:val="EE0000"/>
          <w:sz w:val="20"/>
          <w:szCs w:val="20"/>
        </w:rPr>
        <w:t>(</w:t>
      </w:r>
      <w:proofErr w:type="gramEnd"/>
      <w:r w:rsidR="00D248CA">
        <w:rPr>
          <w:rFonts w:ascii="Arial" w:hAnsi="Arial" w:cs="Arial"/>
          <w:color w:val="EE0000"/>
          <w:sz w:val="20"/>
          <w:szCs w:val="20"/>
        </w:rPr>
        <w:t>0,5)</w:t>
      </w:r>
    </w:p>
    <w:p w14:paraId="41936287" w14:textId="77777777" w:rsidR="0082242F" w:rsidRPr="00D248CA" w:rsidRDefault="0082242F" w:rsidP="0082242F">
      <w:pPr>
        <w:rPr>
          <w:rFonts w:ascii="Arial" w:hAnsi="Arial" w:cs="Arial"/>
          <w:color w:val="EE0000"/>
          <w:sz w:val="20"/>
          <w:szCs w:val="20"/>
        </w:rPr>
      </w:pPr>
      <w:r w:rsidRPr="00D248CA">
        <w:rPr>
          <w:rFonts w:ascii="Arial" w:hAnsi="Arial" w:cs="Arial"/>
          <w:color w:val="EE0000"/>
          <w:sz w:val="20"/>
          <w:szCs w:val="20"/>
        </w:rPr>
        <w:t>O contraste entre a terra e o cimento reforça a narrativa central da obra: a passagem de uma condição racial e social inferior (representada pela avó) para uma condição considerada superior (representada pelo genro). Assim, a pintura sugere que o embranquecimento — simbolizado pela criança branca — não é apenas uma “redenção” racial, mas também um caminho para ascensão social e material.</w:t>
      </w:r>
    </w:p>
    <w:p w14:paraId="3A5E9F9B" w14:textId="77777777" w:rsidR="0082242F" w:rsidRPr="00D248CA" w:rsidRDefault="0082242F" w:rsidP="003F1473">
      <w:pPr>
        <w:rPr>
          <w:rFonts w:ascii="Arial" w:hAnsi="Arial" w:cs="Arial"/>
          <w:color w:val="EE0000"/>
          <w:sz w:val="20"/>
          <w:szCs w:val="20"/>
        </w:rPr>
      </w:pPr>
    </w:p>
    <w:p w14:paraId="2035DC9D" w14:textId="77777777" w:rsidR="0082242F" w:rsidRPr="00D248CA" w:rsidRDefault="0082242F" w:rsidP="003F1473">
      <w:pPr>
        <w:rPr>
          <w:rFonts w:ascii="Arial" w:hAnsi="Arial" w:cs="Arial"/>
          <w:color w:val="EE0000"/>
          <w:sz w:val="20"/>
          <w:szCs w:val="20"/>
        </w:rPr>
      </w:pPr>
    </w:p>
    <w:p w14:paraId="09B5201A" w14:textId="77777777" w:rsidR="0082242F" w:rsidRDefault="0082242F" w:rsidP="003F1473">
      <w:pPr>
        <w:rPr>
          <w:rFonts w:ascii="Arial" w:hAnsi="Arial" w:cs="Arial"/>
        </w:rPr>
      </w:pPr>
    </w:p>
    <w:p w14:paraId="1EBD25FC" w14:textId="77777777" w:rsidR="0082242F" w:rsidRDefault="0082242F" w:rsidP="003F1473">
      <w:pPr>
        <w:rPr>
          <w:rFonts w:ascii="Arial" w:hAnsi="Arial" w:cs="Arial"/>
        </w:rPr>
      </w:pPr>
    </w:p>
    <w:p w14:paraId="60832A70" w14:textId="77777777" w:rsidR="0082242F" w:rsidRDefault="0082242F" w:rsidP="003F1473">
      <w:pPr>
        <w:rPr>
          <w:rFonts w:ascii="Arial" w:hAnsi="Arial" w:cs="Arial"/>
        </w:rPr>
      </w:pPr>
    </w:p>
    <w:p w14:paraId="5183D776" w14:textId="77777777" w:rsidR="0082242F" w:rsidRDefault="0082242F" w:rsidP="003F1473">
      <w:pPr>
        <w:rPr>
          <w:rFonts w:ascii="Arial" w:hAnsi="Arial" w:cs="Arial"/>
        </w:rPr>
      </w:pPr>
    </w:p>
    <w:p w14:paraId="3B131AEC" w14:textId="77777777" w:rsidR="0082242F" w:rsidRDefault="0082242F" w:rsidP="003F1473">
      <w:pPr>
        <w:rPr>
          <w:rFonts w:ascii="Arial" w:hAnsi="Arial" w:cs="Arial"/>
        </w:rPr>
      </w:pPr>
    </w:p>
    <w:p w14:paraId="63666558" w14:textId="49ED98FE" w:rsidR="003F1473" w:rsidRDefault="003F1473" w:rsidP="003F1473">
      <w:pPr>
        <w:rPr>
          <w:rFonts w:ascii="Arial" w:hAnsi="Arial" w:cs="Arial"/>
        </w:rPr>
      </w:pPr>
      <w:r>
        <w:rPr>
          <w:rFonts w:ascii="Arial" w:hAnsi="Arial" w:cs="Arial"/>
        </w:rPr>
        <w:t xml:space="preserve">Q1. </w:t>
      </w:r>
      <w:r w:rsidRPr="003F1473">
        <w:rPr>
          <w:rFonts w:ascii="Arial" w:hAnsi="Arial" w:cs="Arial"/>
        </w:rPr>
        <w:t>A construção da identidade nacional brasileira foi marcada por disputas intelectuais sobre o papel da miscigenação</w:t>
      </w:r>
      <w:r>
        <w:rPr>
          <w:rFonts w:ascii="Arial" w:hAnsi="Arial" w:cs="Arial"/>
        </w:rPr>
        <w:t>.</w:t>
      </w:r>
      <w:r w:rsidRPr="003F1473">
        <w:rPr>
          <w:rFonts w:ascii="Arial" w:hAnsi="Arial" w:cs="Arial"/>
        </w:rPr>
        <w:t xml:space="preserve"> Nesse contexto, surgiram diferentes interpretações sobre a mistura racial. Identifique essas interpretações e explique, com argumentos fundamentados, qual delas se associaria à mensagem da pintura acima. </w:t>
      </w:r>
      <w:r w:rsidR="003C0C1D" w:rsidRPr="003C0C1D">
        <w:rPr>
          <w:rFonts w:ascii="Arial" w:hAnsi="Arial" w:cs="Arial"/>
          <w:b/>
          <w:bCs/>
        </w:rPr>
        <w:t>(oito linhas)</w:t>
      </w:r>
    </w:p>
    <w:p w14:paraId="59F86D56" w14:textId="77777777" w:rsidR="007C2380" w:rsidRPr="003C0C1D" w:rsidRDefault="007C2380" w:rsidP="007C2380">
      <w:pPr>
        <w:rPr>
          <w:rFonts w:ascii="Arial" w:hAnsi="Arial" w:cs="Arial"/>
          <w:color w:val="EE0000"/>
        </w:rPr>
      </w:pPr>
      <w:r w:rsidRPr="003C0C1D">
        <w:rPr>
          <w:rFonts w:ascii="Arial" w:hAnsi="Arial" w:cs="Arial"/>
          <w:color w:val="EE0000"/>
        </w:rPr>
        <w:t>Gabarito</w:t>
      </w:r>
    </w:p>
    <w:p w14:paraId="56F781C7" w14:textId="77777777" w:rsidR="003C0C1D" w:rsidRPr="003C0C1D" w:rsidRDefault="007C2380" w:rsidP="007C2380">
      <w:pPr>
        <w:rPr>
          <w:rFonts w:ascii="Arial" w:hAnsi="Arial" w:cs="Arial"/>
          <w:color w:val="EE0000"/>
        </w:rPr>
      </w:pPr>
      <w:r w:rsidRPr="003C0C1D">
        <w:rPr>
          <w:rFonts w:ascii="Arial" w:hAnsi="Arial" w:cs="Arial"/>
          <w:color w:val="EE0000"/>
        </w:rPr>
        <w:t>A miscigenação foi interpretada de maneiras distintas pelos intelectuais brasileiros no período pós</w:t>
      </w:r>
      <w:r w:rsidRPr="003C0C1D">
        <w:rPr>
          <w:rFonts w:ascii="Arial" w:hAnsi="Arial" w:cs="Arial"/>
          <w:color w:val="EE0000"/>
        </w:rPr>
        <w:noBreakHyphen/>
        <w:t xml:space="preserve">abolição. A primeira interpretação (de caráter </w:t>
      </w:r>
      <w:r w:rsidRPr="003C0C1D">
        <w:rPr>
          <w:rFonts w:ascii="Arial" w:hAnsi="Arial" w:cs="Arial"/>
          <w:b/>
          <w:bCs/>
          <w:color w:val="EE0000"/>
        </w:rPr>
        <w:t>determinista e racialista</w:t>
      </w:r>
      <w:r w:rsidRPr="003C0C1D">
        <w:rPr>
          <w:rFonts w:ascii="Arial" w:hAnsi="Arial" w:cs="Arial"/>
          <w:color w:val="EE0000"/>
        </w:rPr>
        <w:t>, representada por Nina Rodrigues), via a mistura racial como degeneração biológica e como obstáculo ao progresso nacional. A segunda interpretação,</w:t>
      </w:r>
      <w:r w:rsidR="003C0C1D" w:rsidRPr="003C0C1D">
        <w:rPr>
          <w:rFonts w:ascii="Arial" w:hAnsi="Arial" w:cs="Arial"/>
          <w:color w:val="EE0000"/>
        </w:rPr>
        <w:t xml:space="preserve"> </w:t>
      </w:r>
      <w:r w:rsidRPr="003C0C1D">
        <w:rPr>
          <w:rFonts w:ascii="Arial" w:hAnsi="Arial" w:cs="Arial"/>
          <w:color w:val="EE0000"/>
        </w:rPr>
        <w:t>(</w:t>
      </w:r>
      <w:r w:rsidRPr="003C0C1D">
        <w:rPr>
          <w:rFonts w:ascii="Arial" w:hAnsi="Arial" w:cs="Arial"/>
          <w:b/>
          <w:bCs/>
          <w:color w:val="EE0000"/>
        </w:rPr>
        <w:t>eugenista e higienista</w:t>
      </w:r>
      <w:r w:rsidRPr="003C0C1D">
        <w:rPr>
          <w:rFonts w:ascii="Arial" w:hAnsi="Arial" w:cs="Arial"/>
          <w:color w:val="EE0000"/>
        </w:rPr>
        <w:t>, defendida por autores como Renato Kehl e reforçada pelas políticas de imigração europeia</w:t>
      </w:r>
      <w:r w:rsidR="003C0C1D" w:rsidRPr="003C0C1D">
        <w:rPr>
          <w:rFonts w:ascii="Arial" w:hAnsi="Arial" w:cs="Arial"/>
          <w:color w:val="EE0000"/>
        </w:rPr>
        <w:t>)</w:t>
      </w:r>
      <w:r w:rsidRPr="003C0C1D">
        <w:rPr>
          <w:rFonts w:ascii="Arial" w:hAnsi="Arial" w:cs="Arial"/>
          <w:color w:val="EE0000"/>
        </w:rPr>
        <w:t xml:space="preserve">, considerava a </w:t>
      </w:r>
      <w:r w:rsidRPr="003C0C1D">
        <w:rPr>
          <w:rFonts w:ascii="Arial" w:hAnsi="Arial" w:cs="Arial"/>
          <w:color w:val="EE0000"/>
        </w:rPr>
        <w:lastRenderedPageBreak/>
        <w:t xml:space="preserve">miscigenação útil apenas como instrumento de </w:t>
      </w:r>
      <w:r w:rsidRPr="003C0C1D">
        <w:rPr>
          <w:rFonts w:ascii="Arial" w:hAnsi="Arial" w:cs="Arial"/>
          <w:b/>
          <w:bCs/>
          <w:color w:val="EE0000"/>
        </w:rPr>
        <w:t>branqueamento</w:t>
      </w:r>
      <w:r w:rsidRPr="003C0C1D">
        <w:rPr>
          <w:rFonts w:ascii="Arial" w:hAnsi="Arial" w:cs="Arial"/>
          <w:color w:val="EE0000"/>
        </w:rPr>
        <w:t>, acreditando que, ao longo das gerações, ela apagaria a presença negra e aproximaria o país de um ideal “civilizado” e europeu.</w:t>
      </w:r>
      <w:r w:rsidR="003C0C1D" w:rsidRPr="003C0C1D">
        <w:rPr>
          <w:rFonts w:ascii="Arial" w:hAnsi="Arial" w:cs="Arial"/>
          <w:color w:val="EE0000"/>
        </w:rPr>
        <w:t xml:space="preserve"> (0,5)</w:t>
      </w:r>
    </w:p>
    <w:p w14:paraId="5FA62E72" w14:textId="3ACF821F" w:rsidR="007C2380" w:rsidRPr="003C0C1D" w:rsidRDefault="007C2380" w:rsidP="007C2380">
      <w:pPr>
        <w:rPr>
          <w:rFonts w:ascii="Arial" w:hAnsi="Arial" w:cs="Arial"/>
          <w:color w:val="EE0000"/>
        </w:rPr>
      </w:pPr>
      <w:r w:rsidRPr="003C0C1D">
        <w:rPr>
          <w:rFonts w:ascii="Arial" w:hAnsi="Arial" w:cs="Arial"/>
          <w:color w:val="EE0000"/>
        </w:rPr>
        <w:t xml:space="preserve">Entre essas interpretações, a que se associa diretamente à mensagem da pintura </w:t>
      </w:r>
      <w:r w:rsidRPr="003C0C1D">
        <w:rPr>
          <w:rFonts w:ascii="Arial" w:hAnsi="Arial" w:cs="Arial"/>
          <w:i/>
          <w:iCs/>
          <w:color w:val="EE0000"/>
        </w:rPr>
        <w:t xml:space="preserve">A Redenção de </w:t>
      </w:r>
      <w:proofErr w:type="spellStart"/>
      <w:r w:rsidRPr="003C0C1D">
        <w:rPr>
          <w:rFonts w:ascii="Arial" w:hAnsi="Arial" w:cs="Arial"/>
          <w:i/>
          <w:iCs/>
          <w:color w:val="EE0000"/>
        </w:rPr>
        <w:t>Cam</w:t>
      </w:r>
      <w:proofErr w:type="spellEnd"/>
      <w:r w:rsidRPr="003C0C1D">
        <w:rPr>
          <w:rFonts w:ascii="Arial" w:hAnsi="Arial" w:cs="Arial"/>
          <w:color w:val="EE0000"/>
        </w:rPr>
        <w:t xml:space="preserve"> é a </w:t>
      </w:r>
      <w:r w:rsidRPr="003C0C1D">
        <w:rPr>
          <w:rFonts w:ascii="Arial" w:hAnsi="Arial" w:cs="Arial"/>
          <w:b/>
          <w:bCs/>
          <w:color w:val="EE0000"/>
        </w:rPr>
        <w:t>eugenista</w:t>
      </w:r>
      <w:r w:rsidRPr="003C0C1D">
        <w:rPr>
          <w:rFonts w:ascii="Arial" w:hAnsi="Arial" w:cs="Arial"/>
          <w:color w:val="EE0000"/>
        </w:rPr>
        <w:t>. A obra representa três gerações que “melhoram” racialmente — da avó negra à criança branca — sugerindo que o embranquecimento é sinônimo de progresso, ascensão social e “redenção”. Essa narrativa visual corresponde ao projeto de branqueamento defendido pelos eugenistas e às políticas de imigração que buscavam “corrigir” a composição racial do país. Assim, a pintura expressa de forma simbólica a ideia de que a miscigenação deveria servir para eliminar a negritude, e não para valorizar a diversidade racial brasileira.</w:t>
      </w:r>
      <w:r w:rsidR="003C0C1D" w:rsidRPr="003C0C1D">
        <w:rPr>
          <w:rFonts w:ascii="Arial" w:hAnsi="Arial" w:cs="Arial"/>
          <w:color w:val="EE0000"/>
        </w:rPr>
        <w:t xml:space="preserve"> (0,5)</w:t>
      </w:r>
    </w:p>
    <w:p w14:paraId="28A48246" w14:textId="77777777" w:rsidR="007C2380" w:rsidRDefault="007C2380" w:rsidP="007C2380">
      <w:pPr>
        <w:rPr>
          <w:rFonts w:ascii="Arial" w:hAnsi="Arial" w:cs="Arial"/>
        </w:rPr>
      </w:pPr>
    </w:p>
    <w:p w14:paraId="43B42058" w14:textId="77777777" w:rsidR="007C2380" w:rsidRDefault="007C2380" w:rsidP="007C2380">
      <w:pPr>
        <w:rPr>
          <w:rFonts w:ascii="Arial" w:hAnsi="Arial" w:cs="Arial"/>
        </w:rPr>
      </w:pPr>
    </w:p>
    <w:p w14:paraId="53D94952" w14:textId="77777777" w:rsidR="007C2380" w:rsidRDefault="007C2380" w:rsidP="007C2380">
      <w:pPr>
        <w:rPr>
          <w:rFonts w:ascii="Arial" w:hAnsi="Arial" w:cs="Arial"/>
        </w:rPr>
      </w:pPr>
    </w:p>
    <w:p w14:paraId="66E96F4B" w14:textId="77777777" w:rsidR="007C2380" w:rsidRDefault="007C2380" w:rsidP="007C2380">
      <w:pPr>
        <w:rPr>
          <w:rFonts w:ascii="Arial" w:hAnsi="Arial" w:cs="Arial"/>
        </w:rPr>
      </w:pPr>
    </w:p>
    <w:p w14:paraId="01019FC8" w14:textId="77777777" w:rsidR="007C2380" w:rsidRDefault="007C2380" w:rsidP="007C2380">
      <w:pPr>
        <w:rPr>
          <w:rFonts w:ascii="Arial" w:hAnsi="Arial" w:cs="Arial"/>
        </w:rPr>
      </w:pPr>
    </w:p>
    <w:p w14:paraId="6C504232" w14:textId="77777777" w:rsidR="007C2380" w:rsidRDefault="007C2380" w:rsidP="007C2380">
      <w:pPr>
        <w:rPr>
          <w:rFonts w:ascii="Arial" w:hAnsi="Arial" w:cs="Arial"/>
        </w:rPr>
      </w:pPr>
    </w:p>
    <w:p w14:paraId="039A3B85" w14:textId="77777777" w:rsidR="007C2380" w:rsidRDefault="007C2380" w:rsidP="007C2380">
      <w:pPr>
        <w:rPr>
          <w:rFonts w:ascii="Arial" w:hAnsi="Arial" w:cs="Arial"/>
        </w:rPr>
      </w:pPr>
    </w:p>
    <w:p w14:paraId="05E91E08" w14:textId="77777777" w:rsidR="007C2380" w:rsidRDefault="007C2380" w:rsidP="007C2380">
      <w:pPr>
        <w:rPr>
          <w:rFonts w:ascii="Arial" w:hAnsi="Arial" w:cs="Arial"/>
        </w:rPr>
      </w:pPr>
    </w:p>
    <w:p w14:paraId="74794942" w14:textId="4EEA19B5" w:rsidR="007C2380" w:rsidRPr="007C2380" w:rsidRDefault="007C2380" w:rsidP="007C2380">
      <w:pPr>
        <w:rPr>
          <w:rFonts w:ascii="Arial" w:hAnsi="Arial" w:cs="Arial"/>
        </w:rPr>
      </w:pPr>
      <w:r w:rsidRPr="007C2380">
        <w:rPr>
          <w:rFonts w:ascii="Arial" w:hAnsi="Arial" w:cs="Arial"/>
        </w:rPr>
        <w:t>A miscigenação foi interpretada de maneiras distintas pelos intelectuais brasileiros:</w:t>
      </w:r>
    </w:p>
    <w:p w14:paraId="6BFC57CB" w14:textId="77777777" w:rsidR="007C2380" w:rsidRPr="007C2380" w:rsidRDefault="007C2380" w:rsidP="007C2380">
      <w:pPr>
        <w:rPr>
          <w:rFonts w:ascii="Arial" w:hAnsi="Arial" w:cs="Arial"/>
          <w:b/>
          <w:bCs/>
        </w:rPr>
      </w:pPr>
      <w:r w:rsidRPr="007C2380">
        <w:rPr>
          <w:rFonts w:ascii="Arial" w:hAnsi="Arial" w:cs="Arial"/>
          <w:b/>
          <w:bCs/>
        </w:rPr>
        <w:t>1. Interpretação determinista/racialista (Nina Rodrigues)</w:t>
      </w:r>
    </w:p>
    <w:p w14:paraId="4AC0F976" w14:textId="77777777" w:rsidR="007C2380" w:rsidRPr="007C2380" w:rsidRDefault="007C2380" w:rsidP="007C2380">
      <w:pPr>
        <w:rPr>
          <w:rFonts w:ascii="Arial" w:hAnsi="Arial" w:cs="Arial"/>
        </w:rPr>
      </w:pPr>
      <w:r w:rsidRPr="007C2380">
        <w:rPr>
          <w:rFonts w:ascii="Arial" w:hAnsi="Arial" w:cs="Arial"/>
        </w:rPr>
        <w:t>Via a miscigenação como degeneração biológica. Defendia hierarquias raciais e considerava a mistura como fator de atraso.</w:t>
      </w:r>
    </w:p>
    <w:p w14:paraId="682F014D" w14:textId="77777777" w:rsidR="007C2380" w:rsidRPr="007C2380" w:rsidRDefault="007C2380" w:rsidP="007C2380">
      <w:pPr>
        <w:rPr>
          <w:rFonts w:ascii="Arial" w:hAnsi="Arial" w:cs="Arial"/>
          <w:b/>
          <w:bCs/>
        </w:rPr>
      </w:pPr>
      <w:r w:rsidRPr="007C2380">
        <w:rPr>
          <w:rFonts w:ascii="Arial" w:hAnsi="Arial" w:cs="Arial"/>
          <w:b/>
          <w:bCs/>
        </w:rPr>
        <w:t>2. Interpretação eugenista/higienista (Renato Kehl e políticas de imigração)</w:t>
      </w:r>
    </w:p>
    <w:p w14:paraId="6E51D437" w14:textId="77777777" w:rsidR="007C2380" w:rsidRPr="007C2380" w:rsidRDefault="007C2380" w:rsidP="007C2380">
      <w:pPr>
        <w:rPr>
          <w:rFonts w:ascii="Arial" w:hAnsi="Arial" w:cs="Arial"/>
        </w:rPr>
      </w:pPr>
      <w:r w:rsidRPr="007C2380">
        <w:rPr>
          <w:rFonts w:ascii="Arial" w:hAnsi="Arial" w:cs="Arial"/>
        </w:rPr>
        <w:t xml:space="preserve">Considerava a miscigenação útil apenas como instrumento de </w:t>
      </w:r>
      <w:r w:rsidRPr="007C2380">
        <w:rPr>
          <w:rFonts w:ascii="Arial" w:hAnsi="Arial" w:cs="Arial"/>
          <w:b/>
          <w:bCs/>
        </w:rPr>
        <w:t>branqueamento</w:t>
      </w:r>
      <w:r w:rsidRPr="007C2380">
        <w:rPr>
          <w:rFonts w:ascii="Arial" w:hAnsi="Arial" w:cs="Arial"/>
        </w:rPr>
        <w:t>. Acreditava que, ao longo das gerações, a mistura apagaria a presença negra e aproximaria o país do “ideal europeu”.</w:t>
      </w:r>
    </w:p>
    <w:p w14:paraId="54473BBD" w14:textId="77777777" w:rsidR="007C2380" w:rsidRPr="007C2380" w:rsidRDefault="007C2380" w:rsidP="007C2380">
      <w:pPr>
        <w:rPr>
          <w:rFonts w:ascii="Arial" w:hAnsi="Arial" w:cs="Arial"/>
          <w:b/>
          <w:bCs/>
        </w:rPr>
      </w:pPr>
      <w:r w:rsidRPr="007C2380">
        <w:rPr>
          <w:rFonts w:ascii="Arial" w:hAnsi="Arial" w:cs="Arial"/>
          <w:b/>
          <w:bCs/>
        </w:rPr>
        <w:t>3. Interpretação culturalista/nacionalista (Gilberto Freyre)</w:t>
      </w:r>
    </w:p>
    <w:p w14:paraId="4BCBA1F1" w14:textId="77777777" w:rsidR="007C2380" w:rsidRPr="007C2380" w:rsidRDefault="007C2380" w:rsidP="007C2380">
      <w:pPr>
        <w:rPr>
          <w:rFonts w:ascii="Arial" w:hAnsi="Arial" w:cs="Arial"/>
        </w:rPr>
      </w:pPr>
      <w:r w:rsidRPr="007C2380">
        <w:rPr>
          <w:rFonts w:ascii="Arial" w:hAnsi="Arial" w:cs="Arial"/>
        </w:rPr>
        <w:t>Valorizava a miscigenação como base da identidade brasileira, enxergando-a como elemento positivo da formação nacional.</w:t>
      </w:r>
    </w:p>
    <w:p w14:paraId="5E10840C" w14:textId="77777777" w:rsidR="007C2380" w:rsidRPr="007C2380" w:rsidRDefault="007C2380" w:rsidP="007C2380">
      <w:pPr>
        <w:rPr>
          <w:rFonts w:ascii="Arial" w:hAnsi="Arial" w:cs="Arial"/>
          <w:b/>
          <w:bCs/>
        </w:rPr>
      </w:pPr>
      <w:r w:rsidRPr="007C2380">
        <w:rPr>
          <w:rFonts w:ascii="Segoe UI Emoji" w:hAnsi="Segoe UI Emoji" w:cs="Segoe UI Emoji"/>
          <w:b/>
          <w:bCs/>
        </w:rPr>
        <w:t>🎨</w:t>
      </w:r>
      <w:r w:rsidRPr="007C2380">
        <w:rPr>
          <w:rFonts w:ascii="Arial" w:hAnsi="Arial" w:cs="Arial"/>
          <w:b/>
          <w:bCs/>
        </w:rPr>
        <w:t xml:space="preserve"> Interpretação associada à pintura </w:t>
      </w:r>
      <w:r w:rsidRPr="007C2380">
        <w:rPr>
          <w:rFonts w:ascii="Arial" w:hAnsi="Arial" w:cs="Arial"/>
          <w:b/>
          <w:bCs/>
          <w:i/>
          <w:iCs/>
        </w:rPr>
        <w:t xml:space="preserve">A Redenção de </w:t>
      </w:r>
      <w:proofErr w:type="spellStart"/>
      <w:r w:rsidRPr="007C2380">
        <w:rPr>
          <w:rFonts w:ascii="Arial" w:hAnsi="Arial" w:cs="Arial"/>
          <w:b/>
          <w:bCs/>
          <w:i/>
          <w:iCs/>
        </w:rPr>
        <w:t>Cam</w:t>
      </w:r>
      <w:proofErr w:type="spellEnd"/>
    </w:p>
    <w:p w14:paraId="3AA6B6F9" w14:textId="77777777" w:rsidR="007C2380" w:rsidRPr="007C2380" w:rsidRDefault="007C2380" w:rsidP="007C2380">
      <w:pPr>
        <w:rPr>
          <w:rFonts w:ascii="Arial" w:hAnsi="Arial" w:cs="Arial"/>
        </w:rPr>
      </w:pPr>
      <w:r w:rsidRPr="007C2380">
        <w:rPr>
          <w:rFonts w:ascii="Arial" w:hAnsi="Arial" w:cs="Arial"/>
        </w:rPr>
        <w:lastRenderedPageBreak/>
        <w:t xml:space="preserve">A obra de Modesto Brocos se alinha claramente à </w:t>
      </w:r>
      <w:r w:rsidRPr="007C2380">
        <w:rPr>
          <w:rFonts w:ascii="Arial" w:hAnsi="Arial" w:cs="Arial"/>
          <w:b/>
          <w:bCs/>
        </w:rPr>
        <w:t>interpretação eugenista</w:t>
      </w:r>
      <w:r w:rsidRPr="007C2380">
        <w:rPr>
          <w:rFonts w:ascii="Arial" w:hAnsi="Arial" w:cs="Arial"/>
        </w:rPr>
        <w:t>.</w:t>
      </w:r>
    </w:p>
    <w:p w14:paraId="28C6368A" w14:textId="77777777" w:rsidR="007C2380" w:rsidRPr="007C2380" w:rsidRDefault="007C2380" w:rsidP="007C2380">
      <w:pPr>
        <w:rPr>
          <w:rFonts w:ascii="Arial" w:hAnsi="Arial" w:cs="Arial"/>
        </w:rPr>
      </w:pPr>
      <w:r w:rsidRPr="007C2380">
        <w:rPr>
          <w:rFonts w:ascii="Arial" w:hAnsi="Arial" w:cs="Arial"/>
        </w:rPr>
        <w:t>Ela representa três gerações que “melhoram” racialmente — da avó negra à criança branca — sugerindo que o embranquecimento é sinônimo de progresso e “redenção”. Essa mensagem visual corresponde ao projeto de branqueamento descrito no Texto 2 e às ideias eugenistas que defendiam a miscigenação como caminho para eliminar a negritude.</w:t>
      </w:r>
    </w:p>
    <w:p w14:paraId="45A08F97" w14:textId="77777777" w:rsidR="007C2380" w:rsidRPr="003F1473" w:rsidRDefault="007C2380" w:rsidP="003F1473">
      <w:pPr>
        <w:rPr>
          <w:rFonts w:ascii="Arial" w:hAnsi="Arial" w:cs="Arial"/>
        </w:rPr>
      </w:pPr>
    </w:p>
    <w:p w14:paraId="574D114C" w14:textId="77777777" w:rsidR="007C2380" w:rsidRDefault="007C2380" w:rsidP="00014F54">
      <w:pPr>
        <w:rPr>
          <w:rFonts w:ascii="Arial" w:hAnsi="Arial" w:cs="Arial"/>
          <w:color w:val="FF0000"/>
        </w:rPr>
      </w:pPr>
    </w:p>
    <w:p w14:paraId="2E3CF61A" w14:textId="77777777" w:rsidR="007C2380" w:rsidRDefault="007C2380" w:rsidP="00014F54">
      <w:pPr>
        <w:rPr>
          <w:rFonts w:ascii="Arial" w:hAnsi="Arial" w:cs="Arial"/>
          <w:color w:val="FF0000"/>
        </w:rPr>
      </w:pPr>
    </w:p>
    <w:p w14:paraId="0631134B" w14:textId="429D7922" w:rsidR="00014F54" w:rsidRDefault="00014F54" w:rsidP="00014F54">
      <w:pPr>
        <w:rPr>
          <w:rFonts w:ascii="Arial" w:hAnsi="Arial" w:cs="Arial"/>
        </w:rPr>
      </w:pPr>
      <w:r w:rsidRPr="002B2EA2">
        <w:rPr>
          <w:rFonts w:ascii="Arial" w:hAnsi="Arial" w:cs="Arial"/>
          <w:color w:val="FF0000"/>
        </w:rPr>
        <w:t>A pintura mostra uma celebração d</w:t>
      </w:r>
      <w:r>
        <w:rPr>
          <w:rFonts w:ascii="Arial" w:hAnsi="Arial" w:cs="Arial"/>
          <w:color w:val="FF0000"/>
        </w:rPr>
        <w:t>o</w:t>
      </w:r>
      <w:r w:rsidRPr="002B2EA2">
        <w:rPr>
          <w:rFonts w:ascii="Arial" w:hAnsi="Arial" w:cs="Arial"/>
          <w:color w:val="FF0000"/>
        </w:rPr>
        <w:t xml:space="preserve"> branqueamento racial, graças à miscigenação promovida pela imigração europeia. O gesto da avó, dando graças aos céus, sinaliza a “redenção de </w:t>
      </w:r>
      <w:proofErr w:type="spellStart"/>
      <w:r w:rsidRPr="002B2EA2">
        <w:rPr>
          <w:rFonts w:ascii="Arial" w:hAnsi="Arial" w:cs="Arial"/>
          <w:color w:val="FF0000"/>
        </w:rPr>
        <w:t>Cam</w:t>
      </w:r>
      <w:proofErr w:type="spellEnd"/>
      <w:r w:rsidRPr="002B2EA2">
        <w:rPr>
          <w:rFonts w:ascii="Arial" w:hAnsi="Arial" w:cs="Arial"/>
          <w:color w:val="FF0000"/>
        </w:rPr>
        <w:t>”</w:t>
      </w:r>
      <w:r>
        <w:rPr>
          <w:rFonts w:ascii="Arial" w:hAnsi="Arial" w:cs="Arial"/>
          <w:color w:val="FF0000"/>
        </w:rPr>
        <w:t xml:space="preserve"> (</w:t>
      </w:r>
      <w:r w:rsidRPr="002B2EA2">
        <w:rPr>
          <w:rFonts w:ascii="Arial" w:hAnsi="Arial" w:cs="Arial"/>
          <w:color w:val="FF0000"/>
        </w:rPr>
        <w:t>indicada no título da obra</w:t>
      </w:r>
      <w:proofErr w:type="gramStart"/>
      <w:r>
        <w:rPr>
          <w:rFonts w:ascii="Arial" w:hAnsi="Arial" w:cs="Arial"/>
          <w:color w:val="FF0000"/>
        </w:rPr>
        <w:t>) ,</w:t>
      </w:r>
      <w:proofErr w:type="gramEnd"/>
      <w:r w:rsidRPr="002B2EA2">
        <w:rPr>
          <w:rFonts w:ascii="Arial" w:hAnsi="Arial" w:cs="Arial"/>
          <w:color w:val="FF0000"/>
        </w:rPr>
        <w:t xml:space="preserve"> já que a raça negra seria marcada por um estigma de um pecado original, agora redimido na nova geração expressa no neto branco</w:t>
      </w:r>
      <w:r>
        <w:rPr>
          <w:rFonts w:ascii="Arial" w:hAnsi="Arial" w:cs="Arial"/>
        </w:rPr>
        <w:t>.</w:t>
      </w:r>
    </w:p>
    <w:p w14:paraId="19DA3FC5" w14:textId="77777777" w:rsidR="00014F54" w:rsidRPr="00014F54" w:rsidRDefault="00014F54" w:rsidP="00014F54">
      <w:pPr>
        <w:rPr>
          <w:rFonts w:ascii="Arial" w:hAnsi="Arial" w:cs="Arial"/>
        </w:rPr>
      </w:pPr>
    </w:p>
    <w:sectPr w:rsidR="00014F54" w:rsidRPr="00014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66894"/>
    <w:multiLevelType w:val="hybridMultilevel"/>
    <w:tmpl w:val="28CED76C"/>
    <w:lvl w:ilvl="0" w:tplc="609CBB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70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7A"/>
    <w:rsid w:val="00014F54"/>
    <w:rsid w:val="002B47CE"/>
    <w:rsid w:val="00303EDE"/>
    <w:rsid w:val="003C0C1D"/>
    <w:rsid w:val="003F1473"/>
    <w:rsid w:val="00475FD6"/>
    <w:rsid w:val="00565D7A"/>
    <w:rsid w:val="005F0994"/>
    <w:rsid w:val="006B1AE3"/>
    <w:rsid w:val="006D5858"/>
    <w:rsid w:val="0072248A"/>
    <w:rsid w:val="007C2380"/>
    <w:rsid w:val="0082242F"/>
    <w:rsid w:val="00895CFE"/>
    <w:rsid w:val="008F34A5"/>
    <w:rsid w:val="00923F68"/>
    <w:rsid w:val="00A5183B"/>
    <w:rsid w:val="00A621AB"/>
    <w:rsid w:val="00B105BF"/>
    <w:rsid w:val="00B578A3"/>
    <w:rsid w:val="00C42013"/>
    <w:rsid w:val="00C63431"/>
    <w:rsid w:val="00D248CA"/>
    <w:rsid w:val="00D84DC4"/>
    <w:rsid w:val="00E765EA"/>
    <w:rsid w:val="00EE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8F2C9"/>
  <w15:chartTrackingRefBased/>
  <w15:docId w15:val="{15671CDD-9899-46D7-94F6-1F97928E6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5D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5D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5D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5D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5D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5D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5D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5D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5D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5D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5D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5D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5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ciclopedia.itaucultural.org.br/pessoa21328/modesto-broco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1165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A. Siracusa</dc:creator>
  <cp:keywords/>
  <dc:description/>
  <cp:lastModifiedBy>Celso Aparecido Siracusa</cp:lastModifiedBy>
  <cp:revision>2</cp:revision>
  <dcterms:created xsi:type="dcterms:W3CDTF">2026-08-29T02:20:00Z</dcterms:created>
  <dcterms:modified xsi:type="dcterms:W3CDTF">2026-08-29T02:20:00Z</dcterms:modified>
</cp:coreProperties>
</file>