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22FA" w14:textId="77777777" w:rsidR="00991B0D" w:rsidRPr="00C40CB7" w:rsidRDefault="00991B0D" w:rsidP="006570CA">
      <w:pPr>
        <w:spacing w:line="240" w:lineRule="auto"/>
        <w:rPr>
          <w:rFonts w:cs="Arial"/>
          <w:sz w:val="18"/>
          <w:szCs w:val="18"/>
        </w:rPr>
        <w:sectPr w:rsidR="00991B0D" w:rsidRPr="00C40CB7" w:rsidSect="00326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4D5D99A6" w14:textId="35644C27" w:rsidR="003028E1" w:rsidRPr="00C40CB7" w:rsidRDefault="003028E1" w:rsidP="003028E1">
      <w:pPr>
        <w:pStyle w:val="Cabealho"/>
        <w:tabs>
          <w:tab w:val="clear" w:pos="8504"/>
          <w:tab w:val="right" w:pos="9923"/>
        </w:tabs>
        <w:spacing w:line="276" w:lineRule="auto"/>
        <w:rPr>
          <w:b/>
          <w:sz w:val="24"/>
          <w:szCs w:val="24"/>
        </w:rPr>
      </w:pPr>
      <w:r w:rsidRPr="00C40CB7">
        <w:rPr>
          <w:b/>
          <w:bCs/>
          <w:sz w:val="24"/>
          <w:szCs w:val="24"/>
          <w:lang w:eastAsia="zh-CN"/>
        </w:rPr>
        <w:t>Componente Curricular:</w:t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sz w:val="24"/>
          <w:szCs w:val="24"/>
          <w:lang w:eastAsia="zh-CN"/>
        </w:rPr>
        <w:t xml:space="preserve">     </w:t>
      </w:r>
      <w:r w:rsidR="00872015" w:rsidRPr="00C40CB7">
        <w:rPr>
          <w:sz w:val="24"/>
          <w:szCs w:val="24"/>
          <w:lang w:eastAsia="zh-CN"/>
        </w:rPr>
        <w:t>História</w:t>
      </w:r>
      <w:r w:rsidRPr="00C40CB7">
        <w:rPr>
          <w:b/>
          <w:bCs/>
          <w:sz w:val="24"/>
          <w:szCs w:val="24"/>
          <w:lang w:eastAsia="zh-CN"/>
        </w:rPr>
        <w:t xml:space="preserve">                                                       </w:t>
      </w:r>
      <w:r w:rsidRPr="00C40CB7">
        <w:rPr>
          <w:b/>
          <w:sz w:val="24"/>
          <w:szCs w:val="24"/>
        </w:rPr>
        <w:t>Data:</w:t>
      </w:r>
      <w:r w:rsidR="00872015" w:rsidRPr="00C40CB7">
        <w:rPr>
          <w:bCs/>
          <w:sz w:val="24"/>
          <w:szCs w:val="24"/>
        </w:rPr>
        <w:t>1</w:t>
      </w:r>
      <w:r w:rsidR="008C2F53" w:rsidRPr="00C40CB7">
        <w:rPr>
          <w:bCs/>
          <w:sz w:val="24"/>
          <w:szCs w:val="24"/>
        </w:rPr>
        <w:t>0</w:t>
      </w:r>
      <w:r w:rsidR="00872015" w:rsidRPr="00C40CB7">
        <w:rPr>
          <w:bCs/>
          <w:sz w:val="24"/>
          <w:szCs w:val="24"/>
        </w:rPr>
        <w:t>/0</w:t>
      </w:r>
      <w:r w:rsidR="008C2F53" w:rsidRPr="00C40CB7">
        <w:rPr>
          <w:bCs/>
          <w:sz w:val="24"/>
          <w:szCs w:val="24"/>
        </w:rPr>
        <w:t>9</w:t>
      </w:r>
      <w:r w:rsidR="00872015" w:rsidRPr="00C40CB7">
        <w:rPr>
          <w:bCs/>
          <w:sz w:val="24"/>
          <w:szCs w:val="24"/>
        </w:rPr>
        <w:t>/202</w:t>
      </w:r>
      <w:r w:rsidR="009364E5" w:rsidRPr="00C40CB7">
        <w:rPr>
          <w:bCs/>
          <w:sz w:val="24"/>
          <w:szCs w:val="24"/>
        </w:rPr>
        <w:t>6</w:t>
      </w:r>
      <w:r w:rsidRPr="00C40CB7">
        <w:rPr>
          <w:b/>
          <w:sz w:val="24"/>
          <w:szCs w:val="24"/>
        </w:rPr>
        <w:t xml:space="preserve">  </w:t>
      </w:r>
    </w:p>
    <w:p w14:paraId="1ADC646D" w14:textId="77777777" w:rsidR="003028E1" w:rsidRPr="00C40CB7" w:rsidRDefault="003028E1" w:rsidP="003028E1">
      <w:pPr>
        <w:spacing w:line="276" w:lineRule="auto"/>
        <w:rPr>
          <w:b/>
          <w:bCs/>
          <w:sz w:val="24"/>
          <w:szCs w:val="24"/>
          <w:lang w:eastAsia="zh-CN"/>
        </w:rPr>
      </w:pPr>
      <w:r w:rsidRPr="00C40CB7">
        <w:rPr>
          <w:b/>
          <w:bCs/>
          <w:sz w:val="24"/>
          <w:szCs w:val="24"/>
          <w:lang w:eastAsia="zh-CN"/>
        </w:rPr>
        <w:t>Professor (a):</w:t>
      </w:r>
      <w:r w:rsidRPr="00C40CB7">
        <w:rPr>
          <w:b/>
          <w:bCs/>
          <w:sz w:val="24"/>
          <w:szCs w:val="24"/>
          <w:lang w:eastAsia="zh-CN"/>
        </w:rPr>
        <w:tab/>
        <w:t xml:space="preserve">   </w:t>
      </w:r>
      <w:r w:rsidR="00872015" w:rsidRPr="00C40CB7">
        <w:rPr>
          <w:sz w:val="24"/>
          <w:szCs w:val="24"/>
          <w:lang w:eastAsia="zh-CN"/>
        </w:rPr>
        <w:t>Celso Siracusa</w:t>
      </w:r>
      <w:r w:rsidRPr="00C40CB7">
        <w:rPr>
          <w:b/>
          <w:bCs/>
          <w:sz w:val="24"/>
          <w:szCs w:val="24"/>
          <w:lang w:eastAsia="zh-CN"/>
        </w:rPr>
        <w:t xml:space="preserve">               </w:t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</w:r>
      <w:r w:rsidRPr="00C40CB7">
        <w:rPr>
          <w:b/>
          <w:bCs/>
          <w:sz w:val="24"/>
          <w:szCs w:val="24"/>
          <w:lang w:eastAsia="zh-CN"/>
        </w:rPr>
        <w:tab/>
        <w:t xml:space="preserve"> Série:</w:t>
      </w:r>
      <w:r w:rsidR="00872015" w:rsidRPr="00C40CB7">
        <w:rPr>
          <w:sz w:val="24"/>
          <w:szCs w:val="24"/>
          <w:lang w:eastAsia="zh-CN"/>
        </w:rPr>
        <w:t>2a</w:t>
      </w:r>
      <w:r w:rsidRPr="00C40CB7">
        <w:rPr>
          <w:b/>
          <w:bCs/>
          <w:sz w:val="24"/>
          <w:szCs w:val="24"/>
          <w:lang w:eastAsia="zh-CN"/>
        </w:rPr>
        <w:t xml:space="preserve"> </w:t>
      </w:r>
    </w:p>
    <w:p w14:paraId="2018164F" w14:textId="41C82526" w:rsidR="00F0714A" w:rsidRPr="00C40CB7" w:rsidRDefault="003028E1" w:rsidP="00F0714A">
      <w:pPr>
        <w:pStyle w:val="Cabealho"/>
        <w:spacing w:line="276" w:lineRule="auto"/>
        <w:rPr>
          <w:rFonts w:eastAsia="Arial" w:cs="Arial"/>
          <w:b/>
          <w:bCs/>
          <w:sz w:val="24"/>
          <w:szCs w:val="24"/>
          <w:lang w:eastAsia="ar-SA"/>
        </w:rPr>
      </w:pPr>
      <w:r w:rsidRPr="00C40CB7">
        <w:rPr>
          <w:b/>
          <w:sz w:val="24"/>
          <w:szCs w:val="24"/>
        </w:rPr>
        <w:t>Assunto (s):</w:t>
      </w:r>
      <w:r w:rsidR="00872015" w:rsidRPr="00C40CB7">
        <w:rPr>
          <w:b/>
          <w:sz w:val="24"/>
          <w:szCs w:val="24"/>
        </w:rPr>
        <w:t xml:space="preserve"> </w:t>
      </w:r>
      <w:r w:rsidR="00872015" w:rsidRPr="00C40CB7">
        <w:rPr>
          <w:rFonts w:eastAsia="Arial" w:cs="Arial"/>
          <w:sz w:val="24"/>
          <w:szCs w:val="24"/>
          <w:lang w:eastAsia="ar-SA"/>
        </w:rPr>
        <w:t>Período Joanino, Processo de Independência,1º Reinado, Período Regencial, América Pré-colombiana, Conquista da América Espanhola e Processo de Independência da América Espanhola</w:t>
      </w:r>
      <w:r w:rsidR="00F0714A" w:rsidRPr="00C40CB7">
        <w:rPr>
          <w:rFonts w:eastAsia="Arial" w:cs="Arial"/>
          <w:sz w:val="24"/>
          <w:szCs w:val="24"/>
          <w:lang w:eastAsia="ar-SA"/>
        </w:rPr>
        <w:t xml:space="preserve">, Ideologias do século XIX </w:t>
      </w:r>
      <w:proofErr w:type="gramStart"/>
      <w:r w:rsidR="00F0714A" w:rsidRPr="00C40CB7">
        <w:rPr>
          <w:rFonts w:eastAsia="Arial" w:cs="Arial"/>
          <w:sz w:val="24"/>
          <w:szCs w:val="24"/>
          <w:lang w:eastAsia="ar-SA"/>
        </w:rPr>
        <w:t>( Liberalismo</w:t>
      </w:r>
      <w:proofErr w:type="gramEnd"/>
      <w:r w:rsidR="00F0714A" w:rsidRPr="00C40CB7">
        <w:rPr>
          <w:rFonts w:eastAsia="Arial" w:cs="Arial"/>
          <w:sz w:val="24"/>
          <w:szCs w:val="24"/>
          <w:lang w:eastAsia="ar-SA"/>
        </w:rPr>
        <w:t xml:space="preserve">, Socialismo e Anarquismo), </w:t>
      </w:r>
      <w:r w:rsidR="005D090A" w:rsidRPr="00C40CB7">
        <w:rPr>
          <w:rFonts w:eastAsia="Arial" w:cs="Arial"/>
          <w:sz w:val="24"/>
          <w:szCs w:val="24"/>
          <w:lang w:eastAsia="ar-SA"/>
        </w:rPr>
        <w:t>Revoluções de 30 e 48</w:t>
      </w:r>
      <w:r w:rsidR="00F94197" w:rsidRPr="00C40CB7">
        <w:rPr>
          <w:rFonts w:eastAsia="Arial" w:cs="Arial"/>
          <w:sz w:val="24"/>
          <w:szCs w:val="24"/>
          <w:lang w:eastAsia="ar-SA"/>
        </w:rPr>
        <w:t xml:space="preserve">, Unificações Italiana e </w:t>
      </w:r>
      <w:proofErr w:type="gramStart"/>
      <w:r w:rsidR="00F94197" w:rsidRPr="00C40CB7">
        <w:rPr>
          <w:rFonts w:eastAsia="Arial" w:cs="Arial"/>
          <w:sz w:val="24"/>
          <w:szCs w:val="24"/>
          <w:lang w:eastAsia="ar-SA"/>
        </w:rPr>
        <w:t>Alemã</w:t>
      </w:r>
      <w:proofErr w:type="gramEnd"/>
      <w:r w:rsidR="00F94197" w:rsidRPr="00C40CB7">
        <w:rPr>
          <w:rFonts w:eastAsia="Arial" w:cs="Arial"/>
          <w:sz w:val="24"/>
          <w:szCs w:val="24"/>
          <w:lang w:eastAsia="ar-SA"/>
        </w:rPr>
        <w:t>, EUA no século XIX</w:t>
      </w:r>
      <w:r w:rsidR="005D0C15" w:rsidRPr="00C40CB7">
        <w:rPr>
          <w:rFonts w:eastAsia="Arial" w:cs="Arial"/>
          <w:sz w:val="24"/>
          <w:szCs w:val="24"/>
          <w:lang w:eastAsia="ar-SA"/>
        </w:rPr>
        <w:t>, 2º Reinado.</w:t>
      </w:r>
    </w:p>
    <w:p w14:paraId="14056B63" w14:textId="571C8C85" w:rsidR="003028E1" w:rsidRPr="00C40CB7" w:rsidRDefault="003028E1" w:rsidP="003028E1">
      <w:pPr>
        <w:pStyle w:val="Cabealho"/>
        <w:spacing w:line="276" w:lineRule="auto"/>
        <w:rPr>
          <w:rFonts w:eastAsia="Arial" w:cs="Arial"/>
          <w:b/>
          <w:bCs/>
          <w:sz w:val="24"/>
          <w:szCs w:val="24"/>
          <w:lang w:eastAsia="ar-SA"/>
        </w:rPr>
      </w:pPr>
    </w:p>
    <w:p w14:paraId="2EF57AE0" w14:textId="53C7F285" w:rsidR="003028E1" w:rsidRPr="00C40CB7" w:rsidRDefault="00F0714A" w:rsidP="003028E1">
      <w:pPr>
        <w:spacing w:line="360" w:lineRule="auto"/>
        <w:rPr>
          <w:b/>
          <w:bCs/>
          <w:sz w:val="21"/>
          <w:szCs w:val="21"/>
          <w:lang w:eastAsia="zh-CN"/>
        </w:rPr>
      </w:pPr>
      <w:r w:rsidRPr="00C40CB7">
        <w:rPr>
          <w:b/>
          <w:bCs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5B1F6E7" wp14:editId="3765B470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66040" t="65405" r="63500" b="58420"/>
                <wp:wrapNone/>
                <wp:docPr id="54461126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28B6279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9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" strokeweight="1.5pt">
                <v:stroke startarrow="oval" endarrow="oval"/>
              </v:shape>
            </w:pict>
          </mc:Fallback>
        </mc:AlternateContent>
      </w:r>
    </w:p>
    <w:p w14:paraId="02E5E315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  <w:t>1. (2º Reinado)</w:t>
      </w:r>
    </w:p>
    <w:p w14:paraId="48454E88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25E29033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  <w:t xml:space="preserve">Tabela I - </w:t>
      </w:r>
      <w:r w:rsidRPr="00C40CB7"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  <w:t>Produção de café no Brasil em milhões de sacas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8"/>
        <w:gridCol w:w="2108"/>
        <w:gridCol w:w="2108"/>
      </w:tblGrid>
      <w:tr w:rsidR="008C2F53" w:rsidRPr="00C40CB7" w14:paraId="7DDB6307" w14:textId="77777777" w:rsidTr="000A5A8B">
        <w:trPr>
          <w:trHeight w:val="253"/>
        </w:trPr>
        <w:tc>
          <w:tcPr>
            <w:tcW w:w="2108" w:type="dxa"/>
            <w:hideMark/>
          </w:tcPr>
          <w:p w14:paraId="7FC2C85E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bookmarkStart w:id="0" w:name="_Hlk105761951"/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Anos</w:t>
            </w:r>
          </w:p>
        </w:tc>
        <w:tc>
          <w:tcPr>
            <w:tcW w:w="2108" w:type="dxa"/>
          </w:tcPr>
          <w:p w14:paraId="6E8DC82A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108" w:type="dxa"/>
            <w:hideMark/>
          </w:tcPr>
          <w:p w14:paraId="5044E393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Produção</w:t>
            </w:r>
          </w:p>
        </w:tc>
      </w:tr>
      <w:tr w:rsidR="008C2F53" w:rsidRPr="00C40CB7" w14:paraId="2EAE443C" w14:textId="77777777" w:rsidTr="000A5A8B">
        <w:trPr>
          <w:trHeight w:val="253"/>
        </w:trPr>
        <w:tc>
          <w:tcPr>
            <w:tcW w:w="2108" w:type="dxa"/>
            <w:hideMark/>
          </w:tcPr>
          <w:p w14:paraId="64730192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1821-1830</w:t>
            </w:r>
          </w:p>
        </w:tc>
        <w:tc>
          <w:tcPr>
            <w:tcW w:w="2108" w:type="dxa"/>
          </w:tcPr>
          <w:p w14:paraId="2B102BF6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108" w:type="dxa"/>
            <w:hideMark/>
          </w:tcPr>
          <w:p w14:paraId="267341C1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0,3</w:t>
            </w:r>
          </w:p>
        </w:tc>
      </w:tr>
      <w:tr w:rsidR="008C2F53" w:rsidRPr="00C40CB7" w14:paraId="016D367D" w14:textId="77777777" w:rsidTr="000A5A8B">
        <w:trPr>
          <w:trHeight w:val="253"/>
        </w:trPr>
        <w:tc>
          <w:tcPr>
            <w:tcW w:w="2108" w:type="dxa"/>
            <w:hideMark/>
          </w:tcPr>
          <w:p w14:paraId="6E7C7155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1831-1840</w:t>
            </w:r>
          </w:p>
        </w:tc>
        <w:tc>
          <w:tcPr>
            <w:tcW w:w="2108" w:type="dxa"/>
          </w:tcPr>
          <w:p w14:paraId="3714CB48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108" w:type="dxa"/>
            <w:hideMark/>
          </w:tcPr>
          <w:p w14:paraId="33C7574F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1,0</w:t>
            </w:r>
          </w:p>
        </w:tc>
      </w:tr>
      <w:tr w:rsidR="008C2F53" w:rsidRPr="00C40CB7" w14:paraId="255EE5E4" w14:textId="77777777" w:rsidTr="000A5A8B">
        <w:trPr>
          <w:trHeight w:val="253"/>
        </w:trPr>
        <w:tc>
          <w:tcPr>
            <w:tcW w:w="2108" w:type="dxa"/>
            <w:hideMark/>
          </w:tcPr>
          <w:p w14:paraId="55D00325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1841-1850</w:t>
            </w:r>
          </w:p>
        </w:tc>
        <w:tc>
          <w:tcPr>
            <w:tcW w:w="2108" w:type="dxa"/>
          </w:tcPr>
          <w:p w14:paraId="281582F4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108" w:type="dxa"/>
            <w:hideMark/>
          </w:tcPr>
          <w:p w14:paraId="5C4D87C8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1,7</w:t>
            </w:r>
          </w:p>
        </w:tc>
      </w:tr>
      <w:tr w:rsidR="008C2F53" w:rsidRPr="00C40CB7" w14:paraId="0BA375B6" w14:textId="77777777" w:rsidTr="000A5A8B">
        <w:trPr>
          <w:trHeight w:val="253"/>
        </w:trPr>
        <w:tc>
          <w:tcPr>
            <w:tcW w:w="2108" w:type="dxa"/>
            <w:hideMark/>
          </w:tcPr>
          <w:p w14:paraId="44A61453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1851-1860</w:t>
            </w:r>
          </w:p>
        </w:tc>
        <w:tc>
          <w:tcPr>
            <w:tcW w:w="2108" w:type="dxa"/>
          </w:tcPr>
          <w:p w14:paraId="32668C58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108" w:type="dxa"/>
            <w:hideMark/>
          </w:tcPr>
          <w:p w14:paraId="2322DDCB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2,6</w:t>
            </w:r>
          </w:p>
        </w:tc>
      </w:tr>
      <w:tr w:rsidR="008C2F53" w:rsidRPr="00C40CB7" w14:paraId="0462C2A8" w14:textId="77777777" w:rsidTr="000A5A8B">
        <w:trPr>
          <w:trHeight w:val="253"/>
        </w:trPr>
        <w:tc>
          <w:tcPr>
            <w:tcW w:w="2108" w:type="dxa"/>
            <w:hideMark/>
          </w:tcPr>
          <w:p w14:paraId="18E78D1A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1861-1870</w:t>
            </w:r>
          </w:p>
        </w:tc>
        <w:tc>
          <w:tcPr>
            <w:tcW w:w="2108" w:type="dxa"/>
          </w:tcPr>
          <w:p w14:paraId="061CEAF3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108" w:type="dxa"/>
            <w:hideMark/>
          </w:tcPr>
          <w:p w14:paraId="1E6E3137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2,9</w:t>
            </w:r>
          </w:p>
        </w:tc>
      </w:tr>
      <w:tr w:rsidR="008C2F53" w:rsidRPr="00C40CB7" w14:paraId="63E1FBE1" w14:textId="77777777" w:rsidTr="000A5A8B">
        <w:trPr>
          <w:trHeight w:val="253"/>
        </w:trPr>
        <w:tc>
          <w:tcPr>
            <w:tcW w:w="2108" w:type="dxa"/>
            <w:hideMark/>
          </w:tcPr>
          <w:p w14:paraId="5BD258EF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1871-1880</w:t>
            </w:r>
          </w:p>
        </w:tc>
        <w:tc>
          <w:tcPr>
            <w:tcW w:w="2108" w:type="dxa"/>
          </w:tcPr>
          <w:p w14:paraId="2FAAA19E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108" w:type="dxa"/>
            <w:hideMark/>
          </w:tcPr>
          <w:p w14:paraId="4006E73E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3,6</w:t>
            </w:r>
          </w:p>
        </w:tc>
      </w:tr>
      <w:tr w:rsidR="008C2F53" w:rsidRPr="00C40CB7" w14:paraId="36D968A2" w14:textId="77777777" w:rsidTr="000A5A8B">
        <w:trPr>
          <w:trHeight w:val="253"/>
        </w:trPr>
        <w:tc>
          <w:tcPr>
            <w:tcW w:w="2108" w:type="dxa"/>
            <w:hideMark/>
          </w:tcPr>
          <w:p w14:paraId="6F88D614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1881-1890</w:t>
            </w:r>
          </w:p>
        </w:tc>
        <w:tc>
          <w:tcPr>
            <w:tcW w:w="2108" w:type="dxa"/>
          </w:tcPr>
          <w:p w14:paraId="6F89BA52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108" w:type="dxa"/>
            <w:hideMark/>
          </w:tcPr>
          <w:p w14:paraId="11BDBBC6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5,3</w:t>
            </w:r>
          </w:p>
        </w:tc>
      </w:tr>
      <w:tr w:rsidR="008C2F53" w:rsidRPr="00C40CB7" w14:paraId="272F9CC1" w14:textId="77777777" w:rsidTr="000A5A8B">
        <w:trPr>
          <w:trHeight w:val="253"/>
        </w:trPr>
        <w:tc>
          <w:tcPr>
            <w:tcW w:w="2108" w:type="dxa"/>
            <w:hideMark/>
          </w:tcPr>
          <w:p w14:paraId="4D8FD030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1891-1900</w:t>
            </w:r>
          </w:p>
        </w:tc>
        <w:tc>
          <w:tcPr>
            <w:tcW w:w="2108" w:type="dxa"/>
          </w:tcPr>
          <w:p w14:paraId="2132AA44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108" w:type="dxa"/>
            <w:hideMark/>
          </w:tcPr>
          <w:p w14:paraId="2FBAAA9A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7,2</w:t>
            </w:r>
          </w:p>
        </w:tc>
        <w:bookmarkEnd w:id="0"/>
      </w:tr>
    </w:tbl>
    <w:p w14:paraId="689D648A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7926E675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  <w:t xml:space="preserve">(SILVA, Sergio. </w:t>
      </w:r>
      <w:r w:rsidRPr="00C40CB7">
        <w:rPr>
          <w:rFonts w:eastAsia="Aptos" w:cs="Arial"/>
          <w:b/>
          <w:bCs/>
          <w:i/>
          <w:iCs/>
          <w:kern w:val="2"/>
          <w:sz w:val="20"/>
          <w:szCs w:val="20"/>
          <w:lang w:eastAsia="en-US"/>
          <w14:ligatures w14:val="standardContextual"/>
        </w:rPr>
        <w:t>Expansão cafeeira e origens da indústria no Brasil</w:t>
      </w:r>
      <w:r w:rsidRPr="00C40CB7"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  <w:t xml:space="preserve">. 6ª ed. São Paulo: Alfa-Ômega, 1985. p. 49).  </w:t>
      </w:r>
    </w:p>
    <w:p w14:paraId="64641F05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70070138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  <w:t>Tabela II</w:t>
      </w:r>
      <w:r w:rsidRPr="00C40CB7"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  <w:t xml:space="preserve"> - Preço médio de um escravo (sexo masculino) no Vale do Paraíba.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6"/>
        <w:gridCol w:w="1986"/>
      </w:tblGrid>
      <w:tr w:rsidR="008C2F53" w:rsidRPr="00C40CB7" w14:paraId="6AA96D92" w14:textId="77777777" w:rsidTr="000A5A8B">
        <w:trPr>
          <w:trHeight w:val="283"/>
        </w:trPr>
        <w:tc>
          <w:tcPr>
            <w:tcW w:w="1986" w:type="dxa"/>
            <w:vAlign w:val="center"/>
            <w:hideMark/>
          </w:tcPr>
          <w:p w14:paraId="57C6AB97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ANO</w:t>
            </w:r>
          </w:p>
        </w:tc>
        <w:tc>
          <w:tcPr>
            <w:tcW w:w="1986" w:type="dxa"/>
            <w:vAlign w:val="center"/>
            <w:hideMark/>
          </w:tcPr>
          <w:p w14:paraId="7BB1AF92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Preço (MIL RÉIS)</w:t>
            </w:r>
          </w:p>
        </w:tc>
      </w:tr>
      <w:tr w:rsidR="008C2F53" w:rsidRPr="00C40CB7" w14:paraId="3C6BE28C" w14:textId="77777777" w:rsidTr="000A5A8B">
        <w:trPr>
          <w:trHeight w:val="283"/>
        </w:trPr>
        <w:tc>
          <w:tcPr>
            <w:tcW w:w="1986" w:type="dxa"/>
            <w:vAlign w:val="center"/>
            <w:hideMark/>
          </w:tcPr>
          <w:p w14:paraId="00DD6BDC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1835</w:t>
            </w:r>
          </w:p>
        </w:tc>
        <w:tc>
          <w:tcPr>
            <w:tcW w:w="1986" w:type="dxa"/>
            <w:vAlign w:val="center"/>
            <w:hideMark/>
          </w:tcPr>
          <w:p w14:paraId="497F8707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375</w:t>
            </w:r>
          </w:p>
        </w:tc>
      </w:tr>
      <w:tr w:rsidR="008C2F53" w:rsidRPr="00C40CB7" w14:paraId="3FB2C3A3" w14:textId="77777777" w:rsidTr="000A5A8B">
        <w:trPr>
          <w:trHeight w:val="283"/>
        </w:trPr>
        <w:tc>
          <w:tcPr>
            <w:tcW w:w="1986" w:type="dxa"/>
            <w:vAlign w:val="center"/>
            <w:hideMark/>
          </w:tcPr>
          <w:p w14:paraId="11DEF359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1845</w:t>
            </w:r>
          </w:p>
        </w:tc>
        <w:tc>
          <w:tcPr>
            <w:tcW w:w="1986" w:type="dxa"/>
            <w:vAlign w:val="center"/>
            <w:hideMark/>
          </w:tcPr>
          <w:p w14:paraId="312A52AF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384</w:t>
            </w:r>
          </w:p>
        </w:tc>
      </w:tr>
      <w:tr w:rsidR="008C2F53" w:rsidRPr="00C40CB7" w14:paraId="597898EB" w14:textId="77777777" w:rsidTr="000A5A8B">
        <w:trPr>
          <w:trHeight w:val="283"/>
        </w:trPr>
        <w:tc>
          <w:tcPr>
            <w:tcW w:w="1986" w:type="dxa"/>
            <w:vAlign w:val="center"/>
            <w:hideMark/>
          </w:tcPr>
          <w:p w14:paraId="480829AB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1855</w:t>
            </w:r>
          </w:p>
        </w:tc>
        <w:tc>
          <w:tcPr>
            <w:tcW w:w="1986" w:type="dxa"/>
            <w:vAlign w:val="center"/>
            <w:hideMark/>
          </w:tcPr>
          <w:p w14:paraId="7C335CB5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1.705</w:t>
            </w:r>
          </w:p>
        </w:tc>
      </w:tr>
      <w:tr w:rsidR="008C2F53" w:rsidRPr="00C40CB7" w14:paraId="54609277" w14:textId="77777777" w:rsidTr="000A5A8B">
        <w:trPr>
          <w:trHeight w:val="283"/>
        </w:trPr>
        <w:tc>
          <w:tcPr>
            <w:tcW w:w="1986" w:type="dxa"/>
            <w:vAlign w:val="center"/>
            <w:hideMark/>
          </w:tcPr>
          <w:p w14:paraId="028F514E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1865</w:t>
            </w:r>
          </w:p>
        </w:tc>
        <w:tc>
          <w:tcPr>
            <w:tcW w:w="1986" w:type="dxa"/>
            <w:vAlign w:val="center"/>
            <w:hideMark/>
          </w:tcPr>
          <w:p w14:paraId="4F2EE052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972</w:t>
            </w:r>
          </w:p>
        </w:tc>
      </w:tr>
      <w:tr w:rsidR="008C2F53" w:rsidRPr="00C40CB7" w14:paraId="380F9A54" w14:textId="77777777" w:rsidTr="000A5A8B">
        <w:trPr>
          <w:trHeight w:val="283"/>
        </w:trPr>
        <w:tc>
          <w:tcPr>
            <w:tcW w:w="1986" w:type="dxa"/>
            <w:vAlign w:val="center"/>
            <w:hideMark/>
          </w:tcPr>
          <w:p w14:paraId="17DFC68F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1865</w:t>
            </w:r>
          </w:p>
        </w:tc>
        <w:tc>
          <w:tcPr>
            <w:tcW w:w="1986" w:type="dxa"/>
            <w:vAlign w:val="center"/>
            <w:hideMark/>
          </w:tcPr>
          <w:p w14:paraId="7ED121EE" w14:textId="77777777" w:rsidR="008C2F53" w:rsidRPr="00C40CB7" w:rsidRDefault="008C2F53" w:rsidP="008C2F53">
            <w:pPr>
              <w:overflowPunct/>
              <w:autoSpaceDE/>
              <w:autoSpaceDN/>
              <w:adjustRightInd/>
              <w:spacing w:after="160" w:line="259" w:lineRule="auto"/>
              <w:jc w:val="left"/>
              <w:textAlignment w:val="auto"/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C40CB7">
              <w:rPr>
                <w:rFonts w:eastAsia="Aptos" w:cs="Arial"/>
                <w:b/>
                <w:bCs/>
                <w:kern w:val="2"/>
                <w:sz w:val="20"/>
                <w:szCs w:val="20"/>
                <w:lang w:eastAsia="en-US"/>
                <w14:ligatures w14:val="standardContextual"/>
              </w:rPr>
              <w:t>1.256</w:t>
            </w:r>
          </w:p>
        </w:tc>
      </w:tr>
    </w:tbl>
    <w:p w14:paraId="49A04D86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  <w:t xml:space="preserve">(DOWBOR, Ladislau. </w:t>
      </w:r>
      <w:r w:rsidRPr="00C40CB7">
        <w:rPr>
          <w:rFonts w:eastAsia="Aptos" w:cs="Arial"/>
          <w:b/>
          <w:bCs/>
          <w:i/>
          <w:iCs/>
          <w:kern w:val="2"/>
          <w:sz w:val="20"/>
          <w:szCs w:val="20"/>
          <w:lang w:eastAsia="en-US"/>
          <w14:ligatures w14:val="standardContextual"/>
        </w:rPr>
        <w:t>A formação do capitalismo dependente no Brasil</w:t>
      </w:r>
      <w:r w:rsidRPr="00C40CB7"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  <w:t>. São Paulo: Brasiliense, 1977).</w:t>
      </w:r>
    </w:p>
    <w:p w14:paraId="25CAF2AF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75CCF7B7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53482702" w14:textId="58659781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  <w:t>Considerando as mudanças jurídicas ocorridas a partir de 1850 envolvendo a escravidão no Brasil, explique os dados apresentados nas tabelas I e II deixando claras as relações possíveis de causa e efeito entre eles.</w:t>
      </w:r>
      <w:r w:rsidR="00C40CB7"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  <w:t xml:space="preserve"> </w:t>
      </w:r>
    </w:p>
    <w:p w14:paraId="120D5790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2436DBC4" w14:textId="77777777" w:rsidR="008C2F53" w:rsidRPr="00C40CB7" w:rsidRDefault="008C2F53" w:rsidP="00C40CB7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b/>
          <w:bCs/>
          <w:sz w:val="20"/>
          <w:szCs w:val="20"/>
          <w:lang w:eastAsia="en-US"/>
        </w:rPr>
        <w:t>2) (</w:t>
      </w:r>
      <w:r w:rsidRPr="00C40CB7">
        <w:rPr>
          <w:rFonts w:eastAsia="Aptos" w:cs="Arial"/>
          <w:sz w:val="20"/>
          <w:szCs w:val="20"/>
          <w:lang w:eastAsia="en-US"/>
        </w:rPr>
        <w:t>FUVEST)</w:t>
      </w:r>
    </w:p>
    <w:p w14:paraId="6799A726" w14:textId="77777777" w:rsidR="008C2F53" w:rsidRPr="00C40CB7" w:rsidRDefault="008C2F53" w:rsidP="008C2F53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Observe os dois quadros a seguir.</w:t>
      </w:r>
    </w:p>
    <w:p w14:paraId="0CAE3872" w14:textId="77777777" w:rsidR="008C2F53" w:rsidRPr="00C40CB7" w:rsidRDefault="008C2F53" w:rsidP="00C40CB7">
      <w:pPr>
        <w:overflowPunct/>
        <w:autoSpaceDE/>
        <w:autoSpaceDN/>
        <w:adjustRightInd/>
        <w:spacing w:before="180" w:after="180" w:line="240" w:lineRule="auto"/>
        <w:ind w:left="360"/>
        <w:jc w:val="left"/>
        <w:textAlignment w:val="auto"/>
        <w:rPr>
          <w:rFonts w:eastAsia="Aptos" w:cs="Arial"/>
          <w:sz w:val="20"/>
          <w:szCs w:val="20"/>
          <w:lang w:val="en" w:eastAsia="en-US"/>
        </w:rPr>
      </w:pPr>
      <w:r w:rsidRPr="00C40CB7">
        <w:rPr>
          <w:rFonts w:eastAsia="Aptos" w:cs="Arial"/>
          <w:noProof/>
          <w:sz w:val="20"/>
          <w:szCs w:val="20"/>
          <w:lang w:val="en" w:eastAsia="en-US"/>
        </w:rPr>
        <w:drawing>
          <wp:inline distT="0" distB="0" distL="0" distR="0" wp14:anchorId="52CDABB1" wp14:editId="37407C98">
            <wp:extent cx="5334000" cy="2251115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api-bancodequestoes.azurewebsites.net/api/v1/arquivos/obter/e7073dc7-7c17-45e2-a6d2-e43d5a3321a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1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B82683" w14:textId="77777777" w:rsidR="008C2F53" w:rsidRPr="00C40CB7" w:rsidRDefault="008C2F53" w:rsidP="008C2F53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Essas duas pinturas se referem à chamada Guerra da Tríplice Aliança (ou Guerra do Paraguai), ocorrida na América do Sul entre 1864 e 1870.</w:t>
      </w:r>
    </w:p>
    <w:p w14:paraId="3DAA32CD" w14:textId="77777777" w:rsidR="008C2F53" w:rsidRPr="00C40CB7" w:rsidRDefault="008C2F53" w:rsidP="008C2F53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A) Esses quadros foram pintados cerca de dez anos depois de terminada a Guerra do Paraguai, o da esquerda, por um brasileiro, o da direita, por um uruguaio. Analise como cada um desses quadros procura construir uma determinada visão do conflito.</w:t>
      </w:r>
    </w:p>
    <w:p w14:paraId="456BB9B0" w14:textId="77777777" w:rsidR="008C2F53" w:rsidRPr="00C40CB7" w:rsidRDefault="008C2F53" w:rsidP="008C2F53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B) A Guerra do Paraguai foi antecedida por vários conflitos na região do Rio da Prata, que coincidiram e se relacionaram com o processo de construção dos Estados nacionais na região. Indique um desses conflitos, relacionando-o com tal processo.</w:t>
      </w:r>
    </w:p>
    <w:p w14:paraId="46CD7DDF" w14:textId="77777777" w:rsidR="00C40CB7" w:rsidRPr="00C40CB7" w:rsidRDefault="00C40CB7" w:rsidP="008C2F53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b/>
          <w:bCs/>
          <w:sz w:val="20"/>
          <w:szCs w:val="20"/>
          <w:lang w:eastAsia="en-US"/>
        </w:rPr>
      </w:pPr>
    </w:p>
    <w:p w14:paraId="28C8E558" w14:textId="4B4C3D03" w:rsidR="008C2F53" w:rsidRPr="00C40CB7" w:rsidRDefault="008C2F53" w:rsidP="008C2F53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b/>
          <w:bCs/>
          <w:sz w:val="20"/>
          <w:szCs w:val="20"/>
          <w:lang w:eastAsia="en-US"/>
        </w:rPr>
        <w:t>3. (</w:t>
      </w:r>
      <w:r w:rsidRPr="00C40CB7">
        <w:rPr>
          <w:rFonts w:eastAsia="Aptos" w:cs="Arial"/>
          <w:sz w:val="20"/>
          <w:szCs w:val="20"/>
          <w:lang w:eastAsia="en-US"/>
        </w:rPr>
        <w:t>IFSC) Em 1831, D. Pedro I abdicou do trono brasileiro em favor de seu filho Pedro de Alcântara. A Constituição Brasileira previa que o imperador deveria ser maior de idade. Assim, entre 1831 e 1840, o Brasil passou pelo momento de sua história que ficou conhecido como “Período Regencial”.</w:t>
      </w:r>
    </w:p>
    <w:p w14:paraId="3E1326BA" w14:textId="77777777" w:rsidR="008C2F53" w:rsidRPr="00C40CB7" w:rsidRDefault="008C2F53" w:rsidP="00C40CB7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Sobre o Período Regencial, assinale a soma da(s) proposição(</w:t>
      </w:r>
      <w:proofErr w:type="spellStart"/>
      <w:r w:rsidRPr="00C40CB7">
        <w:rPr>
          <w:rFonts w:eastAsia="Aptos" w:cs="Arial"/>
          <w:sz w:val="20"/>
          <w:szCs w:val="20"/>
          <w:lang w:eastAsia="en-US"/>
        </w:rPr>
        <w:t>ões</w:t>
      </w:r>
      <w:proofErr w:type="spellEnd"/>
      <w:r w:rsidRPr="00C40CB7">
        <w:rPr>
          <w:rFonts w:eastAsia="Aptos" w:cs="Arial"/>
          <w:sz w:val="20"/>
          <w:szCs w:val="20"/>
          <w:lang w:eastAsia="en-US"/>
        </w:rPr>
        <w:t>) CORRETA(S).</w:t>
      </w:r>
    </w:p>
    <w:p w14:paraId="7FC18B87" w14:textId="77777777" w:rsidR="008C2F53" w:rsidRPr="00C40CB7" w:rsidRDefault="008C2F53" w:rsidP="00C40CB7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01. Mudanças importantes na Constituição de 1824 foram aprovadas por meio do chamado “Ato Adicional de 1834”, o qual instituiu que o poder executivo deveria ser exercido por um único regente.</w:t>
      </w:r>
    </w:p>
    <w:p w14:paraId="3F12B1B4" w14:textId="77777777" w:rsidR="008C2F53" w:rsidRPr="00C40CB7" w:rsidRDefault="008C2F53" w:rsidP="00C40CB7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02. Durante o Período Regencial, foi criada a Guarda Nacional, que exercia funções policiais, como a repressão de levantes e o impedimento de crimes.</w:t>
      </w:r>
    </w:p>
    <w:p w14:paraId="4B382360" w14:textId="77777777" w:rsidR="008C2F53" w:rsidRPr="00C40CB7" w:rsidRDefault="008C2F53" w:rsidP="00C40CB7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04. Os governos do Período Regencial tiveram, entre os seus maiores desafios, a Guerra do Paraguai, que necessitou da transferência de tropas imperiais para o país vizinho.</w:t>
      </w:r>
    </w:p>
    <w:p w14:paraId="43B203AD" w14:textId="77777777" w:rsidR="008C2F53" w:rsidRPr="00C40CB7" w:rsidRDefault="008C2F53" w:rsidP="00C40CB7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08. As revoltas separatistas do Período Regencial, como a Farroupilha e a Cabanagem, fizeram com que o império perdesse parte de seu território, que jamais foi recuperado.</w:t>
      </w:r>
    </w:p>
    <w:p w14:paraId="1F43C99C" w14:textId="77777777" w:rsidR="008C2F53" w:rsidRPr="00C40CB7" w:rsidRDefault="008C2F53" w:rsidP="00C40CB7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16. Durante a Revolução Farroupilha, com a invasão de Santa Catarina pelos rebeldes, foi proclamada a República Juliana, com sede em Laguna.</w:t>
      </w:r>
    </w:p>
    <w:p w14:paraId="069A1D46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6161B15D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7BDE19B1" w14:textId="77777777" w:rsidR="008C2F53" w:rsidRPr="00C40CB7" w:rsidRDefault="008C2F53" w:rsidP="008C2F53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proofErr w:type="gramStart"/>
      <w:r w:rsidRPr="00C40CB7">
        <w:rPr>
          <w:rFonts w:eastAsia="Aptos" w:cs="Arial"/>
          <w:b/>
          <w:bCs/>
          <w:sz w:val="20"/>
          <w:szCs w:val="20"/>
          <w:lang w:eastAsia="en-US"/>
        </w:rPr>
        <w:t xml:space="preserve">4. </w:t>
      </w:r>
      <w:r w:rsidRPr="00C40CB7">
        <w:rPr>
          <w:rFonts w:eastAsia="Aptos" w:cs="Arial"/>
          <w:sz w:val="20"/>
          <w:szCs w:val="20"/>
          <w:lang w:eastAsia="en-US"/>
        </w:rPr>
        <w:t xml:space="preserve"> (</w:t>
      </w:r>
      <w:proofErr w:type="gramEnd"/>
      <w:r w:rsidRPr="00C40CB7">
        <w:rPr>
          <w:rFonts w:eastAsia="Aptos" w:cs="Arial"/>
          <w:sz w:val="20"/>
          <w:szCs w:val="20"/>
          <w:lang w:eastAsia="en-US"/>
        </w:rPr>
        <w:t xml:space="preserve">FUVEST) </w:t>
      </w:r>
      <w:r w:rsidRPr="00C40CB7">
        <w:rPr>
          <w:rFonts w:eastAsia="Aptos" w:cs="Arial"/>
          <w:i/>
          <w:iCs/>
          <w:sz w:val="20"/>
          <w:szCs w:val="20"/>
          <w:lang w:eastAsia="en-US"/>
        </w:rPr>
        <w:t>Iniciada no fim da Guerra de Secessão americana (1861-1865), a Guerra do Paraguai (1864-1870) se assemelha ao conflito estadunidense na duração e ferocidade da luta. Guardadas as proporções, os danos em vidas e destruição foram também devastadores. Para o Império Brasileiro, essa guerra encerra o ciclo de choques militares com os vizinhos da bacia do Rio da Prata, iniciado logo depois da independência com a Guerra da Cisplatina (1825 a 1828) e prosseguido com as intervenções no Uruguai e na Argentina após 1850.</w:t>
      </w:r>
    </w:p>
    <w:p w14:paraId="128CA47F" w14:textId="77777777" w:rsidR="008C2F53" w:rsidRPr="00C40CB7" w:rsidRDefault="008C2F53" w:rsidP="008C2F53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b/>
          <w:bCs/>
          <w:sz w:val="20"/>
          <w:szCs w:val="20"/>
          <w:lang w:eastAsia="en-US"/>
        </w:rPr>
      </w:pPr>
      <w:r w:rsidRPr="00C40CB7">
        <w:rPr>
          <w:rFonts w:eastAsia="Aptos" w:cs="Arial"/>
          <w:b/>
          <w:bCs/>
          <w:sz w:val="20"/>
          <w:szCs w:val="20"/>
          <w:lang w:eastAsia="en-US"/>
        </w:rPr>
        <w:t xml:space="preserve">Rubens Ricupero. “Trauma da Guerra do Paraguai iniciou aversão brasileira a conflitos”. </w:t>
      </w:r>
      <w:r w:rsidRPr="00C40CB7">
        <w:rPr>
          <w:rFonts w:eastAsia="Aptos" w:cs="Arial"/>
          <w:b/>
          <w:bCs/>
          <w:i/>
          <w:iCs/>
          <w:sz w:val="20"/>
          <w:szCs w:val="20"/>
          <w:lang w:eastAsia="en-US"/>
        </w:rPr>
        <w:t xml:space="preserve">Folha de </w:t>
      </w:r>
      <w:proofErr w:type="spellStart"/>
      <w:proofErr w:type="gramStart"/>
      <w:r w:rsidRPr="00C40CB7">
        <w:rPr>
          <w:rFonts w:eastAsia="Aptos" w:cs="Arial"/>
          <w:b/>
          <w:bCs/>
          <w:i/>
          <w:iCs/>
          <w:sz w:val="20"/>
          <w:szCs w:val="20"/>
          <w:lang w:eastAsia="en-US"/>
        </w:rPr>
        <w:t>S.Paulo</w:t>
      </w:r>
      <w:proofErr w:type="spellEnd"/>
      <w:proofErr w:type="gramEnd"/>
      <w:r w:rsidRPr="00C40CB7">
        <w:rPr>
          <w:rFonts w:eastAsia="Aptos" w:cs="Arial"/>
          <w:b/>
          <w:bCs/>
          <w:i/>
          <w:iCs/>
          <w:sz w:val="20"/>
          <w:szCs w:val="20"/>
          <w:lang w:eastAsia="en-US"/>
        </w:rPr>
        <w:t>,</w:t>
      </w:r>
      <w:r w:rsidRPr="00C40CB7">
        <w:rPr>
          <w:rFonts w:eastAsia="Aptos" w:cs="Arial"/>
          <w:b/>
          <w:bCs/>
          <w:sz w:val="20"/>
          <w:szCs w:val="20"/>
          <w:lang w:eastAsia="en-US"/>
        </w:rPr>
        <w:t xml:space="preserve"> 13 mar. 2020. (Adaptado)</w:t>
      </w:r>
    </w:p>
    <w:p w14:paraId="388F6617" w14:textId="77777777" w:rsidR="008C2F53" w:rsidRPr="00C40CB7" w:rsidRDefault="008C2F53" w:rsidP="008C2F53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A) De acordo com a versão tradicional da historiografia brasileira, indique uma razão que motivou o envolvimento do Brasil na Guerra do Paraguai.</w:t>
      </w:r>
    </w:p>
    <w:p w14:paraId="704C64E8" w14:textId="77777777" w:rsidR="008C2F53" w:rsidRPr="00C40CB7" w:rsidRDefault="008C2F53" w:rsidP="008C2F53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B) Demonstre um motivo para que essa guerra seja interpretada no Paraguai como a “Guerra do Brasil”.</w:t>
      </w:r>
    </w:p>
    <w:p w14:paraId="3DC80F58" w14:textId="77777777" w:rsidR="008C2F53" w:rsidRPr="00C40CB7" w:rsidRDefault="008C2F53" w:rsidP="008C2F53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 xml:space="preserve">C) </w:t>
      </w:r>
      <w:proofErr w:type="gramStart"/>
      <w:r w:rsidRPr="00C40CB7">
        <w:rPr>
          <w:rFonts w:eastAsia="Aptos" w:cs="Arial"/>
          <w:sz w:val="20"/>
          <w:szCs w:val="20"/>
          <w:lang w:eastAsia="en-US"/>
        </w:rPr>
        <w:t>Analise</w:t>
      </w:r>
      <w:proofErr w:type="gramEnd"/>
      <w:r w:rsidRPr="00C40CB7">
        <w:rPr>
          <w:rFonts w:eastAsia="Aptos" w:cs="Arial"/>
          <w:sz w:val="20"/>
          <w:szCs w:val="20"/>
          <w:lang w:eastAsia="en-US"/>
        </w:rPr>
        <w:t xml:space="preserve"> pelo menos uma consequência da guerra para o Brasil e uma para o Paraguai.</w:t>
      </w:r>
    </w:p>
    <w:p w14:paraId="27C2A496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</w:pPr>
    </w:p>
    <w:p w14:paraId="7130DC6A" w14:textId="77777777" w:rsidR="008C2F53" w:rsidRPr="00C40CB7" w:rsidRDefault="008C2F53" w:rsidP="008C2F53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b/>
          <w:bCs/>
          <w:sz w:val="20"/>
          <w:szCs w:val="20"/>
          <w:lang w:eastAsia="en-US"/>
        </w:rPr>
        <w:t>5. (</w:t>
      </w:r>
      <w:r w:rsidRPr="00C40CB7">
        <w:rPr>
          <w:rFonts w:eastAsia="Aptos" w:cs="Arial"/>
          <w:sz w:val="20"/>
          <w:szCs w:val="20"/>
          <w:lang w:eastAsia="en-US"/>
        </w:rPr>
        <w:t xml:space="preserve">UFPR) “Explicar a Guerra do Paraguai como tendo sido resultado da ação do imperialismo inglês carece de base documental. É, antes, resultado de bandeiras das lutas políticas dos anos [19]60 e [19]70 – como o antiamericanismo e o terceiro-mundismo –, projetadas na análise do passado (...)”. (DORATIOTO, Francisco. A </w:t>
      </w:r>
      <w:r w:rsidRPr="00C40CB7">
        <w:rPr>
          <w:rFonts w:eastAsia="Aptos" w:cs="Arial"/>
          <w:i/>
          <w:iCs/>
          <w:sz w:val="20"/>
          <w:szCs w:val="20"/>
          <w:lang w:eastAsia="en-US"/>
        </w:rPr>
        <w:t>Guerra do Paraguai</w:t>
      </w:r>
      <w:r w:rsidRPr="00C40CB7">
        <w:rPr>
          <w:rFonts w:eastAsia="Aptos" w:cs="Arial"/>
          <w:sz w:val="20"/>
          <w:szCs w:val="20"/>
          <w:lang w:eastAsia="en-US"/>
        </w:rPr>
        <w:t>: 2ª visão. São Paulo: Brasiliense, 1991. p. 79).</w:t>
      </w:r>
    </w:p>
    <w:p w14:paraId="7A84CB1C" w14:textId="77777777" w:rsidR="008C2F53" w:rsidRPr="00C40CB7" w:rsidRDefault="008C2F53" w:rsidP="00C40CB7">
      <w:pPr>
        <w:overflowPunct/>
        <w:autoSpaceDE/>
        <w:autoSpaceDN/>
        <w:adjustRightInd/>
        <w:spacing w:before="180" w:after="180" w:line="240" w:lineRule="auto"/>
        <w:jc w:val="left"/>
        <w:textAlignment w:val="auto"/>
        <w:rPr>
          <w:rFonts w:eastAsia="Aptos" w:cs="Arial"/>
          <w:sz w:val="20"/>
          <w:szCs w:val="20"/>
          <w:lang w:eastAsia="en-US"/>
        </w:rPr>
      </w:pPr>
      <w:r w:rsidRPr="00C40CB7">
        <w:rPr>
          <w:rFonts w:eastAsia="Aptos" w:cs="Arial"/>
          <w:sz w:val="20"/>
          <w:szCs w:val="20"/>
          <w:lang w:eastAsia="en-US"/>
        </w:rPr>
        <w:t>Discuta a afirmação do historiador, apresentando ao menos duas diferentes interpretações sobre os motivos da Guerra do Paraguai ou Guerra da Tríplice Aliança.</w:t>
      </w:r>
    </w:p>
    <w:p w14:paraId="5370F412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69C99346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7523E18F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  <w:t>6. (Uerj Modificado) (Crise da Monarquia)</w:t>
      </w:r>
    </w:p>
    <w:p w14:paraId="7C9111D3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  <w:t xml:space="preserve"> </w:t>
      </w:r>
      <w:r w:rsidRPr="00C40CB7">
        <w:rPr>
          <w:rFonts w:eastAsia="Aptos" w:cs="Arial"/>
          <w:b/>
          <w:bCs/>
          <w:noProof/>
          <w:kern w:val="2"/>
          <w:sz w:val="20"/>
          <w:szCs w:val="20"/>
          <w:lang w:eastAsia="en-US"/>
          <w14:ligatures w14:val="standardContextual"/>
        </w:rPr>
        <w:drawing>
          <wp:inline distT="0" distB="0" distL="0" distR="0" wp14:anchorId="3FF89E26" wp14:editId="3FD7E3DB">
            <wp:extent cx="5099050" cy="2107607"/>
            <wp:effectExtent l="0" t="0" r="6350" b="6985"/>
            <wp:docPr id="373592890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92890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39" cy="2115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B4A0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  <w:t>O Manifesto Republicano, publicado em dezembro de 1870, apresentava críticas ao sistema político vigente no Brasil, ao mesmo tempo que defendia mudanças na organização do Estado.</w:t>
      </w:r>
    </w:p>
    <w:p w14:paraId="2CCF4A66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  <w:t>Com base no fragmento do documento, reproduzido acima, apresente duas críticas ao sistema político vigente em 1870. Em seguida, indique duas propostas políticas defendidas pelos signatários do Manifesto para o país.</w:t>
      </w:r>
    </w:p>
    <w:p w14:paraId="2765F097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21485CD0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</w:pPr>
    </w:p>
    <w:p w14:paraId="701D523B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  <w:lastRenderedPageBreak/>
        <w:t xml:space="preserve">7 (seis linhas) (UERJ Modificado) (2º Reinado) </w:t>
      </w:r>
    </w:p>
    <w:p w14:paraId="2FE883E4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b/>
          <w:bCs/>
          <w:noProof/>
          <w:kern w:val="2"/>
          <w:sz w:val="20"/>
          <w:szCs w:val="20"/>
          <w:lang w:eastAsia="en-US"/>
          <w14:ligatures w14:val="standardContextual"/>
        </w:rPr>
        <w:drawing>
          <wp:inline distT="0" distB="0" distL="0" distR="0" wp14:anchorId="584D3068" wp14:editId="2446FC8B">
            <wp:extent cx="4787900" cy="3830320"/>
            <wp:effectExtent l="0" t="0" r="0" b="0"/>
            <wp:docPr id="292481635" name="Imagem 3" descr="Jornal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81635" name="Imagem 3" descr="Jornal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61" cy="3830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8F62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b/>
          <w:bCs/>
          <w:kern w:val="2"/>
          <w:sz w:val="20"/>
          <w:szCs w:val="20"/>
          <w:lang w:eastAsia="en-US"/>
          <w14:ligatures w14:val="standardContextual"/>
        </w:rPr>
      </w:pPr>
    </w:p>
    <w:p w14:paraId="77415600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  <w:t>As imagens do periódico “O cachoeirano” e do cartaz de divulgação da “Marcha contra a farsa da abolição” ilustram de que modo a abolição da escravidão no Império do Brasil em 1888 e seu centenário em 1988 foram alvo de comemorações e críticas.</w:t>
      </w:r>
    </w:p>
    <w:p w14:paraId="208D2F12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</w:pPr>
      <w:r w:rsidRPr="00C40CB7"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  <w:t>No contexto da abolição em maio de 1888, identifique, respectivamente, um grupo social favorável e um grupo social contrário a essa mudança. Em seguida, a partir do cartaz de 1988, apresente uma justificativa para a crítica aos significados da abolição da escravidão.</w:t>
      </w:r>
    </w:p>
    <w:p w14:paraId="0732FF09" w14:textId="77777777" w:rsidR="008C2F53" w:rsidRPr="00C40CB7" w:rsidRDefault="008C2F53" w:rsidP="008C2F53">
      <w:pPr>
        <w:overflowPunct/>
        <w:autoSpaceDE/>
        <w:autoSpaceDN/>
        <w:adjustRightInd/>
        <w:spacing w:before="100" w:beforeAutospacing="1" w:after="100" w:afterAutospacing="1"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8. (</w:t>
      </w:r>
      <w:proofErr w:type="spellStart"/>
      <w:r w:rsidRPr="00C40CB7">
        <w:rPr>
          <w:rFonts w:cs="Arial"/>
          <w:sz w:val="20"/>
          <w:szCs w:val="20"/>
        </w:rPr>
        <w:t>Fameca</w:t>
      </w:r>
      <w:proofErr w:type="spellEnd"/>
      <w:r w:rsidRPr="00C40CB7">
        <w:rPr>
          <w:rFonts w:cs="Arial"/>
          <w:sz w:val="20"/>
          <w:szCs w:val="20"/>
        </w:rPr>
        <w:t xml:space="preserve">) Na metade do século XIX, houve no Brasil um surto industrial e </w:t>
      </w:r>
      <w:proofErr w:type="spellStart"/>
      <w:r w:rsidRPr="00C40CB7">
        <w:rPr>
          <w:rFonts w:cs="Arial"/>
          <w:sz w:val="20"/>
          <w:szCs w:val="20"/>
        </w:rPr>
        <w:t>empreendimentos</w:t>
      </w:r>
      <w:proofErr w:type="spellEnd"/>
      <w:r w:rsidRPr="00C40CB7">
        <w:rPr>
          <w:rFonts w:cs="Arial"/>
          <w:sz w:val="20"/>
          <w:szCs w:val="20"/>
        </w:rPr>
        <w:t xml:space="preserve"> variados, período que se convencionou chamar de “Era Mauá”. Os fatores que favoreceram esse crescimento econômico foram</w:t>
      </w:r>
    </w:p>
    <w:p w14:paraId="4A6EA15C" w14:textId="77777777" w:rsidR="008C2F53" w:rsidRPr="00C40CB7" w:rsidRDefault="008C2F53" w:rsidP="008C2F53">
      <w:pPr>
        <w:overflowPunct/>
        <w:autoSpaceDE/>
        <w:autoSpaceDN/>
        <w:adjustRightInd/>
        <w:spacing w:before="100" w:beforeAutospacing="1" w:after="100" w:afterAutospacing="1"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A) a aplicação dos lucros advindos da exportação de café e o desenvolvimento de tecnologia nacional, que permitiu a instalação de fábricas.</w:t>
      </w:r>
    </w:p>
    <w:p w14:paraId="11311CE4" w14:textId="77777777" w:rsidR="008C2F53" w:rsidRPr="00C40CB7" w:rsidRDefault="008C2F53" w:rsidP="008C2F53">
      <w:pPr>
        <w:overflowPunct/>
        <w:autoSpaceDE/>
        <w:autoSpaceDN/>
        <w:adjustRightInd/>
        <w:spacing w:before="100" w:beforeAutospacing="1" w:after="100" w:afterAutospacing="1"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B) o intervencionismo estatal com a criação de monopólios e a grande imigração europeia, que forneceu mão de obra assalariada para a indústria nas cidades.</w:t>
      </w:r>
    </w:p>
    <w:p w14:paraId="242E21D5" w14:textId="77777777" w:rsidR="008C2F53" w:rsidRPr="00C40CB7" w:rsidRDefault="008C2F53" w:rsidP="008C2F53">
      <w:pPr>
        <w:overflowPunct/>
        <w:autoSpaceDE/>
        <w:autoSpaceDN/>
        <w:adjustRightInd/>
        <w:spacing w:before="100" w:beforeAutospacing="1" w:after="100" w:afterAutospacing="1"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C) o protecionismo gerado pelo aumento das tarifas de importação e a proibição do tráfico negreiro intercontinental, que liberou capitais para outras atividades.</w:t>
      </w:r>
    </w:p>
    <w:p w14:paraId="18D4BB67" w14:textId="77777777" w:rsidR="008C2F53" w:rsidRPr="00C40CB7" w:rsidRDefault="008C2F53" w:rsidP="008C2F53">
      <w:pPr>
        <w:overflowPunct/>
        <w:autoSpaceDE/>
        <w:autoSpaceDN/>
        <w:adjustRightInd/>
        <w:spacing w:before="100" w:beforeAutospacing="1" w:after="100" w:afterAutospacing="1"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D) a isenção de impostos concedida a quem investisse no setor de serviços e o papel decisivo do Estado, que favoreceu as atividades econômicas.</w:t>
      </w:r>
    </w:p>
    <w:p w14:paraId="34261BC9" w14:textId="77777777" w:rsidR="008C2F53" w:rsidRPr="00C40CB7" w:rsidRDefault="008C2F53" w:rsidP="008C2F53">
      <w:pPr>
        <w:overflowPunct/>
        <w:autoSpaceDE/>
        <w:autoSpaceDN/>
        <w:adjustRightInd/>
        <w:spacing w:before="100" w:beforeAutospacing="1" w:after="100" w:afterAutospacing="1"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E) a emissão de papel-moeda pelo governo imperial e o fim da escravidão decretado na Lei Áurea, que ampliou o mercado consumidor interno.</w:t>
      </w:r>
    </w:p>
    <w:p w14:paraId="1218443F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b/>
          <w:bCs/>
          <w:sz w:val="20"/>
          <w:szCs w:val="20"/>
        </w:rPr>
      </w:pPr>
    </w:p>
    <w:p w14:paraId="47FED7D6" w14:textId="77777777" w:rsidR="008C2F53" w:rsidRPr="00C40CB7" w:rsidRDefault="008C2F53" w:rsidP="008C2F53">
      <w:pPr>
        <w:overflowPunct/>
        <w:autoSpaceDE/>
        <w:autoSpaceDN/>
        <w:adjustRightInd/>
        <w:spacing w:before="100" w:beforeAutospacing="1" w:after="100" w:afterAutospacing="1"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9. (FUVEST)A partir da segunda metade do século XIX, o Brasil viveu um período de modernização econômica conhecido como Era Mauá. Sobre esse período, responda ao que se pede.</w:t>
      </w:r>
    </w:p>
    <w:p w14:paraId="16AB1A5D" w14:textId="77777777" w:rsidR="008C2F53" w:rsidRPr="00C40CB7" w:rsidRDefault="008C2F53" w:rsidP="008C2F53">
      <w:pPr>
        <w:overflowPunct/>
        <w:autoSpaceDE/>
        <w:autoSpaceDN/>
        <w:adjustRightInd/>
        <w:spacing w:before="100" w:beforeAutospacing="1" w:after="100" w:afterAutospacing="1"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A) Quais os principais elementos econômicos que tornaram possível essa modernização econômica?</w:t>
      </w:r>
    </w:p>
    <w:p w14:paraId="3D1F31A9" w14:textId="77777777" w:rsidR="008C2F53" w:rsidRPr="00C40CB7" w:rsidRDefault="008C2F53" w:rsidP="008C2F53">
      <w:pPr>
        <w:overflowPunct/>
        <w:autoSpaceDE/>
        <w:autoSpaceDN/>
        <w:adjustRightInd/>
        <w:spacing w:before="100" w:beforeAutospacing="1" w:after="100" w:afterAutospacing="1"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B) Mencione ao menos três realizações que permitem caracterizar esse período como uma era de modernização e de crescimento econômico.</w:t>
      </w:r>
    </w:p>
    <w:p w14:paraId="6CAEE592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b/>
          <w:bCs/>
          <w:sz w:val="20"/>
          <w:szCs w:val="20"/>
        </w:rPr>
        <w:t>10. (EUA no século XIX) (UDESC)</w:t>
      </w:r>
      <w:r w:rsidRPr="00C40CB7">
        <w:rPr>
          <w:rFonts w:cs="Arial"/>
          <w:sz w:val="20"/>
          <w:szCs w:val="20"/>
        </w:rPr>
        <w:t xml:space="preserve"> Analise as proposições que se referem aos séculos XVII, XVIII e XIX. </w:t>
      </w:r>
    </w:p>
    <w:p w14:paraId="0CAA0655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I. A Doutrina Monroe, estabelecida em 1823 pelo presidente norte-americano James Monroe, definiu os princípios sobre a segurança dos EUA, justificando intervenções e guerras contra vários países da América Latina. </w:t>
      </w:r>
    </w:p>
    <w:p w14:paraId="71C19AC1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II. A dominação inglesa, no território indiano, foi ampliada ao longo do século XVII e início do século XVIII por meio do comércio e da compra de grandes extensões de terras, pelas empresas como a Companhia Britânica das Índias Orientais. </w:t>
      </w:r>
    </w:p>
    <w:p w14:paraId="2B5AE0F1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III. A partir do final do século XVIII e no decorrer do século XIX, as condições de vida na Europa sofreram transformações em decorrência de vários fatores, entre os quais a melhoria dos meios de transporte e comunicação, a introdução de novas técnicas de trabalho no campo e nas indústrias, além do aumento populacional. </w:t>
      </w:r>
    </w:p>
    <w:p w14:paraId="587436B8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IV. A maioria dos países que surgiram após a Independência da América Espanhola se tornaram países republicanos e democráticos, devido à participação das populações descendentes de indígenas e de mestiços que tiveram suas reivindicações por terras e trabalhos atendidas. </w:t>
      </w:r>
    </w:p>
    <w:p w14:paraId="7D642162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</w:p>
    <w:p w14:paraId="0561A610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Assinale a alternativa </w:t>
      </w:r>
      <w:r w:rsidRPr="00C40CB7">
        <w:rPr>
          <w:rFonts w:cs="Arial"/>
          <w:b/>
          <w:bCs/>
          <w:sz w:val="20"/>
          <w:szCs w:val="20"/>
        </w:rPr>
        <w:t>correta</w:t>
      </w:r>
      <w:r w:rsidRPr="00C40CB7">
        <w:rPr>
          <w:rFonts w:cs="Arial"/>
          <w:sz w:val="20"/>
          <w:szCs w:val="20"/>
        </w:rPr>
        <w:t xml:space="preserve">.  </w:t>
      </w:r>
    </w:p>
    <w:p w14:paraId="0E2C783A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A) Somente as afirmativas I, III e IV são verdadeiras.    </w:t>
      </w:r>
    </w:p>
    <w:p w14:paraId="5B0CF653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B) Somente as afirmativas I, II e IV são verdadeiras.    </w:t>
      </w:r>
    </w:p>
    <w:p w14:paraId="1B52C345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C) Somente as afirmativas I, II e III são verdadeiras.    </w:t>
      </w:r>
    </w:p>
    <w:p w14:paraId="5119DDDF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D) Somente as afirmativas II e III são verdadeiras.    </w:t>
      </w:r>
    </w:p>
    <w:p w14:paraId="68618981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E) Todas as afirmativas são verdadeiras.   </w:t>
      </w:r>
    </w:p>
    <w:p w14:paraId="00E4FD5F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</w:p>
    <w:p w14:paraId="6BD8E161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</w:p>
    <w:p w14:paraId="7A4B2518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11</w:t>
      </w:r>
      <w:r w:rsidRPr="00C40CB7">
        <w:rPr>
          <w:rFonts w:cs="Arial"/>
          <w:b/>
          <w:sz w:val="20"/>
          <w:szCs w:val="20"/>
        </w:rPr>
        <w:t>.</w:t>
      </w:r>
      <w:r w:rsidRPr="00C40CB7">
        <w:rPr>
          <w:rFonts w:cs="Arial"/>
          <w:sz w:val="20"/>
          <w:szCs w:val="20"/>
        </w:rPr>
        <w:t xml:space="preserve"> (Unesp 2021) A classificação das raças em “superiores” e “inferiores”, recorrente desde o século XVII, ganha uma falsa legitimidade baseada no mito iluminista do saber científico, coincidindo com a necessária justificativa de que a dominação e a exploração da África, mais do que “naturais” e inevitáveis, eram “necessárias” para desenvolver os “selvagens” africanos, de acordo com as normas e os valores da civilização ocidental.</w:t>
      </w:r>
    </w:p>
    <w:p w14:paraId="2FDB13D0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</w:p>
    <w:p w14:paraId="0293E36A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(Leila Leite Hernandez. </w:t>
      </w:r>
      <w:r w:rsidRPr="00C40CB7">
        <w:rPr>
          <w:rFonts w:cs="Arial"/>
          <w:i/>
          <w:sz w:val="20"/>
          <w:szCs w:val="20"/>
        </w:rPr>
        <w:t>A África na sala de aula: visita à história contemporânea</w:t>
      </w:r>
      <w:r w:rsidRPr="00C40CB7">
        <w:rPr>
          <w:rFonts w:cs="Arial"/>
          <w:sz w:val="20"/>
          <w:szCs w:val="20"/>
        </w:rPr>
        <w:t>, 2005.)</w:t>
      </w:r>
    </w:p>
    <w:p w14:paraId="7E880C9B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</w:p>
    <w:p w14:paraId="445891DE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As teorias raciais utilizadas durante o processo de colonização da África no século XIX eram </w:t>
      </w:r>
    </w:p>
    <w:p w14:paraId="14E0D049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A) desdobramentos do pensamento ilustrado, que valorizava a liberdade e a igualdade social e de natureza.   </w:t>
      </w:r>
    </w:p>
    <w:p w14:paraId="0FA343CF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B) manifestações ideológicas que buscavam justificar a exploração e o domínio europeus sobre o continente africano.   </w:t>
      </w:r>
    </w:p>
    <w:p w14:paraId="056D1406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C) baseadas no pensamento lamarckista, que explicava a transmissão genética de características fisiológicas e intelectuais adquiridas.   </w:t>
      </w:r>
    </w:p>
    <w:p w14:paraId="44A5EA05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D) validadas pela defesa darwinista do direito dos superiores se imporem aos demais seres vivos.   </w:t>
      </w:r>
    </w:p>
    <w:p w14:paraId="2C0F925E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E) sustentadas pelo pensamento antropológico, que tratava as diferenças culturais dos diversos povos como positivas e necessárias.   </w:t>
      </w:r>
    </w:p>
    <w:p w14:paraId="6C6EDDBD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</w:p>
    <w:p w14:paraId="743D8156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</w:p>
    <w:p w14:paraId="39A24277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</w:pPr>
    </w:p>
    <w:p w14:paraId="20DC9930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12</w:t>
      </w:r>
      <w:r w:rsidRPr="00C40CB7">
        <w:rPr>
          <w:rFonts w:cs="Arial"/>
          <w:b/>
          <w:sz w:val="20"/>
          <w:szCs w:val="20"/>
        </w:rPr>
        <w:t>.</w:t>
      </w:r>
      <w:r w:rsidRPr="00C40CB7">
        <w:rPr>
          <w:rFonts w:cs="Arial"/>
          <w:sz w:val="20"/>
          <w:szCs w:val="20"/>
        </w:rPr>
        <w:t xml:space="preserve"> (Unicamp) O período de 1840 a 1890 é o do triunfo da ideologia do progresso, simultaneamente ao grande </w:t>
      </w:r>
      <w:r w:rsidRPr="00C40CB7">
        <w:rPr>
          <w:rFonts w:cs="Arial"/>
          <w:i/>
          <w:iCs/>
          <w:sz w:val="20"/>
          <w:szCs w:val="20"/>
        </w:rPr>
        <w:t xml:space="preserve">boom </w:t>
      </w:r>
      <w:r w:rsidRPr="00C40CB7">
        <w:rPr>
          <w:rFonts w:cs="Arial"/>
          <w:sz w:val="20"/>
          <w:szCs w:val="20"/>
        </w:rPr>
        <w:t>econômico e industrial do Ocidente.</w:t>
      </w:r>
    </w:p>
    <w:p w14:paraId="49ED84A1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(Adaptado de Jacques Le Goff, </w:t>
      </w:r>
      <w:r w:rsidRPr="00C40CB7">
        <w:rPr>
          <w:rFonts w:cs="Arial"/>
          <w:i/>
          <w:iCs/>
          <w:sz w:val="20"/>
          <w:szCs w:val="20"/>
        </w:rPr>
        <w:t xml:space="preserve">História e memória. </w:t>
      </w:r>
      <w:r w:rsidRPr="00C40CB7">
        <w:rPr>
          <w:rFonts w:cs="Arial"/>
          <w:sz w:val="20"/>
          <w:szCs w:val="20"/>
        </w:rPr>
        <w:t>Campinas: Editora da Unicamp, 1990, p. 204-245.)</w:t>
      </w:r>
    </w:p>
    <w:p w14:paraId="3805E530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</w:p>
    <w:p w14:paraId="55362DF7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</w:p>
    <w:p w14:paraId="1A8E3A2B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Com base no </w:t>
      </w:r>
      <w:proofErr w:type="spellStart"/>
      <w:r w:rsidRPr="00C40CB7">
        <w:rPr>
          <w:rFonts w:cs="Arial"/>
          <w:sz w:val="20"/>
          <w:szCs w:val="20"/>
        </w:rPr>
        <w:t>Atexto</w:t>
      </w:r>
      <w:proofErr w:type="spellEnd"/>
      <w:r w:rsidRPr="00C40CB7">
        <w:rPr>
          <w:rFonts w:cs="Arial"/>
          <w:sz w:val="20"/>
          <w:szCs w:val="20"/>
        </w:rPr>
        <w:t xml:space="preserve"> e em seus conhecimentos históricos,</w:t>
      </w:r>
    </w:p>
    <w:p w14:paraId="5D5A4A80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</w:p>
    <w:p w14:paraId="6BE90A42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A) apresente duas características importantes do </w:t>
      </w:r>
      <w:r w:rsidRPr="00C40CB7">
        <w:rPr>
          <w:rFonts w:cs="Arial"/>
          <w:i/>
          <w:iCs/>
          <w:sz w:val="20"/>
          <w:szCs w:val="20"/>
        </w:rPr>
        <w:t xml:space="preserve">boom </w:t>
      </w:r>
      <w:r w:rsidRPr="00C40CB7">
        <w:rPr>
          <w:rFonts w:cs="Arial"/>
          <w:sz w:val="20"/>
          <w:szCs w:val="20"/>
        </w:rPr>
        <w:t>econômico e industrial do Ocidente entre 1840 e 1890;</w:t>
      </w:r>
    </w:p>
    <w:p w14:paraId="663B662F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B) explique o ideário do progresso e o relacione com a Primeira Guerra Mundial. </w:t>
      </w:r>
    </w:p>
    <w:p w14:paraId="0FCBFB9C" w14:textId="77777777" w:rsidR="008C2F53" w:rsidRPr="00C40CB7" w:rsidRDefault="008C2F53" w:rsidP="008C2F53">
      <w:pPr>
        <w:tabs>
          <w:tab w:val="left" w:pos="993"/>
        </w:tabs>
        <w:overflowPunct/>
        <w:autoSpaceDE/>
        <w:autoSpaceDN/>
        <w:adjustRightInd/>
        <w:spacing w:line="240" w:lineRule="auto"/>
        <w:jc w:val="left"/>
        <w:textAlignment w:val="auto"/>
        <w:rPr>
          <w:rFonts w:cs="Arial"/>
          <w:sz w:val="20"/>
          <w:szCs w:val="20"/>
        </w:rPr>
      </w:pPr>
    </w:p>
    <w:p w14:paraId="45B61A23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13</w:t>
      </w:r>
      <w:r w:rsidRPr="00C40CB7">
        <w:rPr>
          <w:rFonts w:cs="Arial"/>
          <w:b/>
          <w:sz w:val="20"/>
          <w:szCs w:val="20"/>
        </w:rPr>
        <w:t>.</w:t>
      </w:r>
      <w:r w:rsidRPr="00C40CB7">
        <w:rPr>
          <w:rFonts w:cs="Arial"/>
          <w:sz w:val="20"/>
          <w:szCs w:val="20"/>
        </w:rPr>
        <w:t xml:space="preserve"> </w:t>
      </w:r>
      <w:r w:rsidRPr="00C40CB7">
        <w:rPr>
          <w:rFonts w:cs="Arial"/>
          <w:b/>
          <w:bCs/>
          <w:sz w:val="20"/>
          <w:szCs w:val="20"/>
        </w:rPr>
        <w:t>(História) (UERJ Modificado) (1,5) (2º Reinado) (Difícil)</w:t>
      </w:r>
      <w:r w:rsidRPr="00C40CB7">
        <w:rPr>
          <w:rFonts w:cs="Arial"/>
          <w:sz w:val="20"/>
          <w:szCs w:val="20"/>
        </w:rPr>
        <w:t xml:space="preserve"> A Guerra do Paraguai (1864-1870) foi o conflito externo de maior repercussão para os países envolvidos − Paraguai, Brasil, Argentina e Uruguai −, quer quanto à mobilização e perda de homens, quer quanto aos aspectos políticos e financeiros. Essa guerra foi, na verdade, resultado do processo de construção dos Estados nacionais no rio da Prata e, ao mesmo tempo, marco nas suas consolidações. </w:t>
      </w:r>
      <w:r w:rsidRPr="00C40CB7">
        <w:rPr>
          <w:rFonts w:cs="Arial"/>
          <w:b/>
          <w:bCs/>
          <w:sz w:val="20"/>
          <w:szCs w:val="20"/>
        </w:rPr>
        <w:t xml:space="preserve">(Adaptado de DORATIOTO, F. F. M. </w:t>
      </w:r>
      <w:r w:rsidRPr="00C40CB7">
        <w:rPr>
          <w:rFonts w:cs="Arial"/>
          <w:b/>
          <w:bCs/>
          <w:i/>
          <w:iCs/>
          <w:sz w:val="20"/>
          <w:szCs w:val="20"/>
        </w:rPr>
        <w:t>Maldita guerra: nova história da Guerra do Paraguai</w:t>
      </w:r>
      <w:r w:rsidRPr="00C40CB7">
        <w:rPr>
          <w:rFonts w:cs="Arial"/>
          <w:b/>
          <w:bCs/>
          <w:sz w:val="20"/>
          <w:szCs w:val="20"/>
        </w:rPr>
        <w:t>. São Paulo: Companhia das Letras, 2002).</w:t>
      </w:r>
    </w:p>
    <w:p w14:paraId="76158814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Os motivos que justificaram a Guerra do Paraguai, ou Guerra da Tríplice Aliança, continuam gerando controvérsias cento e cinquenta anos depois.</w:t>
      </w:r>
    </w:p>
    <w:p w14:paraId="33125F87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b/>
          <w:bCs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Considerando a chamada “tese revisionista” surgida na década de 70 e 80 do século XX e a nova abordagem sobre o conflito estabelecida nos anos 90 por Francisco Doratioto, identifique uma causa para a guerra de acordo com a teoria revisionista e explique por que essa causa não seria aceitável segundo as novas abordagens historiográficas surgidas nos anos 90. </w:t>
      </w:r>
      <w:r w:rsidRPr="00C40CB7">
        <w:rPr>
          <w:rFonts w:cs="Arial"/>
          <w:b/>
          <w:bCs/>
          <w:sz w:val="20"/>
          <w:szCs w:val="20"/>
        </w:rPr>
        <w:t>(Oito linhas)</w:t>
      </w:r>
    </w:p>
    <w:p w14:paraId="2EF43558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14</w:t>
      </w:r>
      <w:r w:rsidRPr="00C40CB7">
        <w:rPr>
          <w:rFonts w:cs="Arial"/>
          <w:b/>
          <w:sz w:val="20"/>
          <w:szCs w:val="20"/>
        </w:rPr>
        <w:t>.</w:t>
      </w:r>
      <w:r w:rsidRPr="00C40CB7">
        <w:rPr>
          <w:rFonts w:cs="Arial"/>
          <w:sz w:val="20"/>
          <w:szCs w:val="20"/>
        </w:rPr>
        <w:t xml:space="preserve"> </w:t>
      </w:r>
      <w:r w:rsidRPr="00C40CB7">
        <w:rPr>
          <w:rFonts w:cs="Arial"/>
          <w:b/>
          <w:bCs/>
          <w:sz w:val="20"/>
          <w:szCs w:val="20"/>
        </w:rPr>
        <w:t>(História) (UFJF Modificado)</w:t>
      </w:r>
      <w:r w:rsidRPr="00C40CB7">
        <w:rPr>
          <w:rFonts w:cs="Arial"/>
          <w:sz w:val="20"/>
          <w:szCs w:val="20"/>
        </w:rPr>
        <w:t xml:space="preserve"> O movimento abolicionista no Brasil, que ganhou força a partir da segunda metade do século XIX e visava acabar com a escravidão, foi marcado por vários fatores, tais como realização de eventos artísticos e culturais para conseguir apoio para a causa, abertura de processos na Justiça para alcance de liberdade e forte participação de setores populares e lideranças negras. Os textos abaixo retratam alguns elementos relacionados a esse acontecimento:</w:t>
      </w:r>
    </w:p>
    <w:p w14:paraId="69AF32C1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b/>
          <w:bCs/>
          <w:sz w:val="20"/>
          <w:szCs w:val="20"/>
        </w:rPr>
      </w:pPr>
      <w:r w:rsidRPr="00C40CB7">
        <w:rPr>
          <w:rFonts w:cs="Arial"/>
          <w:b/>
          <w:bCs/>
          <w:sz w:val="20"/>
          <w:szCs w:val="20"/>
        </w:rPr>
        <w:t>Texto 1</w:t>
      </w:r>
    </w:p>
    <w:p w14:paraId="013B0264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“A escravidão, que orientava toda a organização social do país, foi cuidadosamente deslegitimada pelos abolicionistas através de uma retórica da mudança, construída a partir de três esquemas interpretativos: compaixão, direito e progresso. Buscando a desnaturalização do escravismo a ponto de torná-lo moralmente condenável, o romantismo brasileiro, de caráter literário, musical ou dramatúrgico, buscava despertar a compaixão e indignação da sociedade brasileira para a situação do cativo. Paralela ao romantismo, a doutrina positivista, dominante em muitas instituições de ensino superior, defendia uma compreensão linear e progressiva da História, de tal maneira que o catolicismo, a monarquia e a escravidão seriam incompatíveis com o processo de industrialização e urbanização em curso. Finalmente, a tópica do direito natural, combatia a escravidão com processos judiciais, apelos e denúncias”. (CEDRO, Marcelo, GOMES, Marco Túlio Antunes. Narrar, persuadir e sentir: estratégias abolicionistas no Brasil oitocentista. Cadernos de História, Belo Horizonte, v. 17, n. 27, 2º sem. 2016, p. 523. Resenha do livro ALONSO, Ângela. </w:t>
      </w:r>
      <w:r w:rsidRPr="00C40CB7">
        <w:rPr>
          <w:rFonts w:cs="Arial"/>
          <w:i/>
          <w:iCs/>
          <w:sz w:val="20"/>
          <w:szCs w:val="20"/>
        </w:rPr>
        <w:t>Flores, votos e balas</w:t>
      </w:r>
      <w:r w:rsidRPr="00C40CB7">
        <w:rPr>
          <w:rFonts w:cs="Arial"/>
          <w:sz w:val="20"/>
          <w:szCs w:val="20"/>
        </w:rPr>
        <w:t>: o movimento abolicionista brasileiro (1868-88). São Paulo: Companhia das Letras, 2015).</w:t>
      </w:r>
    </w:p>
    <w:p w14:paraId="4FD7557F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b/>
          <w:bCs/>
          <w:sz w:val="20"/>
          <w:szCs w:val="20"/>
        </w:rPr>
      </w:pPr>
    </w:p>
    <w:p w14:paraId="12F7D88F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b/>
          <w:bCs/>
          <w:sz w:val="20"/>
          <w:szCs w:val="20"/>
        </w:rPr>
      </w:pPr>
      <w:r w:rsidRPr="00C40CB7">
        <w:rPr>
          <w:rFonts w:cs="Arial"/>
          <w:b/>
          <w:bCs/>
          <w:sz w:val="20"/>
          <w:szCs w:val="20"/>
        </w:rPr>
        <w:t>Texto 2</w:t>
      </w:r>
    </w:p>
    <w:p w14:paraId="493BA8B6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i/>
          <w:iCs/>
          <w:sz w:val="20"/>
          <w:szCs w:val="20"/>
        </w:rPr>
      </w:pPr>
      <w:r w:rsidRPr="00C40CB7">
        <w:rPr>
          <w:rFonts w:cs="Arial"/>
          <w:sz w:val="20"/>
          <w:szCs w:val="20"/>
        </w:rPr>
        <w:t>“130 anos após abolição, população negra ainda sofre com a desigualdade. Exatos 130 anos depois da abolição, a população negra segue sofrendo com a desigualdade social: representa 63,7% do total de 13,7 milhões de desempregados e ganha bem menos do que os brancos, em média, R$ 1.531 contra R$ 2.757</w:t>
      </w:r>
      <w:r w:rsidRPr="00C40CB7">
        <w:rPr>
          <w:rFonts w:cs="Arial"/>
          <w:b/>
          <w:bCs/>
          <w:sz w:val="20"/>
          <w:szCs w:val="20"/>
        </w:rPr>
        <w:t>”.</w:t>
      </w:r>
      <w:r w:rsidRPr="00C40CB7">
        <w:rPr>
          <w:rFonts w:cs="Arial"/>
          <w:b/>
          <w:bCs/>
          <w:i/>
          <w:iCs/>
          <w:sz w:val="20"/>
          <w:szCs w:val="20"/>
        </w:rPr>
        <w:t xml:space="preserve"> </w:t>
      </w:r>
      <w:r w:rsidRPr="00C40CB7">
        <w:rPr>
          <w:rFonts w:cs="Arial"/>
          <w:i/>
          <w:iCs/>
          <w:sz w:val="20"/>
          <w:szCs w:val="20"/>
        </w:rPr>
        <w:t>(</w:t>
      </w:r>
      <w:r w:rsidRPr="00C40CB7">
        <w:rPr>
          <w:rFonts w:cs="Arial"/>
          <w:sz w:val="20"/>
          <w:szCs w:val="20"/>
        </w:rPr>
        <w:t>Notícia extraída do</w:t>
      </w:r>
      <w:r w:rsidRPr="00C40CB7">
        <w:rPr>
          <w:rFonts w:cs="Arial"/>
          <w:i/>
          <w:iCs/>
          <w:sz w:val="20"/>
          <w:szCs w:val="20"/>
        </w:rPr>
        <w:t xml:space="preserve"> Jornal Correio Braziliense</w:t>
      </w:r>
      <w:r w:rsidRPr="00C40CB7">
        <w:rPr>
          <w:rFonts w:cs="Arial"/>
          <w:sz w:val="20"/>
          <w:szCs w:val="20"/>
        </w:rPr>
        <w:t xml:space="preserve">, publicada em 13/05/2018 08h00. Por Gabriela </w:t>
      </w:r>
      <w:proofErr w:type="spellStart"/>
      <w:r w:rsidRPr="00C40CB7">
        <w:rPr>
          <w:rFonts w:cs="Arial"/>
          <w:sz w:val="20"/>
          <w:szCs w:val="20"/>
        </w:rPr>
        <w:t>Vinhale</w:t>
      </w:r>
      <w:proofErr w:type="spellEnd"/>
      <w:r w:rsidRPr="00C40CB7">
        <w:rPr>
          <w:rFonts w:cs="Arial"/>
          <w:sz w:val="20"/>
          <w:szCs w:val="20"/>
        </w:rPr>
        <w:t xml:space="preserve"> Otávio Augusto. Disponível em https://www.correiobraziliense.com.br/app/noticia/brasil/2018/05/13/internabrasil,680301/130-anos-apos-abolicao-populacao-negra-aindasofre-com-a-desigualdade.shtml)</w:t>
      </w:r>
    </w:p>
    <w:p w14:paraId="10C421E4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lastRenderedPageBreak/>
        <w:t>Sobre o movimento abolicionista brasileiro e considerando os textos:</w:t>
      </w:r>
    </w:p>
    <w:p w14:paraId="4F54DE27" w14:textId="77777777" w:rsidR="008C2F53" w:rsidRPr="00C40CB7" w:rsidRDefault="008C2F53" w:rsidP="008C2F53">
      <w:pPr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contextualSpacing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indique um exemplo de ação posta em prática pelos abolicionistas brasileiros na segunda metade do século XIX</w:t>
      </w:r>
    </w:p>
    <w:p w14:paraId="05DB4C19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ind w:left="720"/>
        <w:contextualSpacing/>
        <w:textAlignment w:val="auto"/>
        <w:rPr>
          <w:rFonts w:cs="Arial"/>
          <w:b/>
          <w:bCs/>
          <w:sz w:val="20"/>
          <w:szCs w:val="20"/>
        </w:rPr>
      </w:pPr>
    </w:p>
    <w:p w14:paraId="39E658BC" w14:textId="2843BD9D" w:rsidR="008C2F53" w:rsidRPr="00C40CB7" w:rsidRDefault="008C2F53" w:rsidP="008C2F53">
      <w:pPr>
        <w:numPr>
          <w:ilvl w:val="0"/>
          <w:numId w:val="14"/>
        </w:numPr>
        <w:overflowPunct/>
        <w:autoSpaceDE/>
        <w:autoSpaceDN/>
        <w:adjustRightInd/>
        <w:spacing w:after="200" w:line="276" w:lineRule="auto"/>
        <w:contextualSpacing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explique uma consequência da abolição para a população negra em termos de sua integração à sociedade brasileira cujos impactos são perceptíveis até os dias atuais.</w:t>
      </w:r>
    </w:p>
    <w:p w14:paraId="10035C44" w14:textId="77777777" w:rsidR="00C40CB7" w:rsidRPr="00C40CB7" w:rsidRDefault="00C40CB7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b/>
          <w:bCs/>
          <w:sz w:val="20"/>
          <w:szCs w:val="20"/>
        </w:rPr>
      </w:pPr>
    </w:p>
    <w:p w14:paraId="643E13D3" w14:textId="11875638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b/>
          <w:bCs/>
          <w:sz w:val="20"/>
          <w:szCs w:val="20"/>
        </w:rPr>
      </w:pPr>
      <w:r w:rsidRPr="00C40CB7">
        <w:rPr>
          <w:rFonts w:cs="Arial"/>
          <w:b/>
          <w:bCs/>
          <w:sz w:val="20"/>
          <w:szCs w:val="20"/>
        </w:rPr>
        <w:t>15</w:t>
      </w:r>
      <w:r w:rsidRPr="00C40CB7">
        <w:rPr>
          <w:rFonts w:cs="Arial"/>
          <w:sz w:val="20"/>
          <w:szCs w:val="20"/>
        </w:rPr>
        <w:t xml:space="preserve">. </w:t>
      </w:r>
      <w:r w:rsidRPr="00C40CB7">
        <w:rPr>
          <w:rFonts w:cs="Arial"/>
          <w:b/>
          <w:bCs/>
          <w:sz w:val="20"/>
          <w:szCs w:val="20"/>
        </w:rPr>
        <w:t xml:space="preserve">(História) (Autoral) (2º </w:t>
      </w:r>
      <w:proofErr w:type="gramStart"/>
      <w:r w:rsidRPr="00C40CB7">
        <w:rPr>
          <w:rFonts w:cs="Arial"/>
          <w:b/>
          <w:bCs/>
          <w:sz w:val="20"/>
          <w:szCs w:val="20"/>
        </w:rPr>
        <w:t xml:space="preserve">Reinado) </w:t>
      </w:r>
      <w:r w:rsidRPr="00C40CB7">
        <w:rPr>
          <w:rFonts w:cs="Arial"/>
          <w:sz w:val="20"/>
          <w:szCs w:val="20"/>
        </w:rPr>
        <w:t xml:space="preserve"> “</w:t>
      </w:r>
      <w:proofErr w:type="gramEnd"/>
      <w:r w:rsidRPr="00C40CB7">
        <w:rPr>
          <w:rFonts w:cs="Arial"/>
          <w:sz w:val="20"/>
          <w:szCs w:val="20"/>
        </w:rPr>
        <w:t>Eu diria mesmo que a Monarquia caiu quando atingia seu ponto mais alto de popularidade entre essa gente, em parte como consequência da abolição da escravidão. A abolição deu ensejo a imensos festejos populares que duraram uma semana e se repetiram no ano seguinte, cinco meses antes da Proclamação da República. A simpatia popular se dirigia não só à princesa Isabel, mas também a Pedro II, como ficou evidenciado por ocasião da comemoração do aniversário do velho imperador, a 2 de dezembro de 1888.” (</w:t>
      </w:r>
      <w:r w:rsidRPr="00C40CB7">
        <w:rPr>
          <w:rFonts w:cs="Arial"/>
          <w:b/>
          <w:bCs/>
          <w:sz w:val="20"/>
          <w:szCs w:val="20"/>
        </w:rPr>
        <w:t>Carvalho, José Murilo. “Os Bestializados- O Rio de Janeiro e a República que não foi, pág.23)</w:t>
      </w:r>
      <w:r w:rsidRPr="00C40CB7">
        <w:rPr>
          <w:rFonts w:cs="Arial"/>
          <w:sz w:val="20"/>
          <w:szCs w:val="20"/>
        </w:rPr>
        <w:t xml:space="preserve"> Considerando o texto acima, explique como o fator que teria contribuído para a popularidade da Monarquia também teria contribuído para a sua derrocada em 1889. </w:t>
      </w:r>
      <w:r w:rsidRPr="00C40CB7">
        <w:rPr>
          <w:rFonts w:cs="Arial"/>
          <w:b/>
          <w:bCs/>
          <w:sz w:val="20"/>
          <w:szCs w:val="20"/>
        </w:rPr>
        <w:t>(seis linhas)</w:t>
      </w:r>
    </w:p>
    <w:p w14:paraId="45FA5BCA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b/>
          <w:bCs/>
          <w:sz w:val="20"/>
          <w:szCs w:val="20"/>
        </w:rPr>
        <w:t>16.</w:t>
      </w:r>
      <w:r w:rsidRPr="00C40CB7">
        <w:rPr>
          <w:rFonts w:cs="Arial"/>
          <w:sz w:val="20"/>
          <w:szCs w:val="20"/>
        </w:rPr>
        <w:t xml:space="preserve"> </w:t>
      </w:r>
      <w:r w:rsidRPr="00C40CB7">
        <w:rPr>
          <w:rFonts w:cs="Arial"/>
          <w:b/>
          <w:bCs/>
          <w:sz w:val="20"/>
          <w:szCs w:val="20"/>
        </w:rPr>
        <w:t>(História) (</w:t>
      </w:r>
      <w:proofErr w:type="spellStart"/>
      <w:r w:rsidRPr="00C40CB7">
        <w:rPr>
          <w:rFonts w:cs="Arial"/>
          <w:b/>
          <w:bCs/>
          <w:sz w:val="20"/>
          <w:szCs w:val="20"/>
        </w:rPr>
        <w:t>Ufjf-pism</w:t>
      </w:r>
      <w:proofErr w:type="spellEnd"/>
      <w:r w:rsidRPr="00C40CB7">
        <w:rPr>
          <w:rFonts w:cs="Arial"/>
          <w:b/>
          <w:bCs/>
          <w:sz w:val="20"/>
          <w:szCs w:val="20"/>
        </w:rPr>
        <w:t>) (2º Reinado) (Média)</w:t>
      </w:r>
      <w:r w:rsidRPr="00C40CB7">
        <w:rPr>
          <w:rFonts w:cs="Arial"/>
          <w:sz w:val="20"/>
          <w:szCs w:val="20"/>
        </w:rPr>
        <w:t xml:space="preserve"> Observe o quadro abaixo:</w:t>
      </w:r>
    </w:p>
    <w:p w14:paraId="0D22867C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noProof/>
          <w:sz w:val="20"/>
          <w:szCs w:val="20"/>
          <w:lang w:val="en-US"/>
        </w:rPr>
        <w:drawing>
          <wp:inline distT="0" distB="0" distL="0" distR="0" wp14:anchorId="52533683" wp14:editId="5D5F2D82">
            <wp:extent cx="5419725" cy="2171700"/>
            <wp:effectExtent l="0" t="0" r="0" b="0"/>
            <wp:docPr id="830097685" name="Imagem 830097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DFA93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</w:p>
    <w:p w14:paraId="61D27D5E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Os dados presentes no gráfico sobre o número de combatentes e o saldo de mortos na Guerra do Paraguai (1864 -1870) indicam que:  </w:t>
      </w:r>
    </w:p>
    <w:p w14:paraId="6320602E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A) A discrepância entre o número de combatentes e de mortos paraguaios evidenciam um massacre sobre a população civil paraguaia.    </w:t>
      </w:r>
    </w:p>
    <w:p w14:paraId="6C16B2A1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B) Uruguaios e argentinos não precisariam do apoio do Brasil para enfrentar o Paraguai nesse    </w:t>
      </w:r>
    </w:p>
    <w:p w14:paraId="3DCFB63C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C) Cada país que compunha a Tríplice Aliança enviou contingente igual de combatentes para o conflito.   </w:t>
      </w:r>
    </w:p>
    <w:p w14:paraId="648EFD6D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D) Os Voluntários da Pátria estavam em maior volume que os soldados do Exército Brasileiro e foram os protagonistas do conflito.    </w:t>
      </w:r>
    </w:p>
    <w:p w14:paraId="5C9D326F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E) O pouco sofrimento da população paraguaia no conflito justifica a proeminência desse país no contexto econômico posterior à guerra.   </w:t>
      </w:r>
    </w:p>
    <w:p w14:paraId="15A4C57C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</w:p>
    <w:p w14:paraId="6D38F4DE" w14:textId="77777777" w:rsidR="008C2F53" w:rsidRPr="00C40CB7" w:rsidRDefault="008C2F53" w:rsidP="008C2F53">
      <w:pPr>
        <w:overflowPunct/>
        <w:autoSpaceDE/>
        <w:autoSpaceDN/>
        <w:adjustRightInd/>
        <w:spacing w:after="160" w:line="278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b/>
          <w:bCs/>
          <w:sz w:val="20"/>
          <w:szCs w:val="20"/>
        </w:rPr>
        <w:lastRenderedPageBreak/>
        <w:t>17</w:t>
      </w:r>
      <w:r w:rsidRPr="00C40CB7">
        <w:rPr>
          <w:rFonts w:cs="Arial"/>
          <w:sz w:val="20"/>
          <w:szCs w:val="20"/>
        </w:rPr>
        <w:t xml:space="preserve">. </w:t>
      </w:r>
      <w:r w:rsidRPr="00C40CB7">
        <w:rPr>
          <w:rFonts w:cs="Arial"/>
          <w:b/>
          <w:bCs/>
          <w:sz w:val="20"/>
          <w:szCs w:val="20"/>
        </w:rPr>
        <w:t>(História) (</w:t>
      </w:r>
      <w:proofErr w:type="spellStart"/>
      <w:r w:rsidRPr="00C40CB7">
        <w:rPr>
          <w:rFonts w:cs="Arial"/>
          <w:b/>
          <w:bCs/>
          <w:sz w:val="20"/>
          <w:szCs w:val="20"/>
        </w:rPr>
        <w:t>Unichristus</w:t>
      </w:r>
      <w:proofErr w:type="spellEnd"/>
      <w:r w:rsidRPr="00C40CB7">
        <w:rPr>
          <w:rFonts w:cs="Arial"/>
          <w:b/>
          <w:bCs/>
          <w:sz w:val="20"/>
          <w:szCs w:val="20"/>
        </w:rPr>
        <w:t xml:space="preserve">) (2º Reinado) </w:t>
      </w:r>
      <w:r w:rsidRPr="00C40CB7">
        <w:rPr>
          <w:rFonts w:cs="Arial"/>
          <w:sz w:val="20"/>
          <w:szCs w:val="20"/>
        </w:rPr>
        <w:t xml:space="preserve">A Proclamação da República, ocorrida no dia 15 de novembro de 1889, foi um acontecimento de grande envergadura na história no Brasil, em que, por meio de um Golpe Civil-Militar, chefiado pelo Marechal Deodoro da Fonseca (chefe do Exército brasileiro à época), destituiu-se Dom Pedro II do governo monárquico Constitucional Parlamentarista e instituiu-se o governo provisório da República presidencialista, do qual Marechal foi destacado como presidente, ordenando ao imperador que se retirasse do Brasil. Importante analisar não só o evento que pôs fim ao regime político-monárquico, mas, sobretudo, o contexto político e econômico de administração do sistema colonial, que deu origem ao golpe e aos seus desdobramentos posteriores. </w:t>
      </w:r>
    </w:p>
    <w:p w14:paraId="3D16EC26" w14:textId="77777777" w:rsidR="008C2F53" w:rsidRPr="00C40CB7" w:rsidRDefault="008C2F53" w:rsidP="008C2F53">
      <w:pPr>
        <w:overflowPunct/>
        <w:autoSpaceDE/>
        <w:autoSpaceDN/>
        <w:adjustRightInd/>
        <w:spacing w:after="160" w:line="278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Disponível em: https://mst.org.br/2020/11/18/proclamacao-da-republica-brasileira-um-golpe-sobre-o-golpe/ Acesso em: 3 abr. 2022.</w:t>
      </w:r>
    </w:p>
    <w:p w14:paraId="336E3F41" w14:textId="77777777" w:rsidR="008C2F53" w:rsidRPr="00C40CB7" w:rsidRDefault="008C2F53" w:rsidP="008C2F53">
      <w:pPr>
        <w:overflowPunct/>
        <w:autoSpaceDE/>
        <w:autoSpaceDN/>
        <w:adjustRightInd/>
        <w:spacing w:after="160" w:line="278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Entre os fatores que influenciaram o evento abordado no texto, destaca(m)-se: </w:t>
      </w:r>
    </w:p>
    <w:p w14:paraId="277D6519" w14:textId="77777777" w:rsidR="008C2F53" w:rsidRPr="00C40CB7" w:rsidRDefault="008C2F53" w:rsidP="008C2F53">
      <w:pPr>
        <w:overflowPunct/>
        <w:autoSpaceDE/>
        <w:autoSpaceDN/>
        <w:adjustRightInd/>
        <w:spacing w:after="160" w:line="278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A) incidentes que levaram a um choque entre Igreja Católica, Exército e Monarquia brasileira. </w:t>
      </w:r>
    </w:p>
    <w:p w14:paraId="109C4AAC" w14:textId="77777777" w:rsidR="008C2F53" w:rsidRPr="00C40CB7" w:rsidRDefault="008C2F53" w:rsidP="008C2F53">
      <w:pPr>
        <w:overflowPunct/>
        <w:autoSpaceDE/>
        <w:autoSpaceDN/>
        <w:adjustRightInd/>
        <w:spacing w:after="160" w:line="278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B) queda da exportação do café e rápida ascensão do industrialismo no Brasil durante o século XIX.</w:t>
      </w:r>
    </w:p>
    <w:p w14:paraId="56E9731D" w14:textId="77777777" w:rsidR="008C2F53" w:rsidRPr="00C40CB7" w:rsidRDefault="008C2F53" w:rsidP="008C2F53">
      <w:pPr>
        <w:overflowPunct/>
        <w:autoSpaceDE/>
        <w:autoSpaceDN/>
        <w:adjustRightInd/>
        <w:spacing w:after="160" w:line="278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C) promulgação de uma nova Constituição, que retirou o poder Moderador de D. Pedro II, e adoção da monarquia parlamentarista através de um plebiscito.</w:t>
      </w:r>
    </w:p>
    <w:p w14:paraId="54F1F614" w14:textId="77777777" w:rsidR="008C2F53" w:rsidRPr="00C40CB7" w:rsidRDefault="008C2F53" w:rsidP="008C2F53">
      <w:pPr>
        <w:overflowPunct/>
        <w:autoSpaceDE/>
        <w:autoSpaceDN/>
        <w:adjustRightInd/>
        <w:spacing w:after="160" w:line="278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D) derrota da Tríplice Aliança na Guerra da Cisplatina, que gerou grande ônus para os cofres públicos, e falta de apoio político da classe média nas eleições parlamentares.   </w:t>
      </w:r>
    </w:p>
    <w:p w14:paraId="617A2F3C" w14:textId="77777777" w:rsidR="008C2F53" w:rsidRPr="00C40CB7" w:rsidRDefault="008C2F53" w:rsidP="008C2F53">
      <w:pPr>
        <w:overflowPunct/>
        <w:autoSpaceDE/>
        <w:autoSpaceDN/>
        <w:adjustRightInd/>
        <w:spacing w:after="160" w:line="278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>E) defesa ideológica do escravismo por parte da Família Real, além da decadência do Movimento Positivista do Brasil que defendia a manutenção da Monarquia.</w:t>
      </w:r>
    </w:p>
    <w:p w14:paraId="27730610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</w:p>
    <w:p w14:paraId="02BC518F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b/>
          <w:bCs/>
          <w:sz w:val="20"/>
          <w:szCs w:val="20"/>
        </w:rPr>
        <w:t>18. (História) (UEA) (Primavera dos Povos) (Média)</w:t>
      </w:r>
      <w:r w:rsidRPr="00C40CB7">
        <w:rPr>
          <w:rFonts w:cs="Arial"/>
          <w:sz w:val="20"/>
          <w:szCs w:val="20"/>
        </w:rPr>
        <w:t xml:space="preserve"> Quase que simultaneamente, a onda revolucionária de 1848 explodiu e venceu (temporariamente) na França, em toda a Itália, nos Estados alemães, na maior parte do império dos Habsburgo e na Suíça. De forma menos aguda, a intranquilidade também afetou a Espanha, a Dinamarca e a Romênia; de forma esporádica, a Irlanda, a Grécia e a Grã-Bretanha. Nunca houve nada tão próximo da revolução mundial com que sonhavam os insurretos do que esta conflagração espontânea e geral. O que em 1789 fora o levante de uma só nação era agora, assim parecia, “a primavera dos povos” de todo um continente.</w:t>
      </w:r>
    </w:p>
    <w:p w14:paraId="0D9181D7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(Eric J. Hobsbawm. </w:t>
      </w:r>
      <w:r w:rsidRPr="00C40CB7">
        <w:rPr>
          <w:rFonts w:cs="Arial"/>
          <w:i/>
          <w:iCs/>
          <w:sz w:val="20"/>
          <w:szCs w:val="20"/>
        </w:rPr>
        <w:t>A era das revoluções</w:t>
      </w:r>
      <w:r w:rsidRPr="00C40CB7">
        <w:rPr>
          <w:rFonts w:cs="Arial"/>
          <w:sz w:val="20"/>
          <w:szCs w:val="20"/>
        </w:rPr>
        <w:t xml:space="preserve"> (1789-1848), 1988. Adaptado.)</w:t>
      </w:r>
    </w:p>
    <w:p w14:paraId="222ED300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A onda revolucionária mencionada no texto </w:t>
      </w:r>
    </w:p>
    <w:p w14:paraId="796172D3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A) foi sepultada por um projeto restaurador das instituições do Antigo Regime, como o absolutismo e a sociedade estamental.   </w:t>
      </w:r>
    </w:p>
    <w:p w14:paraId="2A7F01F7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B) congregou camponeses no combate aos cercamentos na Grã-Bretanha e na defesa das terras comuns.   </w:t>
      </w:r>
    </w:p>
    <w:p w14:paraId="657B1734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C) enfraqueceu o movimento de unificação da Alemanha devido ao temor das elites germânicas em relação às demandas populares.   </w:t>
      </w:r>
    </w:p>
    <w:p w14:paraId="3E3601C1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D) provocou a queda do czarismo na Rússia e a formação de um governo provisório de caráter socialista.   </w:t>
      </w:r>
    </w:p>
    <w:p w14:paraId="38EE171D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  <w:r w:rsidRPr="00C40CB7">
        <w:rPr>
          <w:rFonts w:cs="Arial"/>
          <w:sz w:val="20"/>
          <w:szCs w:val="20"/>
        </w:rPr>
        <w:t xml:space="preserve">E) caracterizou-se pela presença de movimentos nacionalistas, liberais, republicanos e socialistas.   </w:t>
      </w:r>
    </w:p>
    <w:p w14:paraId="20F990C0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jc w:val="left"/>
        <w:textAlignment w:val="auto"/>
        <w:rPr>
          <w:rFonts w:cs="Arial"/>
          <w:sz w:val="20"/>
          <w:szCs w:val="20"/>
        </w:rPr>
      </w:pPr>
    </w:p>
    <w:p w14:paraId="2132C7BB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</w:p>
    <w:p w14:paraId="34250A54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</w:p>
    <w:p w14:paraId="0C0A179A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</w:p>
    <w:p w14:paraId="7A3835AD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</w:p>
    <w:p w14:paraId="597019AB" w14:textId="77777777" w:rsidR="008C2F53" w:rsidRPr="00C40CB7" w:rsidRDefault="008C2F53" w:rsidP="008C2F53">
      <w:pPr>
        <w:overflowPunct/>
        <w:autoSpaceDE/>
        <w:autoSpaceDN/>
        <w:adjustRightInd/>
        <w:spacing w:after="200" w:line="276" w:lineRule="auto"/>
        <w:textAlignment w:val="auto"/>
        <w:rPr>
          <w:rFonts w:cs="Arial"/>
          <w:sz w:val="20"/>
          <w:szCs w:val="20"/>
        </w:rPr>
      </w:pPr>
    </w:p>
    <w:p w14:paraId="3C959DA6" w14:textId="77777777" w:rsidR="008C2F53" w:rsidRPr="00C40CB7" w:rsidRDefault="008C2F53" w:rsidP="008C2F53">
      <w:pPr>
        <w:overflowPunct/>
        <w:autoSpaceDE/>
        <w:autoSpaceDN/>
        <w:adjustRightInd/>
        <w:spacing w:after="160" w:line="259" w:lineRule="auto"/>
        <w:jc w:val="left"/>
        <w:textAlignment w:val="auto"/>
        <w:rPr>
          <w:rFonts w:eastAsia="Aptos" w:cs="Arial"/>
          <w:kern w:val="2"/>
          <w:sz w:val="20"/>
          <w:szCs w:val="20"/>
          <w:lang w:eastAsia="en-US"/>
          <w14:ligatures w14:val="standardContextual"/>
        </w:rPr>
      </w:pPr>
    </w:p>
    <w:p w14:paraId="1A77A8E9" w14:textId="77777777" w:rsidR="009975D3" w:rsidRPr="00C40CB7" w:rsidRDefault="009975D3" w:rsidP="002E3C28">
      <w:pPr>
        <w:tabs>
          <w:tab w:val="left" w:pos="993"/>
        </w:tabs>
        <w:spacing w:line="240" w:lineRule="auto"/>
        <w:rPr>
          <w:rFonts w:cs="Arial"/>
          <w:sz w:val="20"/>
          <w:szCs w:val="20"/>
        </w:rPr>
      </w:pPr>
    </w:p>
    <w:sectPr w:rsidR="009975D3" w:rsidRPr="00C40CB7" w:rsidSect="00326EFB">
      <w:headerReference w:type="even" r:id="rId18"/>
      <w:headerReference w:type="default" r:id="rId19"/>
      <w:headerReference w:type="first" r:id="rId20"/>
      <w:type w:val="continuous"/>
      <w:pgSz w:w="11907" w:h="16840" w:code="9"/>
      <w:pgMar w:top="1701" w:right="907" w:bottom="907" w:left="907" w:header="851" w:footer="737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93DAD" w14:textId="77777777" w:rsidR="0082588D" w:rsidRDefault="0082588D">
      <w:r>
        <w:separator/>
      </w:r>
    </w:p>
  </w:endnote>
  <w:endnote w:type="continuationSeparator" w:id="0">
    <w:p w14:paraId="46E93434" w14:textId="77777777" w:rsidR="0082588D" w:rsidRDefault="00825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BFF4F" w14:textId="7777777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14028C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541E36B1" w14:textId="3496EAD5" w:rsidR="006E7301" w:rsidRDefault="00F0714A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5168" behindDoc="0" locked="0" layoutInCell="1" allowOverlap="1" wp14:anchorId="4962F1CF" wp14:editId="089AC57C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4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624F899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20F3C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2F0F2360" w14:textId="3E3CB640" w:rsidR="00B45E8D" w:rsidRDefault="00F0714A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6192" behindDoc="0" locked="0" layoutInCell="1" allowOverlap="1" wp14:anchorId="73E35C9A" wp14:editId="11A33BE0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3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CCE4A7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49A9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1DB8BD07" w14:textId="540492A5" w:rsidR="00B45E8D" w:rsidRDefault="00F0714A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7216" behindDoc="0" locked="0" layoutInCell="1" allowOverlap="1" wp14:anchorId="4F06E56D" wp14:editId="4D5BC0E9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33866D8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364E7" w14:textId="77777777" w:rsidR="0082588D" w:rsidRDefault="0082588D">
      <w:r>
        <w:separator/>
      </w:r>
    </w:p>
  </w:footnote>
  <w:footnote w:type="continuationSeparator" w:id="0">
    <w:p w14:paraId="774A6A2F" w14:textId="77777777" w:rsidR="0082588D" w:rsidRDefault="00825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E539" w14:textId="7568CD3C" w:rsidR="000B233C" w:rsidRDefault="00F0714A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A0251B" wp14:editId="1359C1B4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CA8D75" w14:textId="77777777" w:rsidR="00B17540" w:rsidRDefault="00B17540">
    <w:pPr>
      <w:pStyle w:val="Cabealho"/>
    </w:pPr>
  </w:p>
  <w:p w14:paraId="2EA17B80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040BA79C" w14:textId="6EB88F89" w:rsidR="000B233C" w:rsidRDefault="00F0714A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drawing>
        <wp:anchor distT="0" distB="0" distL="114300" distR="114300" simplePos="0" relativeHeight="251652096" behindDoc="1" locked="0" layoutInCell="0" allowOverlap="1" wp14:anchorId="68BC55BF" wp14:editId="604C6B2D">
          <wp:simplePos x="0" y="0"/>
          <wp:positionH relativeFrom="margin">
            <wp:posOffset>4573905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39" name="Imagem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1072" behindDoc="1" locked="0" layoutInCell="0" allowOverlap="1" wp14:anchorId="1C327188" wp14:editId="4EAC09D6">
          <wp:simplePos x="0" y="0"/>
          <wp:positionH relativeFrom="margin">
            <wp:posOffset>916305</wp:posOffset>
          </wp:positionH>
          <wp:positionV relativeFrom="margin">
            <wp:posOffset>307975</wp:posOffset>
          </wp:positionV>
          <wp:extent cx="1146175" cy="8011160"/>
          <wp:effectExtent l="0" t="0" r="0" b="0"/>
          <wp:wrapNone/>
          <wp:docPr id="38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8DE25" w14:textId="542D414A" w:rsidR="000B233C" w:rsidRDefault="00F0714A" w:rsidP="00B17540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63A2C85" wp14:editId="6C8F6547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BEFDB9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7318523C" w14:textId="6FE20537" w:rsidR="000B233C" w:rsidRDefault="00F0714A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drawing>
        <wp:anchor distT="0" distB="0" distL="114300" distR="114300" simplePos="0" relativeHeight="251653120" behindDoc="1" locked="0" layoutInCell="0" allowOverlap="1" wp14:anchorId="10CADA6A" wp14:editId="1B859CEE">
          <wp:simplePos x="0" y="0"/>
          <wp:positionH relativeFrom="margin">
            <wp:posOffset>830580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40" name="Image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4144" behindDoc="1" locked="0" layoutInCell="0" allowOverlap="1" wp14:anchorId="5129BDCB" wp14:editId="3FE32556">
          <wp:simplePos x="0" y="0"/>
          <wp:positionH relativeFrom="margin">
            <wp:posOffset>4354830</wp:posOffset>
          </wp:positionH>
          <wp:positionV relativeFrom="margin">
            <wp:posOffset>520700</wp:posOffset>
          </wp:positionV>
          <wp:extent cx="1146175" cy="8011160"/>
          <wp:effectExtent l="0" t="0" r="0" b="0"/>
          <wp:wrapNone/>
          <wp:docPr id="41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DDE9D" w14:textId="15983956" w:rsidR="00EF1BE2" w:rsidRDefault="00F0714A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46467F1" wp14:editId="3202197A">
          <wp:simplePos x="0" y="0"/>
          <wp:positionH relativeFrom="column">
            <wp:posOffset>2269490</wp:posOffset>
          </wp:positionH>
          <wp:positionV relativeFrom="paragraph">
            <wp:posOffset>-548640</wp:posOffset>
          </wp:positionV>
          <wp:extent cx="1926590" cy="999490"/>
          <wp:effectExtent l="0" t="0" r="0" b="0"/>
          <wp:wrapNone/>
          <wp:docPr id="61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999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81DD4B" w14:textId="6160AC43" w:rsidR="00EF1BE2" w:rsidRDefault="00F0714A" w:rsidP="000E2512">
    <w:pPr>
      <w:pStyle w:val="Cabealho"/>
      <w:ind w:left="-284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AF48D40" wp14:editId="63236EDB">
              <wp:simplePos x="0" y="0"/>
              <wp:positionH relativeFrom="margin">
                <wp:posOffset>-199390</wp:posOffset>
              </wp:positionH>
              <wp:positionV relativeFrom="paragraph">
                <wp:posOffset>88265</wp:posOffset>
              </wp:positionV>
              <wp:extent cx="6897370" cy="942975"/>
              <wp:effectExtent l="0" t="0" r="36830" b="47625"/>
              <wp:wrapNone/>
              <wp:docPr id="50698200" name="Caixa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7370" cy="942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19C0424A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26"/>
                              <w:szCs w:val="26"/>
                            </w:rPr>
                          </w:pPr>
                          <w:r w:rsidRPr="00A166D0">
                            <w:rPr>
                              <w:rFonts w:ascii="Calibri" w:hAnsi="Calibri" w:cs="Calibri"/>
                              <w:b/>
                              <w:sz w:val="26"/>
                              <w:szCs w:val="26"/>
                            </w:rPr>
                            <w:t>ATIVIDADE DE RECUPERAÇÃO – ENSINO MÉDIO</w:t>
                          </w:r>
                        </w:p>
                        <w:p w14:paraId="7FBBDAE9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</w:p>
                        <w:p w14:paraId="64CA082A" w14:textId="77777777" w:rsidR="00E93D03" w:rsidRPr="00570CD3" w:rsidRDefault="00E93D03" w:rsidP="00E93D03">
                          <w:pPr>
                            <w:spacing w:line="240" w:lineRule="auto"/>
                            <w:rPr>
                              <w:rFonts w:ascii="Calibri" w:hAnsi="Calibri" w:cs="Calibri"/>
                              <w:b/>
                              <w:sz w:val="28"/>
                              <w:szCs w:val="20"/>
                            </w:rPr>
                          </w:pPr>
                          <w:r w:rsidRPr="00570CD3">
                            <w:rPr>
                              <w:rFonts w:ascii="Calibri" w:hAnsi="Calibri" w:cs="Calibri"/>
                              <w:b/>
                              <w:szCs w:val="20"/>
                            </w:rPr>
                            <w:t xml:space="preserve">Esta atividade de </w:t>
                          </w:r>
                          <w:r w:rsidRPr="00570CD3">
                            <w:rPr>
                              <w:rFonts w:ascii="Calibri" w:hAnsi="Calibri" w:cs="Calibri"/>
                              <w:b/>
                              <w:sz w:val="24"/>
                              <w:szCs w:val="20"/>
                            </w:rPr>
                            <w:t>recuperação paralela</w:t>
                          </w:r>
                          <w:r w:rsidRPr="00570CD3">
                            <w:rPr>
                              <w:rFonts w:ascii="Calibri" w:hAnsi="Calibri" w:cs="Calibri"/>
                              <w:b/>
                              <w:szCs w:val="20"/>
                            </w:rPr>
                            <w:t>, bem como as aulas expositivas e demais instrumentos de aprendizagem, faz parte das estratégias utilizadas pela equipe de professores e visa a prover estudos de recuperação como determinam a lei 9.394/96 e a Deliberação 155/2017 (Art. 18, inciso V).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F48D40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26" type="#_x0000_t202" style="position:absolute;left:0;text-align:left;margin-left:-15.7pt;margin-top:6.95pt;width:543.1pt;height:74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">
              <v:shadow on="t"/>
              <v:textbox>
                <w:txbxContent>
                  <w:p w14:paraId="19C0424A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26"/>
                        <w:szCs w:val="26"/>
                      </w:rPr>
                    </w:pPr>
                    <w:r w:rsidRPr="00A166D0">
                      <w:rPr>
                        <w:rFonts w:ascii="Calibri" w:hAnsi="Calibri" w:cs="Calibri"/>
                        <w:b/>
                        <w:sz w:val="26"/>
                        <w:szCs w:val="26"/>
                      </w:rPr>
                      <w:t>ATIVIDADE DE RECUPERAÇÃO – ENSINO MÉDIO</w:t>
                    </w:r>
                  </w:p>
                  <w:p w14:paraId="7FBBDAE9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</w:p>
                  <w:p w14:paraId="64CA082A" w14:textId="77777777" w:rsidR="00E93D03" w:rsidRPr="00570CD3" w:rsidRDefault="00E93D03" w:rsidP="00E93D03">
                    <w:pPr>
                      <w:spacing w:line="240" w:lineRule="auto"/>
                      <w:rPr>
                        <w:rFonts w:ascii="Calibri" w:hAnsi="Calibri" w:cs="Calibri"/>
                        <w:b/>
                        <w:sz w:val="28"/>
                        <w:szCs w:val="20"/>
                      </w:rPr>
                    </w:pPr>
                    <w:r w:rsidRPr="00570CD3">
                      <w:rPr>
                        <w:rFonts w:ascii="Calibri" w:hAnsi="Calibri" w:cs="Calibri"/>
                        <w:b/>
                        <w:szCs w:val="20"/>
                      </w:rPr>
                      <w:t xml:space="preserve">Esta atividade de </w:t>
                    </w:r>
                    <w:r w:rsidRPr="00570CD3">
                      <w:rPr>
                        <w:rFonts w:ascii="Calibri" w:hAnsi="Calibri" w:cs="Calibri"/>
                        <w:b/>
                        <w:sz w:val="24"/>
                        <w:szCs w:val="20"/>
                      </w:rPr>
                      <w:t>recuperação paralela</w:t>
                    </w:r>
                    <w:r w:rsidRPr="00570CD3">
                      <w:rPr>
                        <w:rFonts w:ascii="Calibri" w:hAnsi="Calibri" w:cs="Calibri"/>
                        <w:b/>
                        <w:szCs w:val="20"/>
                      </w:rPr>
                      <w:t>, bem como as aulas expositivas e demais instrumentos de aprendizagem, faz parte das estratégias utilizadas pela equipe de professores e visa a prover estudos de recuperação como determinam a lei 9.394/96 e a Deliberação 155/2017 (Art. 18, inciso V).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41338D4" w14:textId="77777777" w:rsidR="00EF1BE2" w:rsidRPr="00EF1BE2" w:rsidRDefault="00EF1BE2" w:rsidP="000E2512">
    <w:pPr>
      <w:pStyle w:val="Cabealho"/>
      <w:ind w:left="-284"/>
      <w:jc w:val="center"/>
      <w:rPr>
        <w:noProof/>
        <w:sz w:val="28"/>
        <w:szCs w:val="28"/>
      </w:rPr>
    </w:pPr>
  </w:p>
  <w:p w14:paraId="7077C16E" w14:textId="77777777" w:rsidR="00A166D0" w:rsidRPr="00EF1BE2" w:rsidRDefault="00A166D0" w:rsidP="000E2512">
    <w:pPr>
      <w:pStyle w:val="Cabealho"/>
      <w:ind w:left="-284"/>
      <w:jc w:val="center"/>
      <w:rPr>
        <w:noProof/>
        <w:sz w:val="28"/>
        <w:szCs w:val="28"/>
      </w:rPr>
    </w:pPr>
  </w:p>
  <w:p w14:paraId="3D447D71" w14:textId="77777777" w:rsidR="00A166D0" w:rsidRDefault="00A166D0" w:rsidP="000E2512">
    <w:pPr>
      <w:pStyle w:val="Cabealho"/>
      <w:ind w:left="-284"/>
      <w:jc w:val="center"/>
      <w:rPr>
        <w:noProof/>
      </w:rPr>
    </w:pPr>
  </w:p>
  <w:p w14:paraId="078D21DC" w14:textId="729D111E" w:rsidR="00A166D0" w:rsidRDefault="0082588D" w:rsidP="000E2512">
    <w:pPr>
      <w:pStyle w:val="Cabealho"/>
      <w:ind w:left="-284"/>
      <w:jc w:val="center"/>
      <w:rPr>
        <w:noProof/>
      </w:rPr>
    </w:pPr>
    <w:r>
      <w:rPr>
        <w:noProof/>
      </w:rPr>
      <w:pict w14:anchorId="22DB9E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6745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 w:rsidR="00F0714A">
      <w:rPr>
        <w:noProof/>
      </w:rPr>
      <w:drawing>
        <wp:anchor distT="0" distB="0" distL="114300" distR="114300" simplePos="0" relativeHeight="251650048" behindDoc="1" locked="0" layoutInCell="0" allowOverlap="1" wp14:anchorId="5E4D1AB8" wp14:editId="5B915CAC">
          <wp:simplePos x="0" y="0"/>
          <wp:positionH relativeFrom="margin">
            <wp:posOffset>4354830</wp:posOffset>
          </wp:positionH>
          <wp:positionV relativeFrom="margin">
            <wp:posOffset>-698500</wp:posOffset>
          </wp:positionV>
          <wp:extent cx="1146175" cy="8011160"/>
          <wp:effectExtent l="0" t="0" r="0" b="0"/>
          <wp:wrapNone/>
          <wp:docPr id="37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7"/>
                  <pic:cNvPicPr>
                    <a:picLocks noChangeAspect="1" noChangeArrowheads="1"/>
                  </pic:cNvPicPr>
                </pic:nvPicPr>
                <pic:blipFill>
                  <a:blip r:embed="rId3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58A52D" w14:textId="77777777" w:rsidR="00A166D0" w:rsidRDefault="00A166D0" w:rsidP="000E2512">
    <w:pPr>
      <w:pStyle w:val="Cabealho"/>
      <w:ind w:left="-284"/>
      <w:jc w:val="center"/>
      <w:rPr>
        <w:noProof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B3F8" w14:textId="09EF5EA6" w:rsidR="003028E1" w:rsidRDefault="00F0714A" w:rsidP="003028E1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69C659B" wp14:editId="1F1F2C33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213326378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CD1AD1" w14:textId="77777777" w:rsidR="003028E1" w:rsidRDefault="003028E1" w:rsidP="003028E1">
    <w:pPr>
      <w:pStyle w:val="Cabealho"/>
    </w:pPr>
  </w:p>
  <w:p w14:paraId="1E8AA915" w14:textId="77777777" w:rsidR="003028E1" w:rsidRPr="009B152C" w:rsidRDefault="003028E1" w:rsidP="003028E1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4885467F" w14:textId="248C32AA" w:rsidR="00933E75" w:rsidRDefault="00F0714A">
    <w:pPr>
      <w:pStyle w:val="Cabealho"/>
    </w:pPr>
    <w:r>
      <w:rPr>
        <w:noProof/>
      </w:rPr>
      <w:drawing>
        <wp:anchor distT="0" distB="0" distL="114300" distR="114300" simplePos="0" relativeHeight="251664384" behindDoc="1" locked="0" layoutInCell="0" allowOverlap="1" wp14:anchorId="48F2D170" wp14:editId="14CD56EB">
          <wp:simplePos x="0" y="0"/>
          <wp:positionH relativeFrom="margin">
            <wp:posOffset>754380</wp:posOffset>
          </wp:positionH>
          <wp:positionV relativeFrom="margin">
            <wp:posOffset>-149225</wp:posOffset>
          </wp:positionV>
          <wp:extent cx="1146175" cy="8011160"/>
          <wp:effectExtent l="0" t="0" r="0" b="0"/>
          <wp:wrapNone/>
          <wp:docPr id="1541249719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6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0" allowOverlap="1" wp14:anchorId="26597F45" wp14:editId="5AC1B9FD">
          <wp:simplePos x="0" y="0"/>
          <wp:positionH relativeFrom="margin">
            <wp:posOffset>4802505</wp:posOffset>
          </wp:positionH>
          <wp:positionV relativeFrom="margin">
            <wp:posOffset>-48895</wp:posOffset>
          </wp:positionV>
          <wp:extent cx="1146175" cy="8011160"/>
          <wp:effectExtent l="0" t="0" r="0" b="0"/>
          <wp:wrapNone/>
          <wp:docPr id="20792739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F92D4" w14:textId="109335D1" w:rsidR="000B233C" w:rsidRDefault="00F0714A">
    <w:pPr>
      <w:pStyle w:val="Cabealh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52743BC7" wp14:editId="3FE007AC">
          <wp:simplePos x="0" y="0"/>
          <wp:positionH relativeFrom="column">
            <wp:posOffset>4818380</wp:posOffset>
          </wp:positionH>
          <wp:positionV relativeFrom="paragraph">
            <wp:posOffset>-275590</wp:posOffset>
          </wp:positionV>
          <wp:extent cx="1811655" cy="941705"/>
          <wp:effectExtent l="0" t="0" r="0" b="0"/>
          <wp:wrapNone/>
          <wp:docPr id="1614163501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F0A0D6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30571912" w14:textId="2254CBB3" w:rsidR="000B233C" w:rsidRDefault="00F0714A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0" allowOverlap="1" wp14:anchorId="50262698" wp14:editId="7495651C">
          <wp:simplePos x="0" y="0"/>
          <wp:positionH relativeFrom="margin">
            <wp:posOffset>1230630</wp:posOffset>
          </wp:positionH>
          <wp:positionV relativeFrom="margin">
            <wp:posOffset>-12700</wp:posOffset>
          </wp:positionV>
          <wp:extent cx="1146175" cy="8011160"/>
          <wp:effectExtent l="0" t="0" r="0" b="0"/>
          <wp:wrapNone/>
          <wp:docPr id="203256331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8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0" allowOverlap="1" wp14:anchorId="62A3853C" wp14:editId="5C2A14CA">
          <wp:simplePos x="0" y="0"/>
          <wp:positionH relativeFrom="margin">
            <wp:posOffset>4507230</wp:posOffset>
          </wp:positionH>
          <wp:positionV relativeFrom="margin">
            <wp:posOffset>-117475</wp:posOffset>
          </wp:positionV>
          <wp:extent cx="1146175" cy="8011160"/>
          <wp:effectExtent l="0" t="0" r="0" b="0"/>
          <wp:wrapNone/>
          <wp:docPr id="3855894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052" r="83215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8011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71A2F" w14:textId="77777777" w:rsidR="00933E75" w:rsidRDefault="0082588D">
    <w:pPr>
      <w:pStyle w:val="Cabealho"/>
    </w:pPr>
    <w:r>
      <w:rPr>
        <w:noProof/>
      </w:rPr>
      <w:pict w14:anchorId="363B3D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6848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730"/>
    <w:multiLevelType w:val="multilevel"/>
    <w:tmpl w:val="739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8A6A20"/>
    <w:multiLevelType w:val="multilevel"/>
    <w:tmpl w:val="137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084620"/>
    <w:multiLevelType w:val="multilevel"/>
    <w:tmpl w:val="0F5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176956"/>
    <w:multiLevelType w:val="hybridMultilevel"/>
    <w:tmpl w:val="03623166"/>
    <w:lvl w:ilvl="0" w:tplc="4AE21F8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16626"/>
    <w:multiLevelType w:val="multilevel"/>
    <w:tmpl w:val="01A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A048A"/>
    <w:multiLevelType w:val="multilevel"/>
    <w:tmpl w:val="BBB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4E2A5F"/>
    <w:multiLevelType w:val="multilevel"/>
    <w:tmpl w:val="683C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A23BA7"/>
    <w:multiLevelType w:val="multilevel"/>
    <w:tmpl w:val="7F32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A08A6"/>
    <w:multiLevelType w:val="hybridMultilevel"/>
    <w:tmpl w:val="72C20026"/>
    <w:lvl w:ilvl="0" w:tplc="2B304D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D053B0"/>
    <w:multiLevelType w:val="hybridMultilevel"/>
    <w:tmpl w:val="A2F0434E"/>
    <w:lvl w:ilvl="0" w:tplc="915E2F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6C1BEF"/>
    <w:multiLevelType w:val="multilevel"/>
    <w:tmpl w:val="D1D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7D922797"/>
    <w:multiLevelType w:val="multilevel"/>
    <w:tmpl w:val="0D5E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CE27E8"/>
    <w:multiLevelType w:val="hybridMultilevel"/>
    <w:tmpl w:val="0C2A0A48"/>
    <w:lvl w:ilvl="0" w:tplc="FFCCBF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689934">
    <w:abstractNumId w:val="11"/>
  </w:num>
  <w:num w:numId="2" w16cid:durableId="1972051368">
    <w:abstractNumId w:val="4"/>
  </w:num>
  <w:num w:numId="3" w16cid:durableId="310444183">
    <w:abstractNumId w:val="2"/>
  </w:num>
  <w:num w:numId="4" w16cid:durableId="659044105">
    <w:abstractNumId w:val="6"/>
  </w:num>
  <w:num w:numId="5" w16cid:durableId="557084695">
    <w:abstractNumId w:val="0"/>
  </w:num>
  <w:num w:numId="6" w16cid:durableId="1390374269">
    <w:abstractNumId w:val="5"/>
  </w:num>
  <w:num w:numId="7" w16cid:durableId="1879731350">
    <w:abstractNumId w:val="1"/>
  </w:num>
  <w:num w:numId="8" w16cid:durableId="992954511">
    <w:abstractNumId w:val="12"/>
  </w:num>
  <w:num w:numId="9" w16cid:durableId="1359045791">
    <w:abstractNumId w:val="13"/>
  </w:num>
  <w:num w:numId="10" w16cid:durableId="1778523405">
    <w:abstractNumId w:val="3"/>
  </w:num>
  <w:num w:numId="11" w16cid:durableId="1026098279">
    <w:abstractNumId w:val="8"/>
  </w:num>
  <w:num w:numId="12" w16cid:durableId="2080395697">
    <w:abstractNumId w:val="10"/>
  </w:num>
  <w:num w:numId="13" w16cid:durableId="1284309676">
    <w:abstractNumId w:val="7"/>
  </w:num>
  <w:num w:numId="14" w16cid:durableId="718822514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4873"/>
    <w:rsid w:val="0003647F"/>
    <w:rsid w:val="00036B61"/>
    <w:rsid w:val="0004321D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34C"/>
    <w:rsid w:val="000759AF"/>
    <w:rsid w:val="00081820"/>
    <w:rsid w:val="0008510E"/>
    <w:rsid w:val="000872DF"/>
    <w:rsid w:val="00091F46"/>
    <w:rsid w:val="00092EDD"/>
    <w:rsid w:val="00094042"/>
    <w:rsid w:val="00094168"/>
    <w:rsid w:val="00094986"/>
    <w:rsid w:val="00094A40"/>
    <w:rsid w:val="0009636B"/>
    <w:rsid w:val="00096987"/>
    <w:rsid w:val="000A10AC"/>
    <w:rsid w:val="000A10BF"/>
    <w:rsid w:val="000A190C"/>
    <w:rsid w:val="000A437E"/>
    <w:rsid w:val="000A52F8"/>
    <w:rsid w:val="000A7670"/>
    <w:rsid w:val="000B1CAF"/>
    <w:rsid w:val="000B1EE0"/>
    <w:rsid w:val="000B233C"/>
    <w:rsid w:val="000B2C86"/>
    <w:rsid w:val="000B6081"/>
    <w:rsid w:val="000B73C8"/>
    <w:rsid w:val="000B7ED9"/>
    <w:rsid w:val="000B7F99"/>
    <w:rsid w:val="000C543F"/>
    <w:rsid w:val="000D3040"/>
    <w:rsid w:val="000E0B3C"/>
    <w:rsid w:val="000E2512"/>
    <w:rsid w:val="000E3B8B"/>
    <w:rsid w:val="000E67F7"/>
    <w:rsid w:val="000F1A8B"/>
    <w:rsid w:val="000F30A5"/>
    <w:rsid w:val="00101070"/>
    <w:rsid w:val="001041B3"/>
    <w:rsid w:val="00104DA5"/>
    <w:rsid w:val="001137BE"/>
    <w:rsid w:val="00115E3C"/>
    <w:rsid w:val="00123B8F"/>
    <w:rsid w:val="001250BE"/>
    <w:rsid w:val="00136FD6"/>
    <w:rsid w:val="0014028C"/>
    <w:rsid w:val="00142641"/>
    <w:rsid w:val="001467FB"/>
    <w:rsid w:val="001523A4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E6C5B"/>
    <w:rsid w:val="001F0A53"/>
    <w:rsid w:val="001F1757"/>
    <w:rsid w:val="001F2046"/>
    <w:rsid w:val="001F7836"/>
    <w:rsid w:val="00201776"/>
    <w:rsid w:val="002034DF"/>
    <w:rsid w:val="00206546"/>
    <w:rsid w:val="00213F3F"/>
    <w:rsid w:val="0022066E"/>
    <w:rsid w:val="00224C3C"/>
    <w:rsid w:val="0023084F"/>
    <w:rsid w:val="00236B74"/>
    <w:rsid w:val="00237649"/>
    <w:rsid w:val="00240E98"/>
    <w:rsid w:val="00247485"/>
    <w:rsid w:val="00247F6C"/>
    <w:rsid w:val="00250D13"/>
    <w:rsid w:val="00253490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817FC"/>
    <w:rsid w:val="00281A42"/>
    <w:rsid w:val="00287494"/>
    <w:rsid w:val="0029082C"/>
    <w:rsid w:val="00291706"/>
    <w:rsid w:val="00294FAB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1DD5"/>
    <w:rsid w:val="002C244A"/>
    <w:rsid w:val="002C4119"/>
    <w:rsid w:val="002C5530"/>
    <w:rsid w:val="002C59A5"/>
    <w:rsid w:val="002C739D"/>
    <w:rsid w:val="002D1C29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28E1"/>
    <w:rsid w:val="0030471B"/>
    <w:rsid w:val="00305C02"/>
    <w:rsid w:val="003076B0"/>
    <w:rsid w:val="00307A7A"/>
    <w:rsid w:val="0031089E"/>
    <w:rsid w:val="00310A77"/>
    <w:rsid w:val="003131FE"/>
    <w:rsid w:val="0031385B"/>
    <w:rsid w:val="00315625"/>
    <w:rsid w:val="00316364"/>
    <w:rsid w:val="00326EFB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657"/>
    <w:rsid w:val="00364790"/>
    <w:rsid w:val="003648D2"/>
    <w:rsid w:val="003655B5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D7650"/>
    <w:rsid w:val="003E7D38"/>
    <w:rsid w:val="003F1E4D"/>
    <w:rsid w:val="003F22E9"/>
    <w:rsid w:val="00401DCA"/>
    <w:rsid w:val="0040223C"/>
    <w:rsid w:val="004029B9"/>
    <w:rsid w:val="00403BAC"/>
    <w:rsid w:val="00406B6F"/>
    <w:rsid w:val="004100A0"/>
    <w:rsid w:val="0041041D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5E5"/>
    <w:rsid w:val="00423911"/>
    <w:rsid w:val="00423E9E"/>
    <w:rsid w:val="0042583B"/>
    <w:rsid w:val="004273AD"/>
    <w:rsid w:val="00427EA3"/>
    <w:rsid w:val="00435128"/>
    <w:rsid w:val="0043769A"/>
    <w:rsid w:val="00440792"/>
    <w:rsid w:val="00442297"/>
    <w:rsid w:val="00451434"/>
    <w:rsid w:val="0045498F"/>
    <w:rsid w:val="00454AA5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97D97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3513"/>
    <w:rsid w:val="004E7559"/>
    <w:rsid w:val="004F1C37"/>
    <w:rsid w:val="004F3093"/>
    <w:rsid w:val="004F3154"/>
    <w:rsid w:val="004F66EE"/>
    <w:rsid w:val="00501D4A"/>
    <w:rsid w:val="0050205A"/>
    <w:rsid w:val="00507B5E"/>
    <w:rsid w:val="00510E56"/>
    <w:rsid w:val="00510FE9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FDD"/>
    <w:rsid w:val="00533E72"/>
    <w:rsid w:val="00541AD7"/>
    <w:rsid w:val="0054772E"/>
    <w:rsid w:val="005509F8"/>
    <w:rsid w:val="005571BB"/>
    <w:rsid w:val="005579A6"/>
    <w:rsid w:val="005602A3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359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090A"/>
    <w:rsid w:val="005D0C1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4F76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506C"/>
    <w:rsid w:val="006C0B70"/>
    <w:rsid w:val="006C14CB"/>
    <w:rsid w:val="006C40F1"/>
    <w:rsid w:val="006C45A2"/>
    <w:rsid w:val="006C656F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32B0D"/>
    <w:rsid w:val="00733947"/>
    <w:rsid w:val="00733E72"/>
    <w:rsid w:val="007341E0"/>
    <w:rsid w:val="00734F9D"/>
    <w:rsid w:val="0073526C"/>
    <w:rsid w:val="00735D9A"/>
    <w:rsid w:val="007409E5"/>
    <w:rsid w:val="00740C3C"/>
    <w:rsid w:val="00742781"/>
    <w:rsid w:val="00744A52"/>
    <w:rsid w:val="0074547D"/>
    <w:rsid w:val="00745902"/>
    <w:rsid w:val="007472CF"/>
    <w:rsid w:val="00750C1E"/>
    <w:rsid w:val="0075192A"/>
    <w:rsid w:val="00752A0F"/>
    <w:rsid w:val="00752A3F"/>
    <w:rsid w:val="00761BF3"/>
    <w:rsid w:val="0076256B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2BC5"/>
    <w:rsid w:val="007879AC"/>
    <w:rsid w:val="00794314"/>
    <w:rsid w:val="0079560B"/>
    <w:rsid w:val="007956AF"/>
    <w:rsid w:val="00795B0F"/>
    <w:rsid w:val="007979DE"/>
    <w:rsid w:val="007A32CA"/>
    <w:rsid w:val="007A38CF"/>
    <w:rsid w:val="007A5A27"/>
    <w:rsid w:val="007A6082"/>
    <w:rsid w:val="007B1340"/>
    <w:rsid w:val="007B3B23"/>
    <w:rsid w:val="007B4660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7317"/>
    <w:rsid w:val="008166ED"/>
    <w:rsid w:val="0082294F"/>
    <w:rsid w:val="0082588D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015"/>
    <w:rsid w:val="00872ABF"/>
    <w:rsid w:val="008746F4"/>
    <w:rsid w:val="00875628"/>
    <w:rsid w:val="00876A1A"/>
    <w:rsid w:val="008809C5"/>
    <w:rsid w:val="00883C28"/>
    <w:rsid w:val="008867D2"/>
    <w:rsid w:val="00887399"/>
    <w:rsid w:val="00894E4A"/>
    <w:rsid w:val="008951C4"/>
    <w:rsid w:val="008A0D20"/>
    <w:rsid w:val="008A4358"/>
    <w:rsid w:val="008B0C39"/>
    <w:rsid w:val="008B2286"/>
    <w:rsid w:val="008B38FE"/>
    <w:rsid w:val="008B4381"/>
    <w:rsid w:val="008B4CCB"/>
    <w:rsid w:val="008B5FFB"/>
    <w:rsid w:val="008B6E1E"/>
    <w:rsid w:val="008C2F53"/>
    <w:rsid w:val="008D1215"/>
    <w:rsid w:val="008D4096"/>
    <w:rsid w:val="008D5311"/>
    <w:rsid w:val="008D642C"/>
    <w:rsid w:val="008E1C03"/>
    <w:rsid w:val="008E2A60"/>
    <w:rsid w:val="008E388E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8DC"/>
    <w:rsid w:val="00932939"/>
    <w:rsid w:val="00932BDB"/>
    <w:rsid w:val="00932DDE"/>
    <w:rsid w:val="00933E75"/>
    <w:rsid w:val="0093535D"/>
    <w:rsid w:val="00935403"/>
    <w:rsid w:val="009364E5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75D09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C5D81"/>
    <w:rsid w:val="009D5DB3"/>
    <w:rsid w:val="009D60CE"/>
    <w:rsid w:val="009D6A08"/>
    <w:rsid w:val="009E1E42"/>
    <w:rsid w:val="009E20A5"/>
    <w:rsid w:val="009E72D3"/>
    <w:rsid w:val="009F070D"/>
    <w:rsid w:val="009F3BC3"/>
    <w:rsid w:val="009F51F1"/>
    <w:rsid w:val="009F550A"/>
    <w:rsid w:val="009F56C2"/>
    <w:rsid w:val="00A0652A"/>
    <w:rsid w:val="00A105EC"/>
    <w:rsid w:val="00A11B5D"/>
    <w:rsid w:val="00A12C43"/>
    <w:rsid w:val="00A166D0"/>
    <w:rsid w:val="00A17941"/>
    <w:rsid w:val="00A224B9"/>
    <w:rsid w:val="00A26C32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0391"/>
    <w:rsid w:val="00A6136A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0D44"/>
    <w:rsid w:val="00AA2E5C"/>
    <w:rsid w:val="00AA5BED"/>
    <w:rsid w:val="00AA5C73"/>
    <w:rsid w:val="00AB0E28"/>
    <w:rsid w:val="00AB0ED7"/>
    <w:rsid w:val="00AB4F5F"/>
    <w:rsid w:val="00AB54F3"/>
    <w:rsid w:val="00AB7120"/>
    <w:rsid w:val="00AC09EA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095A"/>
    <w:rsid w:val="00AE2103"/>
    <w:rsid w:val="00AE66C9"/>
    <w:rsid w:val="00AE77EF"/>
    <w:rsid w:val="00AF36C3"/>
    <w:rsid w:val="00B10326"/>
    <w:rsid w:val="00B10435"/>
    <w:rsid w:val="00B11BAE"/>
    <w:rsid w:val="00B13382"/>
    <w:rsid w:val="00B154B6"/>
    <w:rsid w:val="00B15C7B"/>
    <w:rsid w:val="00B15D45"/>
    <w:rsid w:val="00B17540"/>
    <w:rsid w:val="00B212BD"/>
    <w:rsid w:val="00B277BF"/>
    <w:rsid w:val="00B30FFB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9789F"/>
    <w:rsid w:val="00BA05F1"/>
    <w:rsid w:val="00BA2AA3"/>
    <w:rsid w:val="00BA3B83"/>
    <w:rsid w:val="00BB08E5"/>
    <w:rsid w:val="00BB149C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F160A"/>
    <w:rsid w:val="00BF3741"/>
    <w:rsid w:val="00BF6CED"/>
    <w:rsid w:val="00C01433"/>
    <w:rsid w:val="00C0373A"/>
    <w:rsid w:val="00C04DF9"/>
    <w:rsid w:val="00C04E67"/>
    <w:rsid w:val="00C05178"/>
    <w:rsid w:val="00C060CA"/>
    <w:rsid w:val="00C17AF2"/>
    <w:rsid w:val="00C2332A"/>
    <w:rsid w:val="00C2714A"/>
    <w:rsid w:val="00C350C8"/>
    <w:rsid w:val="00C35A68"/>
    <w:rsid w:val="00C37A71"/>
    <w:rsid w:val="00C40CB7"/>
    <w:rsid w:val="00C431E5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5110"/>
    <w:rsid w:val="00CF597B"/>
    <w:rsid w:val="00D029A2"/>
    <w:rsid w:val="00D031AF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455CF"/>
    <w:rsid w:val="00D46060"/>
    <w:rsid w:val="00D5451E"/>
    <w:rsid w:val="00D56EB7"/>
    <w:rsid w:val="00D63944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B76EF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0CE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93D03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F99"/>
    <w:rsid w:val="00ED177A"/>
    <w:rsid w:val="00ED2B10"/>
    <w:rsid w:val="00ED3338"/>
    <w:rsid w:val="00ED6C0F"/>
    <w:rsid w:val="00EE4452"/>
    <w:rsid w:val="00EF01FE"/>
    <w:rsid w:val="00EF06BD"/>
    <w:rsid w:val="00EF1BE2"/>
    <w:rsid w:val="00EF218C"/>
    <w:rsid w:val="00EF2932"/>
    <w:rsid w:val="00F02E78"/>
    <w:rsid w:val="00F049C7"/>
    <w:rsid w:val="00F05EDF"/>
    <w:rsid w:val="00F0714A"/>
    <w:rsid w:val="00F07B4A"/>
    <w:rsid w:val="00F07C4B"/>
    <w:rsid w:val="00F1384B"/>
    <w:rsid w:val="00F20A0D"/>
    <w:rsid w:val="00F20CB8"/>
    <w:rsid w:val="00F214D9"/>
    <w:rsid w:val="00F24394"/>
    <w:rsid w:val="00F25ED8"/>
    <w:rsid w:val="00F35A48"/>
    <w:rsid w:val="00F36917"/>
    <w:rsid w:val="00F37210"/>
    <w:rsid w:val="00F37840"/>
    <w:rsid w:val="00F37E72"/>
    <w:rsid w:val="00F40491"/>
    <w:rsid w:val="00F42144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310"/>
    <w:rsid w:val="00F83438"/>
    <w:rsid w:val="00F84FE1"/>
    <w:rsid w:val="00F90549"/>
    <w:rsid w:val="00F94197"/>
    <w:rsid w:val="00F95328"/>
    <w:rsid w:val="00FA3038"/>
    <w:rsid w:val="00FA49AC"/>
    <w:rsid w:val="00FA6E14"/>
    <w:rsid w:val="00FB0AD8"/>
    <w:rsid w:val="00FB6F3E"/>
    <w:rsid w:val="00FB7285"/>
    <w:rsid w:val="00FB749E"/>
    <w:rsid w:val="00FB7868"/>
    <w:rsid w:val="00FC0642"/>
    <w:rsid w:val="00FC0644"/>
    <w:rsid w:val="00FC0C45"/>
    <w:rsid w:val="00FC0E24"/>
    <w:rsid w:val="00FC3616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78754937"/>
  <w15:chartTrackingRefBased/>
  <w15:docId w15:val="{531804CF-FC81-46F8-B1B8-A69C22B80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1E5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paragraph" w:customStyle="1" w:styleId="MultipleChoiceAlternative">
    <w:name w:val="Multiple Choice Alternative"/>
    <w:basedOn w:val="Normal"/>
    <w:next w:val="Normal"/>
    <w:qFormat/>
    <w:rsid w:val="008B2286"/>
    <w:pPr>
      <w:suppressAutoHyphens/>
      <w:overflowPunct/>
      <w:autoSpaceDE/>
      <w:autoSpaceDN/>
      <w:adjustRightInd/>
      <w:spacing w:after="120" w:line="240" w:lineRule="auto"/>
      <w:ind w:left="232" w:hanging="232"/>
      <w:textAlignment w:val="auto"/>
    </w:pPr>
    <w:rPr>
      <w:rFonts w:eastAsiaTheme="minorHAnsi" w:cstheme="minorBidi"/>
      <w:sz w:val="20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9.w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2920</Words>
  <Characters>15774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18657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Celso Aparecido Siracusa</cp:lastModifiedBy>
  <cp:revision>2</cp:revision>
  <cp:lastPrinted>2025-02-10T10:14:00Z</cp:lastPrinted>
  <dcterms:created xsi:type="dcterms:W3CDTF">2026-09-07T00:14:00Z</dcterms:created>
  <dcterms:modified xsi:type="dcterms:W3CDTF">2026-09-07T00:14:00Z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