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E7A5" w14:textId="4DDF0747" w:rsidR="00936616" w:rsidRDefault="00936616" w:rsidP="00DF0657">
      <w:pPr>
        <w:rPr>
          <w:rFonts w:ascii="Arial" w:hAnsi="Arial" w:cs="Arial"/>
          <w:b/>
          <w:bCs/>
          <w:sz w:val="20"/>
          <w:szCs w:val="20"/>
          <w:u w:val="single"/>
        </w:rPr>
      </w:pPr>
      <w:r>
        <w:rPr>
          <w:rFonts w:ascii="Arial" w:hAnsi="Arial" w:cs="Arial"/>
          <w:b/>
          <w:bCs/>
          <w:sz w:val="20"/>
          <w:szCs w:val="20"/>
          <w:u w:val="single"/>
        </w:rPr>
        <w:t>TEXTOS DE APOIO</w:t>
      </w:r>
      <w:r w:rsidR="006A60FB">
        <w:rPr>
          <w:rFonts w:ascii="Arial" w:hAnsi="Arial" w:cs="Arial"/>
          <w:b/>
          <w:bCs/>
          <w:sz w:val="20"/>
          <w:szCs w:val="20"/>
          <w:u w:val="single"/>
        </w:rPr>
        <w:t xml:space="preserve"> (História)</w:t>
      </w:r>
    </w:p>
    <w:p w14:paraId="69683F60" w14:textId="6D6CC5E6" w:rsidR="00B4778F" w:rsidRDefault="00B4778F" w:rsidP="00DF0657">
      <w:pPr>
        <w:rPr>
          <w:rFonts w:ascii="Arial" w:hAnsi="Arial" w:cs="Arial"/>
          <w:b/>
          <w:bCs/>
          <w:sz w:val="20"/>
          <w:szCs w:val="20"/>
          <w:u w:val="single"/>
        </w:rPr>
      </w:pPr>
      <w:r>
        <w:rPr>
          <w:rFonts w:ascii="Arial" w:hAnsi="Arial" w:cs="Arial"/>
          <w:b/>
          <w:bCs/>
          <w:sz w:val="20"/>
          <w:szCs w:val="20"/>
          <w:u w:val="single"/>
        </w:rPr>
        <w:t>ATIVIDADE PEDAGÓGICA VALORADA- 2ª SÉRIE- 2 ETAPA DO 3º PERÍODO</w:t>
      </w:r>
    </w:p>
    <w:p w14:paraId="13CE4966" w14:textId="77777777" w:rsidR="00B4778F" w:rsidRDefault="00B4778F" w:rsidP="00DF0657">
      <w:pPr>
        <w:rPr>
          <w:rFonts w:ascii="Arial" w:hAnsi="Arial" w:cs="Arial"/>
          <w:b/>
          <w:bCs/>
          <w:sz w:val="20"/>
          <w:szCs w:val="20"/>
          <w:u w:val="single"/>
        </w:rPr>
      </w:pPr>
    </w:p>
    <w:p w14:paraId="6CFD1FA7" w14:textId="77777777" w:rsidR="00B4778F" w:rsidRDefault="00B4778F" w:rsidP="00DF0657">
      <w:pPr>
        <w:rPr>
          <w:rFonts w:ascii="Arial" w:hAnsi="Arial" w:cs="Arial"/>
          <w:b/>
          <w:bCs/>
          <w:sz w:val="20"/>
          <w:szCs w:val="20"/>
          <w:u w:val="single"/>
        </w:rPr>
      </w:pPr>
    </w:p>
    <w:p w14:paraId="331B4BA3" w14:textId="6BE28B0B" w:rsidR="00B4778F" w:rsidRDefault="00B4778F" w:rsidP="00DF0657">
      <w:pPr>
        <w:rPr>
          <w:rFonts w:ascii="Arial" w:hAnsi="Arial" w:cs="Arial"/>
          <w:b/>
          <w:bCs/>
          <w:sz w:val="20"/>
          <w:szCs w:val="20"/>
          <w:u w:val="single"/>
        </w:rPr>
      </w:pPr>
      <w:r>
        <w:rPr>
          <w:rFonts w:ascii="Arial" w:hAnsi="Arial" w:cs="Arial"/>
          <w:b/>
          <w:bCs/>
          <w:sz w:val="20"/>
          <w:szCs w:val="20"/>
          <w:u w:val="single"/>
        </w:rPr>
        <w:t xml:space="preserve">TEXTO1 </w:t>
      </w:r>
    </w:p>
    <w:p w14:paraId="6EDA3727" w14:textId="6B008B1B" w:rsidR="00DF0657" w:rsidRPr="00B4778F" w:rsidRDefault="00B4778F" w:rsidP="00DF0657">
      <w:pPr>
        <w:rPr>
          <w:b/>
          <w:bCs/>
        </w:rPr>
      </w:pPr>
      <w:r w:rsidRPr="00B4778F">
        <w:rPr>
          <w:b/>
          <w:bCs/>
        </w:rPr>
        <w:t>‘QUASE PRETOS,</w:t>
      </w:r>
      <w:r>
        <w:rPr>
          <w:b/>
          <w:bCs/>
        </w:rPr>
        <w:t xml:space="preserve"> </w:t>
      </w:r>
      <w:r w:rsidRPr="00B4778F">
        <w:rPr>
          <w:b/>
          <w:bCs/>
        </w:rPr>
        <w:t>QUASE BRANCOS’</w:t>
      </w:r>
    </w:p>
    <w:p w14:paraId="07AD89E6" w14:textId="4F96FFA5" w:rsidR="00DF0657" w:rsidRPr="00DF0657" w:rsidRDefault="00DF0657" w:rsidP="00DF0657">
      <w:pPr>
        <w:rPr>
          <w:rFonts w:ascii="Arial" w:hAnsi="Arial" w:cs="Arial"/>
          <w:sz w:val="20"/>
          <w:szCs w:val="20"/>
        </w:rPr>
      </w:pPr>
      <w:r w:rsidRPr="00DF0657">
        <w:rPr>
          <w:rFonts w:ascii="Arial" w:hAnsi="Arial" w:cs="Arial"/>
          <w:sz w:val="20"/>
          <w:szCs w:val="20"/>
        </w:rPr>
        <w:t>“Passado o secular período do escravismo, entre 1890 e 1920, a elite brasileira se debateu com a angústia quanto às origens genéticas mestiças de nosso povo e de sua capacidade de servir de base para o tão sonhado desenvolvimento econômico, político e cultural. Balizados na interpretação racista, postas as origens mestiçadas do povo brasileiro, seríamos incapazes ao desenvolvimento e ao progresso”, escreve o professor do Departamento de Economia da Universidade Federal do Rio de Janeiro, Marcelo Paixão, em seu artigo “O justo combate”. O conceito de “raça” já chega ao Brasil “fora do lugar”, necessitando do “jeitinho brasileiro” para funcionar. “Se falar na raça parecia oportuno, o tema gerava paradoxos: implicava admitir a inexistência de futuro para uma nação de raças mistas como a nossa. A saída foi preconizar a adoção do ideário científico, porém, sem seu corolário teórico, ou seja, aceitar a ideia da diferença ontológica entre as raças sem a condenação à hibridação, já que o país, a essas alturas, estava irremediavelmente miscigenado”, observa Lilia. “Incômoda era a situação desses intelectuais, que oscilavam entre a adoção de modelos deterministas e a verificação de que o país, pensado nesses termos, era inviável”. Pior: modelo de sucesso na Europa de meados dos oitocentos, as teorias raciais chegaram tardiamente ao Brasil. “Raça, desde então, aparece como um conceito de negociação, sendo que as interpretações variavam.”</w:t>
      </w:r>
    </w:p>
    <w:p w14:paraId="279001F1" w14:textId="77777777" w:rsidR="00DF0657" w:rsidRPr="00DF0657" w:rsidRDefault="00DF0657" w:rsidP="00DF0657">
      <w:pPr>
        <w:rPr>
          <w:rFonts w:ascii="Arial" w:hAnsi="Arial" w:cs="Arial"/>
          <w:sz w:val="20"/>
          <w:szCs w:val="20"/>
        </w:rPr>
      </w:pPr>
      <w:r w:rsidRPr="00DF0657">
        <w:rPr>
          <w:rFonts w:ascii="Arial" w:hAnsi="Arial" w:cs="Arial"/>
          <w:sz w:val="20"/>
          <w:szCs w:val="20"/>
        </w:rPr>
        <w:t>O debate anacrônico se deu em vários territórios: as escolas médicas de Recife e do Rio de Janeiro (onde nasceu a “medicina política”), as faculdades de direito, o Instituto Histórico e Geográfico Brasileiro, os museus etnológicos e a literatura, mesmo a de ficção. Representante médico, o maranhense-baiano Nina Rodrigues assumia um darwinismo racial que preconizava a separação das raças: a seleção natural daria cabo, no processo competitivo, das inferiores, que seriam postas sob controle ou eliminadas. Com ele, a medicina adquiriu foros políticos na medicina legal: “Os exemplos de embriaguez, alienação, epilepsia, violência etc. passaram a comprovar os modelos darwinistas sociais em sua condenação do cruzamento, em seu alerta à ‘imperfeição da hereditariedade mista'”, observa Lilia.</w:t>
      </w:r>
    </w:p>
    <w:p w14:paraId="5AA735AB" w14:textId="77777777" w:rsidR="00DF0657" w:rsidRPr="00DF0657" w:rsidRDefault="00DF0657" w:rsidP="00DF0657">
      <w:pPr>
        <w:rPr>
          <w:rFonts w:ascii="Arial" w:hAnsi="Arial" w:cs="Arial"/>
          <w:sz w:val="20"/>
          <w:szCs w:val="20"/>
        </w:rPr>
      </w:pPr>
      <w:r w:rsidRPr="00DF0657">
        <w:rPr>
          <w:rFonts w:ascii="Arial" w:hAnsi="Arial" w:cs="Arial"/>
          <w:sz w:val="20"/>
          <w:szCs w:val="20"/>
        </w:rPr>
        <w:t>O médico alagoano Arthur Ramos, representante do século XX, preferiu “dourar” a pílula do doutor Nina, modificando raça e mestiçamento por cultura e aculturação. “Os problemas nacionais passam a ser relidos à luz do referencial cultural, e não biológico. Assim, ao contrário das mazelas dos genes, supostamente eternas, os da cultura eram alteráveis por processos que mudassem hábitos sociais herdados”, explica Paixão. O racismo à brasileira.</w:t>
      </w:r>
    </w:p>
    <w:p w14:paraId="5BC2C706" w14:textId="77777777" w:rsidR="00DF0657" w:rsidRPr="00DF0657" w:rsidRDefault="00DF0657" w:rsidP="00DF0657">
      <w:pPr>
        <w:rPr>
          <w:rFonts w:ascii="Arial" w:hAnsi="Arial" w:cs="Arial"/>
          <w:sz w:val="20"/>
          <w:szCs w:val="20"/>
        </w:rPr>
      </w:pPr>
      <w:r w:rsidRPr="00DF0657">
        <w:rPr>
          <w:rFonts w:ascii="Arial" w:hAnsi="Arial" w:cs="Arial"/>
          <w:sz w:val="20"/>
          <w:szCs w:val="20"/>
        </w:rPr>
        <w:t>Do lado jurídico, Sílvio Romero, de Recife, passou a defender que “o processo caldeador seria de importância fundamental para a adaptação aos trópicos dos descendentes de europeus e, assim, os eurodescendentes brasileiros, sem perder seus atributos originais, incorporariam o legado dos outros grupos raciais, absorvendo suas melhores qualidades”. Daí para o entusiasmo racial de Gilberto Freyre foi um pequeno passo, cuja grande inovação, nota Paixão, foi valorizar as matrizes genéticas e os hábitos culturais ordinários que formaram o povo brasileiro, sem perder tempo com pudores de ordem ético-racial. O brasileiro agora deveria se orgulhar de sua mistura.</w:t>
      </w:r>
    </w:p>
    <w:p w14:paraId="5A5A0C37" w14:textId="77777777" w:rsidR="00DF0657" w:rsidRPr="00DF0657" w:rsidRDefault="00DF0657" w:rsidP="00DF0657">
      <w:pPr>
        <w:rPr>
          <w:rFonts w:ascii="Arial" w:hAnsi="Arial" w:cs="Arial"/>
          <w:sz w:val="20"/>
          <w:szCs w:val="20"/>
        </w:rPr>
      </w:pPr>
      <w:r w:rsidRPr="00DF0657">
        <w:rPr>
          <w:rFonts w:ascii="Arial" w:hAnsi="Arial" w:cs="Arial"/>
          <w:sz w:val="20"/>
          <w:szCs w:val="20"/>
        </w:rPr>
        <w:t>Embora não seja um conceito diretamente forjado por Freyre, logo se começou a falar, pelo globo, da “democracia racial” brasileira, ainda que ela surja num momento em que nem sequer democracia política existia no país. Em São Paulo, Florestan Fernandes, irado com Freyre, retruca esse otimismo (em verdade, o autor de</w:t>
      </w:r>
      <w:r w:rsidRPr="00DF0657">
        <w:rPr>
          <w:rFonts w:ascii="Arial" w:hAnsi="Arial" w:cs="Arial"/>
          <w:i/>
          <w:iCs/>
          <w:sz w:val="20"/>
          <w:szCs w:val="20"/>
        </w:rPr>
        <w:t> Casa-grande &amp; senzala </w:t>
      </w:r>
      <w:r w:rsidRPr="00DF0657">
        <w:rPr>
          <w:rFonts w:ascii="Arial" w:hAnsi="Arial" w:cs="Arial"/>
          <w:sz w:val="20"/>
          <w:szCs w:val="20"/>
        </w:rPr>
        <w:t xml:space="preserve">não escondeu o </w:t>
      </w:r>
      <w:r w:rsidRPr="00DF0657">
        <w:rPr>
          <w:rFonts w:ascii="Arial" w:hAnsi="Arial" w:cs="Arial"/>
          <w:sz w:val="20"/>
          <w:szCs w:val="20"/>
        </w:rPr>
        <w:lastRenderedPageBreak/>
        <w:t>sadismo que existia na relação entre escravos e senhores, entre negros e brancos) com a tese de que a assimetria da escravidão permaneceu a funcionar.</w:t>
      </w:r>
    </w:p>
    <w:p w14:paraId="21FFC327" w14:textId="3176CB01" w:rsidR="00A960B1" w:rsidRDefault="00DF0657" w:rsidP="00DF0657">
      <w:pPr>
        <w:jc w:val="both"/>
        <w:rPr>
          <w:rFonts w:ascii="Arial" w:hAnsi="Arial" w:cs="Arial"/>
          <w:sz w:val="20"/>
          <w:szCs w:val="20"/>
        </w:rPr>
      </w:pPr>
      <w:r w:rsidRPr="00DF0657">
        <w:rPr>
          <w:rFonts w:ascii="Arial" w:hAnsi="Arial" w:cs="Arial"/>
          <w:sz w:val="20"/>
          <w:szCs w:val="20"/>
        </w:rPr>
        <w:t xml:space="preserve">Segundo Fernandes, o processo de modernização trouxera uma possibilidade de não efetiva realização de uma democracia racial, já que o nosso modelo, como o da relação senhor-escravo, permanecia dependente e periférico. Discriminar, longe de exceção, seria uma tradição entre nós. Nos anos 1990 antropólogos como Lilia e Peter Fry vão retomar de forma crítica o “mito da democracia racial”, valorizando, em especial, o conceito de “mito”, já que não se podia acreditar na tal democracia de raças. “Assim como não se pode negar o racismo, não se pode </w:t>
      </w:r>
      <w:proofErr w:type="gramStart"/>
      <w:r w:rsidRPr="00DF0657">
        <w:rPr>
          <w:rFonts w:ascii="Arial" w:hAnsi="Arial" w:cs="Arial"/>
          <w:sz w:val="20"/>
          <w:szCs w:val="20"/>
        </w:rPr>
        <w:t>abrir mão de</w:t>
      </w:r>
      <w:proofErr w:type="gramEnd"/>
      <w:r w:rsidRPr="00DF0657">
        <w:rPr>
          <w:rFonts w:ascii="Arial" w:hAnsi="Arial" w:cs="Arial"/>
          <w:sz w:val="20"/>
          <w:szCs w:val="20"/>
        </w:rPr>
        <w:t xml:space="preserve"> falar das singularidades dessa sociedade misturada. Não apenas a mistura biológica, mas a miscigenação dos costumes e da religião”, escreveu Lilia. A democracia racial é um mito, não há dúvida. “Mas o mito guarda uma importância por ele mesmo, tendo em vista sinalizar um desejo coletivo, ausente de outras realidades, onde a discriminação racial não faria questão de se manifestar de forma velada. Considerando que toda sociedade se articula em torno de mitos de origem (como o </w:t>
      </w:r>
      <w:r w:rsidRPr="00DF0657">
        <w:rPr>
          <w:rFonts w:ascii="Arial" w:hAnsi="Arial" w:cs="Arial"/>
          <w:i/>
          <w:iCs/>
          <w:sz w:val="20"/>
          <w:szCs w:val="20"/>
        </w:rPr>
        <w:t>american way of life</w:t>
      </w:r>
      <w:r w:rsidRPr="00DF0657">
        <w:rPr>
          <w:rFonts w:ascii="Arial" w:hAnsi="Arial" w:cs="Arial"/>
          <w:sz w:val="20"/>
          <w:szCs w:val="20"/>
        </w:rPr>
        <w:t xml:space="preserve"> ou a liberdade, igualdade e fraternidade, dos franceses), o da democracia racial seria apenas um entre outros”, avalia Paixão. “Dessa maneira, se vai longe o contexto intelectual de finais do século passado; se já não é mais cientificamente legítimo falar das diferenças raciais a partir de modelos darwinistas sociais, a raça, porém, permanece como tema central do pensamento brasileiro”, acredita Lilia. (Fragmento de Artigo na Revista Fapesp- 04/2007 </w:t>
      </w:r>
      <w:hyperlink r:id="rId4" w:history="1">
        <w:r w:rsidRPr="00DF0657">
          <w:rPr>
            <w:rStyle w:val="Hyperlink"/>
            <w:rFonts w:ascii="Arial" w:hAnsi="Arial" w:cs="Arial"/>
            <w:sz w:val="20"/>
            <w:szCs w:val="20"/>
          </w:rPr>
          <w:t xml:space="preserve">Lilia Schwarcz: Quase pretos, quase </w:t>
        </w:r>
        <w:proofErr w:type="gramStart"/>
        <w:r w:rsidRPr="00DF0657">
          <w:rPr>
            <w:rStyle w:val="Hyperlink"/>
            <w:rFonts w:ascii="Arial" w:hAnsi="Arial" w:cs="Arial"/>
            <w:sz w:val="20"/>
            <w:szCs w:val="20"/>
          </w:rPr>
          <w:t>brancos :</w:t>
        </w:r>
        <w:proofErr w:type="gramEnd"/>
        <w:r w:rsidRPr="00DF0657">
          <w:rPr>
            <w:rStyle w:val="Hyperlink"/>
            <w:rFonts w:ascii="Arial" w:hAnsi="Arial" w:cs="Arial"/>
            <w:sz w:val="20"/>
            <w:szCs w:val="20"/>
          </w:rPr>
          <w:t xml:space="preserve"> Revista Pesquisa Fapesp</w:t>
        </w:r>
      </w:hyperlink>
      <w:r w:rsidRPr="00DF0657">
        <w:rPr>
          <w:rFonts w:ascii="Arial" w:hAnsi="Arial" w:cs="Arial"/>
          <w:sz w:val="20"/>
          <w:szCs w:val="20"/>
        </w:rPr>
        <w:t>)</w:t>
      </w:r>
    </w:p>
    <w:p w14:paraId="376D0CBF" w14:textId="77777777" w:rsidR="00B4778F" w:rsidRDefault="00B4778F" w:rsidP="00DF0657">
      <w:pPr>
        <w:jc w:val="both"/>
        <w:rPr>
          <w:rFonts w:ascii="Arial" w:hAnsi="Arial" w:cs="Arial"/>
          <w:sz w:val="20"/>
          <w:szCs w:val="20"/>
        </w:rPr>
      </w:pPr>
    </w:p>
    <w:p w14:paraId="1C93D85D" w14:textId="77777777" w:rsidR="00B4778F" w:rsidRDefault="00B4778F" w:rsidP="00DF0657">
      <w:pPr>
        <w:jc w:val="both"/>
        <w:rPr>
          <w:rFonts w:ascii="Arial" w:hAnsi="Arial" w:cs="Arial"/>
          <w:sz w:val="20"/>
          <w:szCs w:val="20"/>
        </w:rPr>
      </w:pPr>
    </w:p>
    <w:p w14:paraId="66D6DB6D" w14:textId="77777777" w:rsidR="00B4778F" w:rsidRPr="00B4778F" w:rsidRDefault="00B4778F" w:rsidP="00B4778F">
      <w:pPr>
        <w:jc w:val="both"/>
        <w:rPr>
          <w:rFonts w:ascii="Arial" w:hAnsi="Arial" w:cs="Arial"/>
          <w:b/>
          <w:bCs/>
          <w:sz w:val="20"/>
          <w:szCs w:val="20"/>
        </w:rPr>
      </w:pPr>
      <w:r w:rsidRPr="00B4778F">
        <w:rPr>
          <w:rFonts w:ascii="Arial" w:hAnsi="Arial" w:cs="Arial"/>
          <w:b/>
          <w:bCs/>
          <w:sz w:val="20"/>
          <w:szCs w:val="20"/>
        </w:rPr>
        <w:t>TEXTO 2</w:t>
      </w:r>
    </w:p>
    <w:p w14:paraId="5BACC7BA" w14:textId="77777777" w:rsidR="00B4778F" w:rsidRPr="00B4778F" w:rsidRDefault="00B4778F" w:rsidP="00B4778F">
      <w:pPr>
        <w:jc w:val="both"/>
        <w:rPr>
          <w:rFonts w:ascii="Arial" w:hAnsi="Arial" w:cs="Arial"/>
          <w:sz w:val="20"/>
          <w:szCs w:val="20"/>
        </w:rPr>
      </w:pPr>
      <w:r w:rsidRPr="00B4778F">
        <w:rPr>
          <w:rFonts w:ascii="Arial" w:hAnsi="Arial" w:cs="Arial"/>
          <w:b/>
          <w:bCs/>
          <w:sz w:val="20"/>
          <w:szCs w:val="20"/>
        </w:rPr>
        <w:t>REFLEXOS DE UM ESPELHO COLONIZADO: colonização, eugenia e a estética do branqueamento</w:t>
      </w:r>
    </w:p>
    <w:p w14:paraId="0E771054" w14:textId="77777777" w:rsidR="00B4778F" w:rsidRPr="00B4778F" w:rsidRDefault="00B4778F" w:rsidP="00B4778F">
      <w:pPr>
        <w:jc w:val="both"/>
        <w:rPr>
          <w:rFonts w:ascii="Arial" w:hAnsi="Arial" w:cs="Arial"/>
          <w:sz w:val="20"/>
          <w:szCs w:val="20"/>
        </w:rPr>
      </w:pPr>
      <w:r w:rsidRPr="00B4778F">
        <w:rPr>
          <w:rFonts w:ascii="Arial" w:hAnsi="Arial" w:cs="Arial"/>
          <w:sz w:val="20"/>
          <w:szCs w:val="20"/>
        </w:rPr>
        <w:t>No Brasil, a eugenia não foi apenas uma corrente de pensamento científico, mas um projeto político de Estado no pós-abolição. Discursos higienistas e eugenistas legitimaram políticas de imigração europeia, defendendo o embranquecimento como destino civilizatório da nação. De acordo com Schwarcz (1993), a ideia de que a miscigenação progressiva apagaria a presença negra estruturou imaginários e práticas sociais no país. Essa herança eugenista não apenas reforçou a hierarquia racial, mas também consolidou a beleza branca como horizonte desejável, apresentando os traços negros e indígenas como marcas a serem corrigidas, eliminadas ou “melhoradas.</w:t>
      </w:r>
    </w:p>
    <w:p w14:paraId="08BA0D42" w14:textId="77777777" w:rsidR="00B4778F" w:rsidRPr="00B4778F" w:rsidRDefault="00B4778F" w:rsidP="00B4778F">
      <w:pPr>
        <w:jc w:val="both"/>
        <w:rPr>
          <w:rFonts w:ascii="Arial" w:hAnsi="Arial" w:cs="Arial"/>
          <w:sz w:val="20"/>
          <w:szCs w:val="20"/>
        </w:rPr>
      </w:pPr>
      <w:r w:rsidRPr="00B4778F">
        <w:rPr>
          <w:rFonts w:ascii="Arial" w:hAnsi="Arial" w:cs="Arial"/>
          <w:sz w:val="20"/>
          <w:szCs w:val="20"/>
        </w:rPr>
        <w:t xml:space="preserve">Abaixo colocamos um trecho do Volume I, Número 4 do Boletim de Eugenia (1929), onde Renato Kehl resume o que a eugenia pretendia. </w:t>
      </w:r>
    </w:p>
    <w:p w14:paraId="649B4CEE" w14:textId="77777777" w:rsidR="00B4778F" w:rsidRPr="00B4778F" w:rsidRDefault="00B4778F" w:rsidP="00B4778F">
      <w:pPr>
        <w:jc w:val="both"/>
        <w:rPr>
          <w:rFonts w:ascii="Arial" w:hAnsi="Arial" w:cs="Arial"/>
          <w:sz w:val="20"/>
          <w:szCs w:val="20"/>
        </w:rPr>
      </w:pPr>
      <w:r w:rsidRPr="00B4778F">
        <w:rPr>
          <w:rFonts w:ascii="Arial" w:hAnsi="Arial" w:cs="Arial"/>
          <w:sz w:val="20"/>
          <w:szCs w:val="20"/>
        </w:rPr>
        <w:t xml:space="preserve">“A EUGENIA tem por fim cooperar para o aumento progressivo dos homens physica, psyquica e moralmente sadios; para a diminuição paulatina do contingente dos fracos, doentes e degenerados, - concorrendo, desse modo, para a constituição de uma sociedade mais sã, mais moralizada, em summa, uma humanidade equilibrada, composta de indivíduos fortes e bellos, elementos de paz e de trabalho.” (KEHL, 1929, p. 1) </w:t>
      </w:r>
    </w:p>
    <w:p w14:paraId="34E329E4" w14:textId="77777777" w:rsidR="00B4778F" w:rsidRPr="00B4778F" w:rsidRDefault="00B4778F" w:rsidP="00B4778F">
      <w:pPr>
        <w:jc w:val="both"/>
        <w:rPr>
          <w:rFonts w:ascii="Arial" w:hAnsi="Arial" w:cs="Arial"/>
          <w:sz w:val="20"/>
          <w:szCs w:val="20"/>
        </w:rPr>
      </w:pPr>
      <w:r w:rsidRPr="00B4778F">
        <w:rPr>
          <w:rFonts w:ascii="Arial" w:hAnsi="Arial" w:cs="Arial"/>
          <w:sz w:val="20"/>
          <w:szCs w:val="20"/>
        </w:rPr>
        <w:t xml:space="preserve">O final do século XIX e início do século XX foram anos de construção da identidade do povo brasileiro, uma intensa movimentação social, política e econômica procurara construir um país cada vez mais parecido com a Europa. E os movimentos eugenistas articulados em grupos e pela divulgação do Boletim, procurava direcionar as elites brancas e ricas para a constituição de uma sociedade embranquecida, rica e eurocêntrica. </w:t>
      </w:r>
    </w:p>
    <w:p w14:paraId="09CAEB18" w14:textId="77777777" w:rsidR="00B4778F" w:rsidRPr="00B4778F" w:rsidRDefault="00B4778F" w:rsidP="00B4778F">
      <w:pPr>
        <w:jc w:val="both"/>
        <w:rPr>
          <w:rFonts w:ascii="Arial" w:hAnsi="Arial" w:cs="Arial"/>
          <w:sz w:val="20"/>
          <w:szCs w:val="20"/>
        </w:rPr>
      </w:pPr>
      <w:r w:rsidRPr="00B4778F">
        <w:rPr>
          <w:rFonts w:ascii="Arial" w:hAnsi="Arial" w:cs="Arial"/>
          <w:sz w:val="20"/>
          <w:szCs w:val="20"/>
        </w:rPr>
        <w:t xml:space="preserve">Desde o fim da escravidão em 1888, houve políticas de incentivo de imigrações dos europeus para o Brasil, com a finalidade de embranquecer a sociedade e formar um país que se distanciasse da “mancha negra” deixada pelos quase 4 milhões de negros que viviam no país no período da pós abolição. A maioria dos imigrantes que desembarcaram no Brasil no período de 1890 a 1970, foram de italianos e alemães, que já chegaram ao país “ganhando” terras e </w:t>
      </w:r>
      <w:r w:rsidRPr="00B4778F">
        <w:rPr>
          <w:rFonts w:ascii="Arial" w:hAnsi="Arial" w:cs="Arial"/>
          <w:sz w:val="20"/>
          <w:szCs w:val="20"/>
        </w:rPr>
        <w:lastRenderedPageBreak/>
        <w:t xml:space="preserve">possuindo mais direitos que a população racializada do país. Estima-se que mais de 9 milhões de europeus deixaram seu continente rumo à América com a promessa de (re) “fazer América”. </w:t>
      </w:r>
    </w:p>
    <w:p w14:paraId="48A9B456" w14:textId="77777777" w:rsidR="00B4778F" w:rsidRPr="00B4778F" w:rsidRDefault="00B4778F" w:rsidP="00B4778F">
      <w:pPr>
        <w:jc w:val="both"/>
        <w:rPr>
          <w:rFonts w:ascii="Arial" w:hAnsi="Arial" w:cs="Arial"/>
          <w:b/>
          <w:bCs/>
          <w:sz w:val="20"/>
          <w:szCs w:val="20"/>
        </w:rPr>
      </w:pPr>
      <w:r w:rsidRPr="00B4778F">
        <w:rPr>
          <w:rFonts w:ascii="Arial" w:hAnsi="Arial" w:cs="Arial"/>
          <w:sz w:val="20"/>
          <w:szCs w:val="20"/>
        </w:rPr>
        <w:t>Skidmore (2012), escreve que o período pós abolição, marca a tese brasileira do branqueamento, essa se baseava no princípio do pressuposto da superioridade branca, como uma raça mais adiantada e mais civilizada. O número de negros estava diminuindo pelo aumento da miscigenação, segundo o autor porque os genes brancos eram mais predominantes e porque as pessoas escolhiam ou eram destinadas a escolher parceiros mais claros, assim a imigração branca europeia traria, portanto, o resultado de um predomínio branco no país. Porém, segundo Gonzalez (2020), esse era um pensamento imperialista e colonialista pois pressupunha que o negro só existia na África ou nos Estados Unidos e excluía os mestiços e pardos da categoria negro, o que nos países latino-americanos e especificamente no Brasil, o pardo e o mestiço, ou as várias tonalidades de cor do negro, o fazem ser negro.  (</w:t>
      </w:r>
      <w:r w:rsidRPr="00B4778F">
        <w:rPr>
          <w:rFonts w:ascii="Arial" w:hAnsi="Arial" w:cs="Arial"/>
          <w:b/>
          <w:bCs/>
          <w:sz w:val="20"/>
          <w:szCs w:val="20"/>
        </w:rPr>
        <w:t xml:space="preserve">Fragmento de Artigo publicado in Cadernos de estudos culturais, Campo Grande, MS, v. 1, p. 217-235, jan./dez. 2025.  Felisa Cançado </w:t>
      </w:r>
      <w:proofErr w:type="gramStart"/>
      <w:r w:rsidRPr="00B4778F">
        <w:rPr>
          <w:rFonts w:ascii="Arial" w:hAnsi="Arial" w:cs="Arial"/>
          <w:b/>
          <w:bCs/>
          <w:sz w:val="20"/>
          <w:szCs w:val="20"/>
        </w:rPr>
        <w:t>Anaya ,</w:t>
      </w:r>
      <w:proofErr w:type="gramEnd"/>
      <w:r w:rsidRPr="00B4778F">
        <w:rPr>
          <w:rFonts w:ascii="Arial" w:hAnsi="Arial" w:cs="Arial"/>
          <w:b/>
          <w:bCs/>
          <w:sz w:val="20"/>
          <w:szCs w:val="20"/>
        </w:rPr>
        <w:t xml:space="preserve"> Professora do Programa de Pós-graduação em Desenvolvimento Social da Universidade Estadual de Montes Claros)</w:t>
      </w:r>
    </w:p>
    <w:p w14:paraId="299C0752" w14:textId="77777777" w:rsidR="00B4778F" w:rsidRDefault="00B4778F" w:rsidP="00DF0657">
      <w:pPr>
        <w:jc w:val="both"/>
        <w:rPr>
          <w:rFonts w:ascii="Arial" w:hAnsi="Arial" w:cs="Arial"/>
          <w:sz w:val="20"/>
          <w:szCs w:val="20"/>
        </w:rPr>
      </w:pPr>
    </w:p>
    <w:sectPr w:rsidR="00B477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57"/>
    <w:rsid w:val="0066367C"/>
    <w:rsid w:val="006A60FB"/>
    <w:rsid w:val="00936616"/>
    <w:rsid w:val="00A70AE0"/>
    <w:rsid w:val="00A960B1"/>
    <w:rsid w:val="00B4778F"/>
    <w:rsid w:val="00C63431"/>
    <w:rsid w:val="00DF06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6E533"/>
  <w15:chartTrackingRefBased/>
  <w15:docId w15:val="{B27B578F-3B96-448D-9148-3F2EF465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F0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F0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F06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F06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F06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F06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F06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F06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F065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065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F065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F065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F065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F065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F065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F065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F065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F0657"/>
    <w:rPr>
      <w:rFonts w:eastAsiaTheme="majorEastAsia" w:cstheme="majorBidi"/>
      <w:color w:val="272727" w:themeColor="text1" w:themeTint="D8"/>
    </w:rPr>
  </w:style>
  <w:style w:type="paragraph" w:styleId="Ttulo">
    <w:name w:val="Title"/>
    <w:basedOn w:val="Normal"/>
    <w:next w:val="Normal"/>
    <w:link w:val="TtuloChar"/>
    <w:uiPriority w:val="10"/>
    <w:qFormat/>
    <w:rsid w:val="00DF0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F06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F065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F065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F0657"/>
    <w:pPr>
      <w:spacing w:before="160"/>
      <w:jc w:val="center"/>
    </w:pPr>
    <w:rPr>
      <w:i/>
      <w:iCs/>
      <w:color w:val="404040" w:themeColor="text1" w:themeTint="BF"/>
    </w:rPr>
  </w:style>
  <w:style w:type="character" w:customStyle="1" w:styleId="CitaoChar">
    <w:name w:val="Citação Char"/>
    <w:basedOn w:val="Fontepargpadro"/>
    <w:link w:val="Citao"/>
    <w:uiPriority w:val="29"/>
    <w:rsid w:val="00DF0657"/>
    <w:rPr>
      <w:i/>
      <w:iCs/>
      <w:color w:val="404040" w:themeColor="text1" w:themeTint="BF"/>
    </w:rPr>
  </w:style>
  <w:style w:type="paragraph" w:styleId="PargrafodaLista">
    <w:name w:val="List Paragraph"/>
    <w:basedOn w:val="Normal"/>
    <w:uiPriority w:val="34"/>
    <w:qFormat/>
    <w:rsid w:val="00DF0657"/>
    <w:pPr>
      <w:ind w:left="720"/>
      <w:contextualSpacing/>
    </w:pPr>
  </w:style>
  <w:style w:type="character" w:styleId="nfaseIntensa">
    <w:name w:val="Intense Emphasis"/>
    <w:basedOn w:val="Fontepargpadro"/>
    <w:uiPriority w:val="21"/>
    <w:qFormat/>
    <w:rsid w:val="00DF0657"/>
    <w:rPr>
      <w:i/>
      <w:iCs/>
      <w:color w:val="0F4761" w:themeColor="accent1" w:themeShade="BF"/>
    </w:rPr>
  </w:style>
  <w:style w:type="paragraph" w:styleId="CitaoIntensa">
    <w:name w:val="Intense Quote"/>
    <w:basedOn w:val="Normal"/>
    <w:next w:val="Normal"/>
    <w:link w:val="CitaoIntensaChar"/>
    <w:uiPriority w:val="30"/>
    <w:qFormat/>
    <w:rsid w:val="00DF0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F0657"/>
    <w:rPr>
      <w:i/>
      <w:iCs/>
      <w:color w:val="0F4761" w:themeColor="accent1" w:themeShade="BF"/>
    </w:rPr>
  </w:style>
  <w:style w:type="character" w:styleId="RefernciaIntensa">
    <w:name w:val="Intense Reference"/>
    <w:basedOn w:val="Fontepargpadro"/>
    <w:uiPriority w:val="32"/>
    <w:qFormat/>
    <w:rsid w:val="00DF0657"/>
    <w:rPr>
      <w:b/>
      <w:bCs/>
      <w:smallCaps/>
      <w:color w:val="0F4761" w:themeColor="accent1" w:themeShade="BF"/>
      <w:spacing w:val="5"/>
    </w:rPr>
  </w:style>
  <w:style w:type="character" w:styleId="Hyperlink">
    <w:name w:val="Hyperlink"/>
    <w:basedOn w:val="Fontepargpadro"/>
    <w:uiPriority w:val="99"/>
    <w:unhideWhenUsed/>
    <w:rsid w:val="00DF0657"/>
    <w:rPr>
      <w:color w:val="467886" w:themeColor="hyperlink"/>
      <w:u w:val="single"/>
    </w:rPr>
  </w:style>
  <w:style w:type="character" w:styleId="MenoPendente">
    <w:name w:val="Unresolved Mention"/>
    <w:basedOn w:val="Fontepargpadro"/>
    <w:uiPriority w:val="99"/>
    <w:semiHidden/>
    <w:unhideWhenUsed/>
    <w:rsid w:val="00DF0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vistapesquisa.fapesp.br/quase-pretos-quase-branco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1424</Words>
  <Characters>7694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Celso Aparecido Siracusa</dc:creator>
  <cp:keywords/>
  <dc:description/>
  <cp:lastModifiedBy>Celso Aparecido Siracusa</cp:lastModifiedBy>
  <cp:revision>3</cp:revision>
  <dcterms:created xsi:type="dcterms:W3CDTF">2026-08-28T23:21:00Z</dcterms:created>
  <dcterms:modified xsi:type="dcterms:W3CDTF">2026-09-02T23:00:00Z</dcterms:modified>
</cp:coreProperties>
</file>