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26A7" w14:textId="617053C5" w:rsidR="007C15AC" w:rsidRPr="009E3FB8" w:rsidRDefault="00422E29" w:rsidP="007C15AC">
      <w:pPr>
        <w:pStyle w:val="Cabealho"/>
        <w:spacing w:line="276" w:lineRule="auto"/>
        <w:rPr>
          <w:rFonts w:cs="Arial"/>
          <w:sz w:val="20"/>
          <w:szCs w:val="20"/>
        </w:rPr>
      </w:pPr>
      <w:bookmarkStart w:id="0" w:name="_Hlk79694478"/>
      <w:r w:rsidRPr="009E3FB8">
        <w:rPr>
          <w:rFonts w:cs="Arial"/>
          <w:sz w:val="20"/>
          <w:szCs w:val="20"/>
          <w:lang w:eastAsia="zh-CN"/>
        </w:rPr>
        <w:t>Componente Curricular:</w:t>
      </w:r>
      <w:r w:rsidR="0063781E" w:rsidRPr="009E3FB8">
        <w:rPr>
          <w:rFonts w:cs="Arial"/>
          <w:sz w:val="20"/>
          <w:szCs w:val="20"/>
          <w:lang w:eastAsia="zh-CN"/>
        </w:rPr>
        <w:t xml:space="preserve">  História </w:t>
      </w:r>
      <w:r w:rsidRPr="009E3FB8">
        <w:rPr>
          <w:rFonts w:cs="Arial"/>
          <w:sz w:val="20"/>
          <w:szCs w:val="20"/>
          <w:lang w:eastAsia="zh-CN"/>
        </w:rPr>
        <w:tab/>
      </w:r>
      <w:r w:rsidR="007C15AC" w:rsidRPr="009E3FB8">
        <w:rPr>
          <w:rFonts w:cs="Arial"/>
          <w:sz w:val="20"/>
          <w:szCs w:val="20"/>
        </w:rPr>
        <w:t xml:space="preserve">Data: </w:t>
      </w:r>
      <w:r w:rsidR="009E3FB8" w:rsidRPr="009E3FB8">
        <w:rPr>
          <w:rFonts w:cs="Arial"/>
          <w:sz w:val="20"/>
          <w:szCs w:val="20"/>
        </w:rPr>
        <w:t>1</w:t>
      </w:r>
      <w:r w:rsidR="005B11B1">
        <w:rPr>
          <w:rFonts w:cs="Arial"/>
          <w:sz w:val="20"/>
          <w:szCs w:val="20"/>
        </w:rPr>
        <w:t>2</w:t>
      </w:r>
      <w:r w:rsidR="0063781E" w:rsidRPr="009E3FB8">
        <w:rPr>
          <w:rFonts w:cs="Arial"/>
          <w:sz w:val="20"/>
          <w:szCs w:val="20"/>
        </w:rPr>
        <w:t>/02/202</w:t>
      </w:r>
      <w:r w:rsidR="005B11B1">
        <w:rPr>
          <w:rFonts w:cs="Arial"/>
          <w:sz w:val="20"/>
          <w:szCs w:val="20"/>
        </w:rPr>
        <w:t>6</w:t>
      </w:r>
    </w:p>
    <w:p w14:paraId="2BCF9482" w14:textId="77777777" w:rsidR="00FF36DD" w:rsidRPr="009E3FB8" w:rsidRDefault="00422E29" w:rsidP="007C15AC">
      <w:pPr>
        <w:spacing w:line="276" w:lineRule="auto"/>
        <w:rPr>
          <w:rFonts w:cs="Arial"/>
          <w:sz w:val="20"/>
          <w:szCs w:val="20"/>
          <w:lang w:eastAsia="zh-CN"/>
        </w:rPr>
      </w:pPr>
      <w:r w:rsidRPr="009E3FB8">
        <w:rPr>
          <w:rFonts w:cs="Arial"/>
          <w:sz w:val="20"/>
          <w:szCs w:val="20"/>
          <w:lang w:eastAsia="zh-CN"/>
        </w:rPr>
        <w:t>Professor (a):</w:t>
      </w:r>
      <w:r w:rsidRPr="009E3FB8">
        <w:rPr>
          <w:rFonts w:cs="Arial"/>
          <w:sz w:val="20"/>
          <w:szCs w:val="20"/>
          <w:lang w:eastAsia="zh-CN"/>
        </w:rPr>
        <w:tab/>
      </w:r>
      <w:r w:rsidR="0063781E" w:rsidRPr="009E3FB8">
        <w:rPr>
          <w:rFonts w:cs="Arial"/>
          <w:sz w:val="20"/>
          <w:szCs w:val="20"/>
          <w:lang w:eastAsia="zh-CN"/>
        </w:rPr>
        <w:t>Celso Siracusa</w:t>
      </w:r>
      <w:r w:rsidR="004110D3" w:rsidRPr="009E3FB8">
        <w:rPr>
          <w:rFonts w:cs="Arial"/>
          <w:sz w:val="20"/>
          <w:szCs w:val="20"/>
          <w:lang w:eastAsia="zh-CN"/>
        </w:rPr>
        <w:tab/>
      </w:r>
      <w:r w:rsidR="004110D3"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="00BB4929"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="00462BB4" w:rsidRPr="009E3FB8">
        <w:rPr>
          <w:rFonts w:cs="Arial"/>
          <w:sz w:val="20"/>
          <w:szCs w:val="20"/>
          <w:lang w:eastAsia="zh-CN"/>
        </w:rPr>
        <w:t xml:space="preserve"> </w:t>
      </w:r>
      <w:r w:rsidR="0063781E" w:rsidRPr="009E3FB8">
        <w:rPr>
          <w:rFonts w:cs="Arial"/>
          <w:sz w:val="20"/>
          <w:szCs w:val="20"/>
          <w:lang w:eastAsia="zh-CN"/>
        </w:rPr>
        <w:t>2º Série</w:t>
      </w:r>
    </w:p>
    <w:p w14:paraId="55810FC6" w14:textId="6B55D930" w:rsidR="007C15AC" w:rsidRPr="009E3FB8" w:rsidRDefault="007C15AC" w:rsidP="007C15AC">
      <w:pPr>
        <w:pStyle w:val="Cabealho"/>
        <w:spacing w:line="276" w:lineRule="auto"/>
        <w:rPr>
          <w:rFonts w:cs="Arial"/>
          <w:sz w:val="20"/>
          <w:szCs w:val="20"/>
        </w:rPr>
      </w:pPr>
      <w:r w:rsidRPr="009E3FB8">
        <w:rPr>
          <w:rFonts w:cs="Arial"/>
          <w:sz w:val="20"/>
          <w:szCs w:val="20"/>
        </w:rPr>
        <w:t xml:space="preserve">Assunto (s): </w:t>
      </w:r>
      <w:r w:rsidR="0063781E" w:rsidRPr="009E3FB8">
        <w:rPr>
          <w:rFonts w:cs="Arial"/>
          <w:sz w:val="20"/>
          <w:szCs w:val="20"/>
        </w:rPr>
        <w:t>Rev</w:t>
      </w:r>
      <w:r w:rsidR="009E3FB8" w:rsidRPr="009E3FB8">
        <w:rPr>
          <w:rFonts w:cs="Arial"/>
          <w:sz w:val="20"/>
          <w:szCs w:val="20"/>
        </w:rPr>
        <w:t>isão sobre a Revolução</w:t>
      </w:r>
      <w:r w:rsidR="0063781E" w:rsidRPr="009E3FB8">
        <w:rPr>
          <w:rFonts w:cs="Arial"/>
          <w:sz w:val="20"/>
          <w:szCs w:val="20"/>
        </w:rPr>
        <w:t xml:space="preserve"> Francesa, Período Napoleônico, Congresso de Viena</w:t>
      </w:r>
      <w:r w:rsidR="005B11B1">
        <w:rPr>
          <w:rFonts w:cs="Arial"/>
          <w:sz w:val="20"/>
          <w:szCs w:val="20"/>
        </w:rPr>
        <w:t>, Período Joanino</w:t>
      </w:r>
    </w:p>
    <w:p w14:paraId="534702E2" w14:textId="1F4044FA" w:rsidR="007C15AC" w:rsidRPr="009E3FB8" w:rsidRDefault="005B11B1" w:rsidP="00BF6CED">
      <w:pPr>
        <w:spacing w:line="360" w:lineRule="auto"/>
        <w:rPr>
          <w:rFonts w:cs="Arial"/>
          <w:sz w:val="20"/>
          <w:szCs w:val="20"/>
          <w:lang w:eastAsia="zh-CN"/>
        </w:rPr>
      </w:pPr>
      <w:r>
        <w:rPr>
          <w:rFonts w:cs="Arial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97692C" wp14:editId="4480E0E3">
                <wp:simplePos x="0" y="0"/>
                <wp:positionH relativeFrom="column">
                  <wp:posOffset>-167005</wp:posOffset>
                </wp:positionH>
                <wp:positionV relativeFrom="paragraph">
                  <wp:posOffset>130810</wp:posOffset>
                </wp:positionV>
                <wp:extent cx="6623685" cy="0"/>
                <wp:effectExtent l="66040" t="57150" r="63500" b="57150"/>
                <wp:wrapNone/>
                <wp:docPr id="18341468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2915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10.3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" strokeweight="1.5pt">
                <v:stroke startarrow="oval" endarrow="oval"/>
              </v:shape>
            </w:pict>
          </mc:Fallback>
        </mc:AlternateContent>
      </w:r>
    </w:p>
    <w:p w14:paraId="66467DC7" w14:textId="77777777" w:rsidR="00BB4929" w:rsidRPr="009E3FB8" w:rsidRDefault="00BB4929" w:rsidP="007F1192">
      <w:pPr>
        <w:widowControl w:val="0"/>
        <w:spacing w:line="360" w:lineRule="auto"/>
        <w:rPr>
          <w:rFonts w:cs="Arial"/>
          <w:sz w:val="20"/>
          <w:szCs w:val="20"/>
          <w:lang w:eastAsia="zh-CN"/>
        </w:rPr>
      </w:pPr>
    </w:p>
    <w:p w14:paraId="2A318303" w14:textId="40986CBD" w:rsidR="009E3FB8" w:rsidRPr="00E86777" w:rsidRDefault="00E86777" w:rsidP="009E3FB8">
      <w:pPr>
        <w:widowControl w:val="0"/>
        <w:spacing w:line="240" w:lineRule="auto"/>
        <w:rPr>
          <w:b/>
          <w:bCs/>
          <w:sz w:val="28"/>
          <w:szCs w:val="28"/>
          <w:lang w:eastAsia="zh-CN"/>
        </w:rPr>
      </w:pPr>
      <w:bookmarkStart w:id="1" w:name="_Hlk159353188"/>
      <w:r w:rsidRPr="00E86777">
        <w:rPr>
          <w:b/>
          <w:bCs/>
          <w:sz w:val="28"/>
          <w:szCs w:val="28"/>
          <w:highlight w:val="yellow"/>
          <w:lang w:eastAsia="zh-CN"/>
        </w:rPr>
        <w:t>Recuperação – 2ª Série- História – 1</w:t>
      </w:r>
      <w:r w:rsidR="005B11B1">
        <w:rPr>
          <w:b/>
          <w:bCs/>
          <w:sz w:val="28"/>
          <w:szCs w:val="28"/>
          <w:highlight w:val="yellow"/>
          <w:lang w:eastAsia="zh-CN"/>
        </w:rPr>
        <w:t>2</w:t>
      </w:r>
      <w:r w:rsidRPr="00E86777">
        <w:rPr>
          <w:b/>
          <w:bCs/>
          <w:sz w:val="28"/>
          <w:szCs w:val="28"/>
          <w:highlight w:val="yellow"/>
          <w:lang w:eastAsia="zh-CN"/>
        </w:rPr>
        <w:t xml:space="preserve"> de Fevereiro de 202</w:t>
      </w:r>
      <w:r w:rsidR="005B11B1">
        <w:rPr>
          <w:b/>
          <w:bCs/>
          <w:sz w:val="28"/>
          <w:szCs w:val="28"/>
          <w:lang w:eastAsia="zh-CN"/>
        </w:rPr>
        <w:t>6</w:t>
      </w:r>
    </w:p>
    <w:p w14:paraId="27435D86" w14:textId="77777777" w:rsidR="00E86777" w:rsidRDefault="00E86777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9765D0A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3B82244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1.   Iniciada em 1789, a Revolução Francesa tinha como um de seus principais objetivos a abolição da sociedade de Antigo Regime, com o fim dos privilégios e das desigualdades entre os diferentes grupos sociais.</w:t>
      </w:r>
    </w:p>
    <w:p w14:paraId="0AB5E95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7FC5A7F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Pouco antes da Revolução, a sociedade francesa estava dividida entre </w:t>
      </w:r>
    </w:p>
    <w:p w14:paraId="5CCA78A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apoiadores de Napoleão e de Robespierre, importantes lideranças políticas conservadoras que lutavam pela manutenção da monarquia francesa.   </w:t>
      </w:r>
    </w:p>
    <w:p w14:paraId="5E82FC6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burguesia e trabalhadores rurais e urbanos, já que o clero e a nobreza não tinham participação significativa na política francesa no período pré-revolucionário.   </w:t>
      </w:r>
    </w:p>
    <w:p w14:paraId="621ABB0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Girondinos e Sans Culottes, grupos rivais que disputavam a hegemonia política e representavam os diferentes interesses da burguesia na relação com o rei Luís XVI.   </w:t>
      </w:r>
    </w:p>
    <w:p w14:paraId="36872A0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Primeiro e Segundo Estados (clero e nobreza), que reuniam cerca de 3% da população, e Terceiro Estado, que abrigava a burguesia, os trabalhadores urbanos e rurais e pagava, sozinho, todas as taxas e os impostos diretos cobrados pela monarquia.   </w:t>
      </w:r>
    </w:p>
    <w:p w14:paraId="7A63565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Primeiro e Segundo Estados (clero e nobreza), que reuniam a minoria da população, mas pagavam, sozinhos, todas as taxas e os impostos diretos que financiavam os programas assistenciais que mantinham parte do Terceiro Estado.   </w:t>
      </w:r>
    </w:p>
    <w:p w14:paraId="4FF4D3C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7E6D305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2.   A nova Assembleia, a Convenção, dividiu-se rapidamente em dois grupos rivais, embora, entre eles, muitos deputados do centro (chamado de “Planície”) relutassem em tomar uma posição.</w:t>
      </w:r>
    </w:p>
    <w:p w14:paraId="3DE54D08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0C8FF7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(Michel Vovelle. </w:t>
      </w:r>
      <w:r w:rsidRPr="005B11B1">
        <w:rPr>
          <w:i/>
          <w:iCs/>
          <w:sz w:val="20"/>
          <w:szCs w:val="20"/>
          <w:lang w:eastAsia="zh-CN"/>
        </w:rPr>
        <w:t>A Revolução Francesa explicada à minha neta</w:t>
      </w:r>
      <w:r w:rsidRPr="005B11B1">
        <w:rPr>
          <w:sz w:val="20"/>
          <w:szCs w:val="20"/>
          <w:lang w:eastAsia="zh-CN"/>
        </w:rPr>
        <w:t>, 2007.)</w:t>
      </w:r>
    </w:p>
    <w:p w14:paraId="59FCCCE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524E540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1FA3F4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No contexto da Revolução Francesa, sobre “os dois grupos rivais” da Convenção, pode-se afirmar que </w:t>
      </w:r>
    </w:p>
    <w:p w14:paraId="185B2DA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a defesa da secularização dos bens da Igreja Católica, sustentada pelo “clero constitucional” provocou a oposição do chamado “clero refratário”.   </w:t>
      </w:r>
    </w:p>
    <w:p w14:paraId="7CF296A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os </w:t>
      </w:r>
      <w:r w:rsidRPr="005B11B1">
        <w:rPr>
          <w:i/>
          <w:iCs/>
          <w:sz w:val="20"/>
          <w:szCs w:val="20"/>
          <w:lang w:eastAsia="zh-CN"/>
        </w:rPr>
        <w:t>sans-culottes</w:t>
      </w:r>
      <w:r w:rsidRPr="005B11B1">
        <w:rPr>
          <w:sz w:val="20"/>
          <w:szCs w:val="20"/>
          <w:lang w:eastAsia="zh-CN"/>
        </w:rPr>
        <w:t xml:space="preserve"> reivindicavam o retorno da monarquia constitucional contra as pretensões republicanas da alta burguesia financeira.   </w:t>
      </w:r>
    </w:p>
    <w:p w14:paraId="018BBAE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os republicanos moderados defendiam a inviolabilidade da propriedade privada, que era contestada pelas ideias socialistas do pântano.   </w:t>
      </w:r>
    </w:p>
    <w:p w14:paraId="688ED99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as reivindicações sociais e políticas dos jacobinos contrariavam os interesses de parte da alta burguesia, que era representada pelos girondinos.   </w:t>
      </w:r>
    </w:p>
    <w:p w14:paraId="4B3F026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a proposta de votação por Estado, apoiada pela nobreza cortesã, desagradava o Terceiro Estado, que compreendia grupos sociais bem distintos entre si.   </w:t>
      </w:r>
    </w:p>
    <w:p w14:paraId="4B4BE85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3A1DDB1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66A56F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3.   Leia o texto a seguir. </w:t>
      </w:r>
    </w:p>
    <w:p w14:paraId="58966318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C64801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Socialmente, os </w:t>
      </w:r>
      <w:r w:rsidRPr="005B11B1">
        <w:rPr>
          <w:i/>
          <w:iCs/>
          <w:sz w:val="20"/>
          <w:szCs w:val="20"/>
          <w:lang w:eastAsia="zh-CN"/>
        </w:rPr>
        <w:t xml:space="preserve">sans-culottes </w:t>
      </w:r>
      <w:r w:rsidRPr="005B11B1">
        <w:rPr>
          <w:sz w:val="20"/>
          <w:szCs w:val="20"/>
          <w:lang w:eastAsia="zh-CN"/>
        </w:rPr>
        <w:t xml:space="preserve">representam os citadinos que vivem de seu trabalho, seja como artesãos, seja como profissionais de ofício; alguns, depois de uma vida laboriosa, se tornam pequenos proprietários na cidade, e usufruem as rendas de um imóvel. </w:t>
      </w:r>
    </w:p>
    <w:p w14:paraId="56939DB1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PÉRONNET, Michel. </w:t>
      </w:r>
      <w:r w:rsidRPr="005B11B1">
        <w:rPr>
          <w:i/>
          <w:iCs/>
          <w:sz w:val="20"/>
          <w:szCs w:val="20"/>
          <w:lang w:eastAsia="zh-CN"/>
        </w:rPr>
        <w:t>Revolução Francesa em 50 Palavras-chaves</w:t>
      </w:r>
      <w:r w:rsidRPr="005B11B1">
        <w:rPr>
          <w:sz w:val="20"/>
          <w:szCs w:val="20"/>
          <w:lang w:eastAsia="zh-CN"/>
        </w:rPr>
        <w:t xml:space="preserve">. São Paulo: Brasiliense, 1988. p. 248. </w:t>
      </w:r>
    </w:p>
    <w:p w14:paraId="7815823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C32506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 análise do texto demonstra que os interesses sociais dos </w:t>
      </w:r>
      <w:r w:rsidRPr="005B11B1">
        <w:rPr>
          <w:i/>
          <w:iCs/>
          <w:sz w:val="20"/>
          <w:szCs w:val="20"/>
          <w:lang w:eastAsia="zh-CN"/>
        </w:rPr>
        <w:t>sans-culottes</w:t>
      </w:r>
      <w:r w:rsidRPr="005B11B1">
        <w:rPr>
          <w:sz w:val="20"/>
          <w:szCs w:val="20"/>
          <w:lang w:eastAsia="zh-CN"/>
        </w:rPr>
        <w:t xml:space="preserve">, importantes personagens da Revolução Francesa, se confundiam com os  </w:t>
      </w:r>
    </w:p>
    <w:p w14:paraId="61443F9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da pequena burguesia que, apesar das conquistas econômicas, via-se pressionada pelo aumento no custo de vida.    </w:t>
      </w:r>
    </w:p>
    <w:p w14:paraId="12483D2E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dos camponeses, já que ambos lutavam pela abolição dos privilégios feudais no campo e posse de terras coletivas.    </w:t>
      </w:r>
    </w:p>
    <w:p w14:paraId="785FBF7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dos membros do baixo clero, uma vez que lutavam por reformas sociais, mas não eram contra a liberdade religiosa.    </w:t>
      </w:r>
    </w:p>
    <w:p w14:paraId="0C41031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da classe dos girondinos, pois apesar das diferenças de classe, ambos os grupos eram politicamente </w:t>
      </w:r>
      <w:r w:rsidRPr="005B11B1">
        <w:rPr>
          <w:sz w:val="20"/>
          <w:szCs w:val="20"/>
          <w:lang w:eastAsia="zh-CN"/>
        </w:rPr>
        <w:lastRenderedPageBreak/>
        <w:t xml:space="preserve">moderados.    </w:t>
      </w:r>
    </w:p>
    <w:p w14:paraId="3520282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DB12CB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10E674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09D5BC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FD779C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4.(Antigo Regime) (ESCS DF) “A sociedade de ordens que existiu até fins do século XVIII e início do XIX na Europa Ocidental baseava-se numa concepção hierárquica e desigual, em que cada segmento tinha suas próprias características e um comportamento que deveria ser típico.” </w:t>
      </w:r>
    </w:p>
    <w:p w14:paraId="18669B8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33691A8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</w:t>
      </w:r>
      <w:r w:rsidRPr="005B11B1">
        <w:rPr>
          <w:i/>
          <w:iCs/>
          <w:sz w:val="20"/>
          <w:szCs w:val="20"/>
          <w:lang w:eastAsia="zh-CN"/>
        </w:rPr>
        <w:t>Formação do Brasil Colônia</w:t>
      </w:r>
      <w:r w:rsidRPr="005B11B1">
        <w:rPr>
          <w:sz w:val="20"/>
          <w:szCs w:val="20"/>
          <w:lang w:eastAsia="zh-CN"/>
        </w:rPr>
        <w:t xml:space="preserve">. Arno Welhing e Maria Jose C. M. Wehling, p.27) </w:t>
      </w:r>
    </w:p>
    <w:p w14:paraId="622B856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3AA8E05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Sobre a sociedade de ordens, é correto afirmar que: </w:t>
      </w:r>
    </w:p>
    <w:p w14:paraId="7BB40881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4B729F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a valorização do indivíduo fortalecia os laços hierárquicos entre os diferentes grupos sociais; </w:t>
      </w:r>
    </w:p>
    <w:p w14:paraId="41D187D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a posse da riqueza material era o único fator que definia as funções de cada segmento na sociedade; </w:t>
      </w:r>
    </w:p>
    <w:p w14:paraId="1E54921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a distinção entre os membros da sociedade se fundamentava em critérios de nascimento e de ocupação. </w:t>
      </w:r>
    </w:p>
    <w:p w14:paraId="2D75D13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a hierarquia social era fundamentada nos valores e no estilo de vida da burguesia industrial e financeira; </w:t>
      </w:r>
    </w:p>
    <w:p w14:paraId="1BE8797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E) o caráter hierarquizado desta sociedade conferia um alto grau de mobilidade social entre os seus membros</w:t>
      </w:r>
    </w:p>
    <w:p w14:paraId="4089549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F7F678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5. (Revolução Inglesa e Francesa) (PUC-SP)  As Revoluções Inglesas do século XVII e a Revolução Francesa são, muitas vezes, comparadas. Sobre tal comparação, pode-se dizer que </w:t>
      </w:r>
    </w:p>
    <w:p w14:paraId="05B32F6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62E9DB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é pertinente, pois são exemplos de processos que resultaram em derrota do absolutismo monárquico; no entanto, há muitas diferenças entre elas, como a importante presença de questões religiosas no caso inglês e o expansionismo militar francês após o fim da revolução. </w:t>
      </w:r>
    </w:p>
    <w:p w14:paraId="0566709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é equivocada, pois, na Inglaterra, houve vitória do projeto republicano e, na França, da proposta monárquica; no entanto foram ambas iniciadas pela ação militar das tropas napoleônicas que invadiram a Inglaterra, rompendo o tradicional domínio britânico dos mares. </w:t>
      </w:r>
    </w:p>
    <w:p w14:paraId="45FB3B2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é pertinente, pois são exemplos de revolução social proletária de inspiração marxista; no entanto os projetos populares radicais foram derrotados na Inglaterra (os “niveladores”, por exemplo) e vitoriosos na França (os “sans-culottes”). </w:t>
      </w:r>
    </w:p>
    <w:p w14:paraId="52186A1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é equivocada, pois, na Inglaterra, as revoluções tiveram caráter exclusivamente religioso, e, na França, representaram a vitória definitiva da proposta republicana anticlerical; no entanto ambas foram movimentos antiabsolutistas. </w:t>
      </w:r>
    </w:p>
    <w:p w14:paraId="0DAB771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é pertinente, pois são exemplos de revoluções burguesas; no entanto, na Inglaterra, as lutas foram realizadas e controladas exclusivamente pela burguesia, e, na França, contaram com grande participação de camponeses e de operários. </w:t>
      </w:r>
    </w:p>
    <w:p w14:paraId="0604425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C71B1A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0BA7B9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D25056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04C682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E447B3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6.</w:t>
      </w:r>
    </w:p>
    <w:p w14:paraId="34376E55" w14:textId="0EE3F1A4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noProof/>
          <w:sz w:val="20"/>
          <w:szCs w:val="20"/>
          <w:lang w:eastAsia="zh-CN"/>
        </w:rPr>
        <w:drawing>
          <wp:inline distT="0" distB="0" distL="0" distR="0" wp14:anchorId="59267CE0" wp14:editId="435E2CA8">
            <wp:extent cx="2948305" cy="1681480"/>
            <wp:effectExtent l="0" t="0" r="0" b="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305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70B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394030E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A gravura representa a marcha de mulheres revolucionárias até o palácio real de Versalhes em 5 de outubro de 1789.</w:t>
      </w:r>
    </w:p>
    <w:p w14:paraId="6EA02E3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21A8F5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 participação das mulheres na Revolução Francesa </w:t>
      </w:r>
    </w:p>
    <w:p w14:paraId="1FFA951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levou à conquista do direito de voto, porém não do direito de exercer cargos executivos no novo governo francês.   </w:t>
      </w:r>
    </w:p>
    <w:p w14:paraId="6B355C1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lastRenderedPageBreak/>
        <w:t xml:space="preserve">B) teve ressonância parcial nas decisões políticas, pois apenas as mulheres da alta burguesia envolveram-se nos protestos políticos e civis.    </w:t>
      </w:r>
    </w:p>
    <w:p w14:paraId="791A603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foi notável nas manifestações e clubes políticos, porém seus direitos políticos e sociais não foram ampliados significativamente.   </w:t>
      </w:r>
    </w:p>
    <w:p w14:paraId="03EA7FBE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originou a igualdade de direitos civis em relação aos homens após a proclamação da Declaração dos Direitos do Homem e do Cidadão.   </w:t>
      </w:r>
    </w:p>
    <w:p w14:paraId="56335A7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diminuiu bastante após os conflitos e a violência generalizada que marcaram a tomada da Bastilha.   </w:t>
      </w:r>
    </w:p>
    <w:p w14:paraId="0B21604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A77DC6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7. "(...) a revolução que não se radicaliza morre melancolicamente, como a burguesa. A rigor, uma só revolução existe, a que se deflagrou em 1789: enquanto viveu, ela quis expandir-se, e, assim, a República Francesa se considerou e tentou universal - até o momento em que a pretensão de libertar o mundo se converteu na de anexá-lo, em que os ideais republicanos se reduziram ao imperialismo bonapartista."</w:t>
      </w:r>
    </w:p>
    <w:p w14:paraId="034F86B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CEF8A1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(Ribeiro, Renato Janine. </w:t>
      </w:r>
      <w:r w:rsidRPr="005B11B1">
        <w:rPr>
          <w:i/>
          <w:iCs/>
          <w:sz w:val="20"/>
          <w:szCs w:val="20"/>
          <w:lang w:eastAsia="zh-CN"/>
        </w:rPr>
        <w:t>A Última Razão dos Reis</w:t>
      </w:r>
      <w:r w:rsidRPr="005B11B1">
        <w:rPr>
          <w:sz w:val="20"/>
          <w:szCs w:val="20"/>
          <w:lang w:eastAsia="zh-CN"/>
        </w:rPr>
        <w:t>. São Paulo, Cia. das Letras, 1993.)</w:t>
      </w:r>
    </w:p>
    <w:p w14:paraId="2C90B6D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6C3794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Napoleão Bonaparte já foi considerado, historicamente, tanto um continuador dos ideais da Revolução Francesa, quanto um deturpador dos mesmos ideais. Apresente argumentos que justifiquem considerá-lo dessas duas maneiras.</w:t>
      </w:r>
    </w:p>
    <w:p w14:paraId="541149F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364FCED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8. (UFPR) Em 1806 o imperador Napoleão Bonaparte decretou o chamado Bloqueio Continental. Explique as motivações desse ato e indique suas repercussões.</w:t>
      </w:r>
    </w:p>
    <w:p w14:paraId="2EBEF1D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E506F8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9. (Unesp) (Congresso de Viena) (Fácil) O Congresso de Viena, entre 1814 e 1815, reuniu representantes de diversos Estados europeus e resultou </w:t>
      </w:r>
    </w:p>
    <w:p w14:paraId="1ED2ED7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na afirmação do caráter laico dos regimes políticos e da importância da separação entre Estado e Igreja.   </w:t>
      </w:r>
    </w:p>
    <w:p w14:paraId="1CEC2E2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na criação da Santa Aliança e no esforço de reafirmar valores do Antigo Regime.   </w:t>
      </w:r>
    </w:p>
    <w:p w14:paraId="2BB3F5D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na validação da nova divisão política da Europa, definida pelas conquistas napoleônicas.   </w:t>
      </w:r>
    </w:p>
    <w:p w14:paraId="31EB519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na derrubada dos regimes republicanos e na restauração monárquica na França e na Inglaterra.   </w:t>
      </w:r>
    </w:p>
    <w:p w14:paraId="2BA5B37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na defesa dos princípios do livre comércio e da emancipação das colônias na América.   </w:t>
      </w:r>
    </w:p>
    <w:p w14:paraId="0EE2E37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313D93D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25D74C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10 (UFBA) </w:t>
      </w:r>
    </w:p>
    <w:p w14:paraId="7654B4D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TEXTO I: "A pressão dos exércitos de Napoleão e os interesses ingleses em Portugal e suas colônias levaram o príncipe regente, D. João, a transferir-se para o Rio de Janeiro (1808) com toda a sua família (inclusive a mãe, a rainha D. Maria I) e sua Corte (...) [em] navios portugueses que saíram de Lisboa trazendo a Família Real, membros da Corte e funcionários (aproximadamente 15.000 pessoas, em 36 embarcações)." (DARÓS, p. 10) </w:t>
      </w:r>
    </w:p>
    <w:p w14:paraId="2AAA030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TEXTO II: "Na realidade, quase de súbito, e no maior atropelo, tomaram-se providências para o embarque da Corte, quando as notícias da aproximação das tropas de Junot traziam alarma a toda a população. Foi um salve-se quem puder trágico, amargo, característico do nível de degradação a que chegara o Reino de Portugal sob o governo bragantino e de uma classe feudal inepta e corrupta. " (MENDES JR., p. 98) Analisando os textos anteriores, pode-se concluir:</w:t>
      </w:r>
    </w:p>
    <w:p w14:paraId="57421D0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E612D7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(01) O texto I sugere que a fuga da Corte Portuguesa aconteceu de forma organizada, endossando a versão tradicional de que esse era um antigo plano da monarquia lusitana.</w:t>
      </w:r>
    </w:p>
    <w:p w14:paraId="111A6C2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(02) O texto II trata a questão da fuga da Família Real Portuguesa para o Brasil de forma alegórica, na medida em que utiliza elementos satíricos, ao analisar um fato histórico.</w:t>
      </w:r>
    </w:p>
    <w:p w14:paraId="3DB4BF6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(04) O texto I enfoca o tema do ponto de vista da historiografia romântico-oficial, transformando um fato marcado até por elementos tragicômicos num ato de racionalidade.</w:t>
      </w:r>
    </w:p>
    <w:p w14:paraId="5A20CAEE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(08) O texto II aborda o fato histórico segundo uma linha crítico-interpretativa, ressaltando suas múltiplas implicações. </w:t>
      </w:r>
    </w:p>
    <w:p w14:paraId="371602D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(16) Os textos I e II relacionam a fuga da Corte Portuguesa para o Brasil à expansão napoleônica, embora sob perspectivas históricas contrárias. </w:t>
      </w:r>
    </w:p>
    <w:p w14:paraId="6278185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(32) Os textos I e II apresentam visões contestadas pela literatura histórica, uma vez que partem de um enfoque eurocêntrico para a análise de fatos da história do Brasil. </w:t>
      </w:r>
    </w:p>
    <w:p w14:paraId="344BD0A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5B91405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Soma ( )</w:t>
      </w:r>
    </w:p>
    <w:p w14:paraId="6E5ED62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74A49A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7F810B1" w14:textId="77777777" w:rsidR="005B11B1" w:rsidRPr="005B11B1" w:rsidRDefault="005B11B1" w:rsidP="005B11B1">
      <w:pPr>
        <w:widowControl w:val="0"/>
        <w:spacing w:line="240" w:lineRule="auto"/>
        <w:rPr>
          <w:iCs/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11. (ESPM 2019) No</w:t>
      </w:r>
      <w:r w:rsidRPr="005B11B1">
        <w:rPr>
          <w:iCs/>
          <w:sz w:val="20"/>
          <w:szCs w:val="20"/>
          <w:lang w:eastAsia="zh-CN"/>
        </w:rPr>
        <w:t xml:space="preserve"> dia do golpe, 9 de novembro, a sucessão dos eventos é fulminante. Os episódios têm início já às 5 horas da manhã quando as convocações para uma reunião urgente, às 7, são expedidas aos anciãos </w:t>
      </w:r>
      <w:r w:rsidRPr="005B11B1">
        <w:rPr>
          <w:iCs/>
          <w:sz w:val="20"/>
          <w:szCs w:val="20"/>
          <w:lang w:eastAsia="zh-CN"/>
        </w:rPr>
        <w:lastRenderedPageBreak/>
        <w:t>(excetuados os poucos inclinados ao golpe). Às 6, Talleyrand preparava a carta de demissão do diretor Barras; às 7, um magote de oficiais se aco</w:t>
      </w:r>
      <w:r w:rsidRPr="005B11B1">
        <w:rPr>
          <w:iCs/>
          <w:sz w:val="20"/>
          <w:szCs w:val="20"/>
          <w:lang w:eastAsia="zh-CN"/>
        </w:rPr>
        <w:softHyphen/>
        <w:t>tovela nas portas da casa de Napoleão, que lhes fala da situação difícil do país (...)</w:t>
      </w:r>
    </w:p>
    <w:p w14:paraId="52A5104B" w14:textId="77777777" w:rsidR="005B11B1" w:rsidRPr="005B11B1" w:rsidRDefault="005B11B1" w:rsidP="005B11B1">
      <w:pPr>
        <w:widowControl w:val="0"/>
        <w:spacing w:line="240" w:lineRule="auto"/>
        <w:rPr>
          <w:iCs/>
          <w:sz w:val="20"/>
          <w:szCs w:val="20"/>
          <w:lang w:eastAsia="zh-CN"/>
        </w:rPr>
      </w:pPr>
    </w:p>
    <w:p w14:paraId="216EFDB7" w14:textId="77777777" w:rsidR="005B11B1" w:rsidRPr="005B11B1" w:rsidRDefault="005B11B1" w:rsidP="005B11B1">
      <w:pPr>
        <w:widowControl w:val="0"/>
        <w:spacing w:line="240" w:lineRule="auto"/>
        <w:rPr>
          <w:i/>
          <w:iCs/>
          <w:sz w:val="20"/>
          <w:szCs w:val="20"/>
          <w:lang w:eastAsia="zh-CN"/>
        </w:rPr>
      </w:pPr>
      <w:r w:rsidRPr="005B11B1">
        <w:rPr>
          <w:iCs/>
          <w:sz w:val="20"/>
          <w:szCs w:val="20"/>
          <w:lang w:eastAsia="zh-CN"/>
        </w:rPr>
        <w:t>Na cidade, vendem-se por toda parte panfletos que apresentam Napoleão como o salvador.</w:t>
      </w:r>
    </w:p>
    <w:p w14:paraId="3A08219C" w14:textId="77777777" w:rsidR="005B11B1" w:rsidRPr="005B11B1" w:rsidRDefault="005B11B1" w:rsidP="005B11B1">
      <w:pPr>
        <w:widowControl w:val="0"/>
        <w:spacing w:line="240" w:lineRule="auto"/>
        <w:rPr>
          <w:i/>
          <w:iCs/>
          <w:sz w:val="20"/>
          <w:szCs w:val="20"/>
          <w:lang w:eastAsia="zh-CN"/>
        </w:rPr>
      </w:pPr>
    </w:p>
    <w:p w14:paraId="64FE262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(Carlos Guilherme Mota. </w:t>
      </w:r>
      <w:r w:rsidRPr="005B11B1">
        <w:rPr>
          <w:i/>
          <w:iCs/>
          <w:sz w:val="20"/>
          <w:szCs w:val="20"/>
          <w:lang w:eastAsia="zh-CN"/>
        </w:rPr>
        <w:t>A Revolução Francesa</w:t>
      </w:r>
      <w:r w:rsidRPr="005B11B1">
        <w:rPr>
          <w:sz w:val="20"/>
          <w:szCs w:val="20"/>
          <w:lang w:eastAsia="zh-CN"/>
        </w:rPr>
        <w:t xml:space="preserve">) </w:t>
      </w:r>
    </w:p>
    <w:p w14:paraId="05098C4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O cenário descrito no texto deve ser rela</w:t>
      </w:r>
      <w:r w:rsidRPr="005B11B1">
        <w:rPr>
          <w:sz w:val="20"/>
          <w:szCs w:val="20"/>
          <w:lang w:eastAsia="zh-CN"/>
        </w:rPr>
        <w:softHyphen/>
        <w:t xml:space="preserve">cionado com:  </w:t>
      </w:r>
    </w:p>
    <w:p w14:paraId="5A56E318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o Período do Terror, ocorrido durante a Revolução Francesa;    </w:t>
      </w:r>
    </w:p>
    <w:p w14:paraId="5252FA1E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o Grande Medo, processo de violência desencadeado por camponeses, durante a Revolução Francesa;    </w:t>
      </w:r>
    </w:p>
    <w:p w14:paraId="5452280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C) o Golpe do 9 Termidor, quando a alta bur</w:t>
      </w:r>
      <w:r w:rsidRPr="005B11B1">
        <w:rPr>
          <w:sz w:val="20"/>
          <w:szCs w:val="20"/>
          <w:lang w:eastAsia="zh-CN"/>
        </w:rPr>
        <w:softHyphen/>
        <w:t>guesia reassumiu o poder através dos gi</w:t>
      </w:r>
      <w:r w:rsidRPr="005B11B1">
        <w:rPr>
          <w:sz w:val="20"/>
          <w:szCs w:val="20"/>
          <w:lang w:eastAsia="zh-CN"/>
        </w:rPr>
        <w:softHyphen/>
        <w:t xml:space="preserve">rondinos;    </w:t>
      </w:r>
    </w:p>
    <w:p w14:paraId="6ED6EAF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D) a implantação da Monarquia hereditária, quando Napoleão se fez proclamar impe</w:t>
      </w:r>
      <w:r w:rsidRPr="005B11B1">
        <w:rPr>
          <w:sz w:val="20"/>
          <w:szCs w:val="20"/>
          <w:lang w:eastAsia="zh-CN"/>
        </w:rPr>
        <w:softHyphen/>
        <w:t xml:space="preserve">rador;    </w:t>
      </w:r>
    </w:p>
    <w:p w14:paraId="4601C03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o Golpe do 18 Brumário, quando a burguesia encontra o braço forte armado para consolidar os seus interesses.    </w:t>
      </w:r>
    </w:p>
    <w:p w14:paraId="4C377211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 </w:t>
      </w:r>
    </w:p>
    <w:p w14:paraId="061FD49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12. (Era Napoleônica) (FCMSCSP) (Média) Os sucessos militares de Napoleão Bonaparte resultaram da organização de um novo exército de cidadãos pela Revolução Francesa. As vitórias de Bonaparte no continente europeu implicaram </w:t>
      </w:r>
    </w:p>
    <w:p w14:paraId="0E2B533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F250F5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consolidação das tradicionais dinastias absolutistas europeias.   </w:t>
      </w:r>
    </w:p>
    <w:p w14:paraId="3BCA880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desarticulação da produção têxtil da primeira revolução industrial.   </w:t>
      </w:r>
    </w:p>
    <w:p w14:paraId="63D20F78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desestabilização de sistemas de dominação das metrópoles ibéricas.   </w:t>
      </w:r>
    </w:p>
    <w:p w14:paraId="0CA86A01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propagações de revoluções sociais de caráter jacobino em escala universal.   </w:t>
      </w:r>
    </w:p>
    <w:p w14:paraId="33F7620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modificações geopolíticas restritas aos espaços da Europa Ocidental.   </w:t>
      </w:r>
    </w:p>
    <w:p w14:paraId="3479AE0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 </w:t>
      </w:r>
    </w:p>
    <w:p w14:paraId="3B16B89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13. (Unesp) (Congresso de Viena) Na Europa, as forças reacionárias que compunham a Santa Aliança não viam com bons olhos a emancipação política das colônias ibéricas na América. […] Todavia, o novo Império do Brasil podia contar com a aliança da poderosa Inglaterra, representada por George Canning, primeiro-ministro do rei Jorge IV. […] Canning acabaria por convencer o governo português a aceitar a soberania do Brasil, em 1825. Uma atitude coerente com o apoio que o governo britânico dera aos EUA, no ano anterior, por ocasião do lançamento da Doutrina Monroe, que afirmava o princípio da não intervenção europeia na América.</w:t>
      </w:r>
    </w:p>
    <w:p w14:paraId="71B4FFA0" w14:textId="77777777" w:rsidR="005B11B1" w:rsidRPr="005B11B1" w:rsidRDefault="005B11B1" w:rsidP="005B11B1">
      <w:pPr>
        <w:widowControl w:val="0"/>
        <w:spacing w:line="240" w:lineRule="auto"/>
        <w:rPr>
          <w:b/>
          <w:bCs/>
          <w:sz w:val="20"/>
          <w:szCs w:val="20"/>
          <w:lang w:eastAsia="zh-CN"/>
        </w:rPr>
      </w:pPr>
      <w:r w:rsidRPr="005B11B1">
        <w:rPr>
          <w:b/>
          <w:bCs/>
          <w:sz w:val="20"/>
          <w:szCs w:val="20"/>
          <w:lang w:eastAsia="zh-CN"/>
        </w:rPr>
        <w:t xml:space="preserve">(Ilmar Rohloff de Mattos e Luis Affonso Seigneur de Albuquerque. </w:t>
      </w:r>
      <w:r w:rsidRPr="005B11B1">
        <w:rPr>
          <w:b/>
          <w:bCs/>
          <w:i/>
          <w:iCs/>
          <w:sz w:val="20"/>
          <w:szCs w:val="20"/>
          <w:lang w:eastAsia="zh-CN"/>
        </w:rPr>
        <w:t>Independência ou morte: a emancipação política do Brasil</w:t>
      </w:r>
      <w:r w:rsidRPr="005B11B1">
        <w:rPr>
          <w:b/>
          <w:bCs/>
          <w:sz w:val="20"/>
          <w:szCs w:val="20"/>
          <w:lang w:eastAsia="zh-CN"/>
        </w:rPr>
        <w:t>, 1991.)</w:t>
      </w:r>
    </w:p>
    <w:p w14:paraId="47BF9DD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D17906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O texto relaciona </w:t>
      </w:r>
    </w:p>
    <w:p w14:paraId="2C0CBCCE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7FB3F37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a restauração das monarquias absolutistas no continente europeu, a industrialização dos Estados Unidos e a constituição da Federação dos Estados Independentes da América Latina.    </w:t>
      </w:r>
    </w:p>
    <w:p w14:paraId="358F104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a influência da Igreja católica nos assuntos políticos europeus, o controle britânico dos mares depois do Ato de Navegação e o avanço imperialista dos Estados Unidos sobre o Brasil.    </w:t>
      </w:r>
    </w:p>
    <w:p w14:paraId="4C6FCED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a disposição europeia de recolonização da América, o Bloqueio Continental determinado pela França e os acordos de livre-comércio do Brasil com os países hispano-americanos.    </w:t>
      </w:r>
    </w:p>
    <w:p w14:paraId="785F6C5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a penetração dos industrializados britânicos nos mercados europeus, a tolerância portuguesa em relação ao emancipacionismo brasileiro e a independência política dos Estados Unidos.    </w:t>
      </w:r>
    </w:p>
    <w:p w14:paraId="7FCC3C1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E) a reorganização da Europa continental depois do período de domínio napoleônico, os processos de independência na América e a ampliação do controle comercial mundial pela Inglaterra.</w:t>
      </w:r>
    </w:p>
    <w:p w14:paraId="592938C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D73499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AD9E00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14. (Uerj)  </w:t>
      </w:r>
    </w:p>
    <w:p w14:paraId="4374F1D1" w14:textId="50663642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noProof/>
          <w:sz w:val="20"/>
          <w:szCs w:val="20"/>
          <w:lang w:eastAsia="zh-CN"/>
        </w:rPr>
        <w:lastRenderedPageBreak/>
        <w:drawing>
          <wp:inline distT="0" distB="0" distL="0" distR="0" wp14:anchorId="11EEDCD6" wp14:editId="3790FDD2">
            <wp:extent cx="1504950" cy="2157730"/>
            <wp:effectExtent l="0" t="0" r="0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DC77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6896F8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A derrota de Napoleão Bonaparte, em 1814-1815, foi registrada de diversas formas nas sociedades europeias. Na imagem, o imperador francês tenta devorar o globo terrestre, sendo atacado por uma águia, um dos símbolos do Império Russo.</w:t>
      </w:r>
    </w:p>
    <w:p w14:paraId="0188657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8AA1EE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Dois impactos que as guerras napoleônicas exerceram sobre as relações internacionais na Europa da época foram: </w:t>
      </w:r>
    </w:p>
    <w:p w14:paraId="6170BAD1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crise agrária e consolidação dos Estados republicanos   </w:t>
      </w:r>
    </w:p>
    <w:p w14:paraId="3CBBD7F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concorrência industrial e retomada de domínios coloniais   </w:t>
      </w:r>
    </w:p>
    <w:p w14:paraId="0D59EC9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integração comercial e declínio de monarquias absolutistas   </w:t>
      </w:r>
    </w:p>
    <w:p w14:paraId="4DD7057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expansionismo territorial e reorganização das fronteiras políticas   </w:t>
      </w:r>
    </w:p>
    <w:p w14:paraId="4CFAB76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 </w:t>
      </w:r>
    </w:p>
    <w:p w14:paraId="495A8AD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318E0CB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15.   Leia atentamente o documento abaixo e depois responda às questões propostas.</w:t>
      </w:r>
    </w:p>
    <w:p w14:paraId="318A8673" w14:textId="77777777" w:rsidR="005B11B1" w:rsidRPr="005B11B1" w:rsidRDefault="005B11B1" w:rsidP="005B11B1">
      <w:pPr>
        <w:widowControl w:val="0"/>
        <w:spacing w:line="240" w:lineRule="auto"/>
        <w:rPr>
          <w:i/>
          <w:iCs/>
          <w:sz w:val="20"/>
          <w:szCs w:val="20"/>
          <w:lang w:eastAsia="zh-CN"/>
        </w:rPr>
      </w:pPr>
    </w:p>
    <w:p w14:paraId="2A54A592" w14:textId="77777777" w:rsidR="005B11B1" w:rsidRPr="005B11B1" w:rsidRDefault="005B11B1" w:rsidP="005B11B1">
      <w:pPr>
        <w:widowControl w:val="0"/>
        <w:spacing w:line="240" w:lineRule="auto"/>
        <w:rPr>
          <w:i/>
          <w:iCs/>
          <w:sz w:val="20"/>
          <w:szCs w:val="20"/>
          <w:lang w:eastAsia="zh-CN"/>
        </w:rPr>
      </w:pPr>
      <w:r w:rsidRPr="005B11B1">
        <w:rPr>
          <w:i/>
          <w:iCs/>
          <w:sz w:val="20"/>
          <w:szCs w:val="20"/>
          <w:lang w:eastAsia="zh-CN"/>
        </w:rPr>
        <w:t>Título I</w:t>
      </w:r>
    </w:p>
    <w:p w14:paraId="0C60A9E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i/>
          <w:iCs/>
          <w:sz w:val="20"/>
          <w:szCs w:val="20"/>
          <w:lang w:eastAsia="zh-CN"/>
        </w:rPr>
        <w:t xml:space="preserve">Artigo 1. O governo da república é confiado a um Imperador que toma o título de Imperador dos Franceses </w:t>
      </w:r>
      <w:r w:rsidRPr="005B11B1">
        <w:rPr>
          <w:sz w:val="20"/>
          <w:szCs w:val="20"/>
          <w:lang w:eastAsia="zh-CN"/>
        </w:rPr>
        <w:t>(...)</w:t>
      </w:r>
    </w:p>
    <w:p w14:paraId="7363EBC5" w14:textId="77777777" w:rsidR="005B11B1" w:rsidRPr="005B11B1" w:rsidRDefault="005B11B1" w:rsidP="005B11B1">
      <w:pPr>
        <w:widowControl w:val="0"/>
        <w:spacing w:line="240" w:lineRule="auto"/>
        <w:rPr>
          <w:i/>
          <w:iCs/>
          <w:sz w:val="20"/>
          <w:szCs w:val="20"/>
          <w:lang w:eastAsia="zh-CN"/>
        </w:rPr>
      </w:pPr>
      <w:r w:rsidRPr="005B11B1">
        <w:rPr>
          <w:i/>
          <w:iCs/>
          <w:sz w:val="20"/>
          <w:szCs w:val="20"/>
          <w:lang w:eastAsia="zh-CN"/>
        </w:rPr>
        <w:t xml:space="preserve">Artigo 2. Napoleão Bonaparte, atual Primeiro Cônsul da República, é o imperador dos Franceses. Napoleão Bonaparte, primeiro Imperador dos Franceses: </w:t>
      </w:r>
      <w:r w:rsidRPr="005B11B1">
        <w:rPr>
          <w:sz w:val="20"/>
          <w:szCs w:val="20"/>
          <w:lang w:eastAsia="zh-CN"/>
        </w:rPr>
        <w:t xml:space="preserve">Senatus-Consulto </w:t>
      </w:r>
      <w:r w:rsidRPr="005B11B1">
        <w:rPr>
          <w:i/>
          <w:iCs/>
          <w:sz w:val="20"/>
          <w:szCs w:val="20"/>
          <w:lang w:eastAsia="zh-CN"/>
        </w:rPr>
        <w:t>de 18 de maio de 1804.</w:t>
      </w:r>
    </w:p>
    <w:p w14:paraId="5B58DC6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7B0B39CB" w14:textId="77777777" w:rsidR="005B11B1" w:rsidRPr="005B11B1" w:rsidRDefault="005B11B1" w:rsidP="005B11B1">
      <w:pPr>
        <w:widowControl w:val="0"/>
        <w:spacing w:line="240" w:lineRule="auto"/>
        <w:rPr>
          <w:b/>
          <w:bCs/>
          <w:sz w:val="20"/>
          <w:szCs w:val="20"/>
          <w:lang w:eastAsia="zh-CN"/>
        </w:rPr>
      </w:pPr>
      <w:r w:rsidRPr="005B11B1">
        <w:rPr>
          <w:b/>
          <w:bCs/>
          <w:sz w:val="20"/>
          <w:szCs w:val="20"/>
          <w:lang w:eastAsia="zh-CN"/>
        </w:rPr>
        <w:t xml:space="preserve">MATTOSO, K. M. de Q. (org.) </w:t>
      </w:r>
      <w:r w:rsidRPr="005B11B1">
        <w:rPr>
          <w:b/>
          <w:bCs/>
          <w:i/>
          <w:iCs/>
          <w:sz w:val="20"/>
          <w:szCs w:val="20"/>
          <w:lang w:eastAsia="zh-CN"/>
        </w:rPr>
        <w:t>Textos e documentos para o estudo da História Contemporânea (1789-1963)</w:t>
      </w:r>
      <w:r w:rsidRPr="005B11B1">
        <w:rPr>
          <w:b/>
          <w:bCs/>
          <w:sz w:val="20"/>
          <w:szCs w:val="20"/>
          <w:lang w:eastAsia="zh-CN"/>
        </w:rPr>
        <w:t>. São Paulo: Hucitec/Edusp, 1977, p. 38.</w:t>
      </w:r>
    </w:p>
    <w:p w14:paraId="78B528A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A) Explique o processo histórico que desembocou na ascensão de Napoleão como imperador na França.</w:t>
      </w:r>
    </w:p>
    <w:p w14:paraId="58E5EEC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B) Aponte duas medidas implementadas por Napoleão durante o seu império.</w:t>
      </w:r>
    </w:p>
    <w:p w14:paraId="08062D3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Explique o contexto internacional do período napoleônico. </w:t>
      </w:r>
    </w:p>
    <w:p w14:paraId="7001B0E1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BEBAB6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16.   Assinale com V as afirmações verdadeiras e com F as falsas: </w:t>
      </w:r>
    </w:p>
    <w:p w14:paraId="6B1AD45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7F513CE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Sobre o Código Civil elaborado no período napoleônico, podemos afirmar:</w:t>
      </w:r>
    </w:p>
    <w:p w14:paraId="6A9B9E8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    ) Na elaboração houve a atuação direta de Napoleão, embora houvesse uma comissão de quatro membros para elaborá-la.</w:t>
      </w:r>
    </w:p>
    <w:p w14:paraId="6F1D64B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    ) Traduziu concretamente os princípios da Declaração dos Direitos do Homem: liberdade individual, de trabalho, de consciência; Estado leigo; igualdade perante a Lei.</w:t>
      </w:r>
    </w:p>
    <w:p w14:paraId="55AD280E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    ) Proibia a fortuna herdada, a fortuna adquirida e a propriedade privada.</w:t>
      </w:r>
    </w:p>
    <w:p w14:paraId="6EE672D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    ) Destacava e protegia o trabalho assalariado e estimulava as coalizões operárias.</w:t>
      </w:r>
    </w:p>
    <w:p w14:paraId="19D035B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    ) Subordinava a mulher ao homem, mantinha o divórcio e restabelecia a escravidão nas colônias. </w:t>
      </w:r>
    </w:p>
    <w:p w14:paraId="63AA5DE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val="en-US" w:eastAsia="zh-CN"/>
        </w:rPr>
      </w:pPr>
      <w:r w:rsidRPr="005B11B1">
        <w:rPr>
          <w:sz w:val="20"/>
          <w:szCs w:val="20"/>
          <w:lang w:val="en-GB" w:eastAsia="zh-CN"/>
        </w:rPr>
        <w:t xml:space="preserve">A) F, V, V, F, F   </w:t>
      </w:r>
    </w:p>
    <w:p w14:paraId="19E1B41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val="en-US" w:eastAsia="zh-CN"/>
        </w:rPr>
      </w:pPr>
      <w:r w:rsidRPr="005B11B1">
        <w:rPr>
          <w:sz w:val="20"/>
          <w:szCs w:val="20"/>
          <w:lang w:val="en-GB" w:eastAsia="zh-CN"/>
        </w:rPr>
        <w:t xml:space="preserve">B) V, F, F, V, F   </w:t>
      </w:r>
    </w:p>
    <w:p w14:paraId="02C5FD1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val="en-US" w:eastAsia="zh-CN"/>
        </w:rPr>
      </w:pPr>
      <w:r w:rsidRPr="005B11B1">
        <w:rPr>
          <w:sz w:val="20"/>
          <w:szCs w:val="20"/>
          <w:lang w:val="en-GB" w:eastAsia="zh-CN"/>
        </w:rPr>
        <w:t xml:space="preserve">C) F, V, F, V, V   </w:t>
      </w:r>
    </w:p>
    <w:p w14:paraId="008C34EE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val="en-US" w:eastAsia="zh-CN"/>
        </w:rPr>
      </w:pPr>
      <w:r w:rsidRPr="005B11B1">
        <w:rPr>
          <w:sz w:val="20"/>
          <w:szCs w:val="20"/>
          <w:lang w:val="en-GB" w:eastAsia="zh-CN"/>
        </w:rPr>
        <w:t xml:space="preserve">D) V, V, F, F, V   </w:t>
      </w:r>
    </w:p>
    <w:p w14:paraId="1DD7377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V, F, V, V, F   </w:t>
      </w:r>
    </w:p>
    <w:p w14:paraId="64770EF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685D868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17. (Unesp 2020)  Na Europa, as forças reacionárias que compunham a Santa Aliança não viam com bons olhos a emancipação política das colônias ibéricas na América. […] Todavia, o novo Império do Brasil podia contar com a aliança da poderosa Inglaterra, representada por George Canning, primeiro-ministro do rei Jorge IV. […] </w:t>
      </w:r>
      <w:r w:rsidRPr="005B11B1">
        <w:rPr>
          <w:sz w:val="20"/>
          <w:szCs w:val="20"/>
          <w:lang w:eastAsia="zh-CN"/>
        </w:rPr>
        <w:lastRenderedPageBreak/>
        <w:t xml:space="preserve">Canning acabaria por convencer o governo português a aceitar a soberania do Brasil, em 1825. Uma atitude coerente com o apoio que o governo britânico dera aos EUA, no ano anterior, por ocasião do lançamento da Doutrina Monroe, que afirmava o princípio da não intervenção europeia na América. (Ilmar Rohloff de Mattos e Luis Affonso Seigneur de Albuquerque. </w:t>
      </w:r>
      <w:r w:rsidRPr="005B11B1">
        <w:rPr>
          <w:i/>
          <w:iCs/>
          <w:sz w:val="20"/>
          <w:szCs w:val="20"/>
          <w:lang w:eastAsia="zh-CN"/>
        </w:rPr>
        <w:t>Independência ou morte: a emancipação política do Brasil</w:t>
      </w:r>
      <w:r w:rsidRPr="005B11B1">
        <w:rPr>
          <w:sz w:val="20"/>
          <w:szCs w:val="20"/>
          <w:lang w:eastAsia="zh-CN"/>
        </w:rPr>
        <w:t>, 1991.)</w:t>
      </w:r>
    </w:p>
    <w:p w14:paraId="17CBF8A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O texto relaciona </w:t>
      </w:r>
    </w:p>
    <w:p w14:paraId="070E131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a restauração das monarquias absolutistas no continente europeu, a industrialização dos Estados Unidos e a constituição da Federação dos Estados Independentes da América Latina.    </w:t>
      </w:r>
    </w:p>
    <w:p w14:paraId="41FEB0E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a influência da Igreja católica nos assuntos políticos europeus, o controle britânico dos mares depois do Ato de Navegação e o avanço imperialista dos Estados Unidos sobre o Brasil.    </w:t>
      </w:r>
    </w:p>
    <w:p w14:paraId="62D517B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a disposição europeia de recolonização da América, o Bloqueio Continental determinado pela França e os acordos de livre-comércio do Brasil com os países hispano-americanos.    </w:t>
      </w:r>
    </w:p>
    <w:p w14:paraId="23FC594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a penetração dos industrializados britânicos nos mercados europeus, a tolerância portuguesa em relação ao emancipacionismo brasileiro e a independência política dos Estados Unidos.    </w:t>
      </w:r>
    </w:p>
    <w:p w14:paraId="22F97AF8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a reorganização da Europa continental depois do período de domínio napoleônico, os processos de independência na América e a ampliação do controle comercial mundial pela Inglaterra.   </w:t>
      </w:r>
    </w:p>
    <w:p w14:paraId="57EF39D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F8A93F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18.(Ufba) Sobre a crise do antigo sistema colonial, sabe-se:</w:t>
      </w:r>
    </w:p>
    <w:p w14:paraId="525C5B8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3C30253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(01) O desenvolvimento do capital industrial e a crise do Estado absolutista resultaram em contestações ao sistema colonial montado segundo os princípios da política mercantilista.</w:t>
      </w:r>
    </w:p>
    <w:p w14:paraId="1E11247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(02) De acordo com as teses livre-cambistas, defendidas a partir da Revolução Industrial, o sistema colonial era espoliativo das metrópoles, sempre obrigadas a manter despesas com suas colônias e a comprar produtos inferiores por elas produzidos.</w:t>
      </w:r>
    </w:p>
    <w:p w14:paraId="12B0055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(04) Os princípios do liberalismo econômico foram veementemente defendidos pela burguesia e pelo Estado, em Portugal, porque preconizavam os direitos naturais do homem, a abolição do trabalho escravo e a soberania das nações.</w:t>
      </w:r>
    </w:p>
    <w:p w14:paraId="05CA22A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(08) A Guerra dos Mascates se caracterizou como um movimento entre colonos e metrópole, enquanto a Inconfidência Mineira e a Conjuração dos Alfaiates se caracterizaram como movimentos anticoloniais. </w:t>
      </w:r>
    </w:p>
    <w:p w14:paraId="36A0ACD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(16) A mais evidente demonstração de apoio prestado pelo Estado e burguesia portugueses ao liberalismo ocorreu com a "Abertura dos portos do Brasil às nações amigas", em 1808. </w:t>
      </w:r>
    </w:p>
    <w:p w14:paraId="4D13D98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(32) A independência das colônias inglesas da América, na segunda metade do século XVIII, influenciou os movimentos emancipacionistas das colônias luso-espanholas do continente, cujos revolucionários solicitaram apoio ao país recém-independente. </w:t>
      </w:r>
    </w:p>
    <w:p w14:paraId="0D8DAC1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(64) Os direitos inalienáveis do homem defendidos pelos iluministas só foram respeitados, no Brasil, durante o império e a República. </w:t>
      </w:r>
    </w:p>
    <w:p w14:paraId="0F10059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Soma ( )</w:t>
      </w:r>
    </w:p>
    <w:p w14:paraId="74B22DE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72986A9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19. (Fuvest) Do ponto de vista econômico, que medidas tomadas por D. João no Brasil aceleraram o processo de independência? Por quê?</w:t>
      </w:r>
    </w:p>
    <w:p w14:paraId="5C3DCAA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993E0C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20.(Puccamp) A transferência da corte portuguesa para o Brasil conferiu à nossa independência política uma característica singular, pois favoreceu a</w:t>
      </w:r>
    </w:p>
    <w:p w14:paraId="4923EF8A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A) ruptura do pacto colonial, sem graves convulsões sociais e, também, sem a fragmentação territorial.</w:t>
      </w:r>
    </w:p>
    <w:p w14:paraId="02A95D8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B) manutenção do exclusivo colonial e a continuidade dos investimentos portugueses.</w:t>
      </w:r>
    </w:p>
    <w:p w14:paraId="36758FB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C) coesão partidária sem contestação e a unidade provincial em torno do novo regime.</w:t>
      </w:r>
    </w:p>
    <w:p w14:paraId="5717DFA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D) alteração da estrutura social anterior e, também, da organização econômica.</w:t>
      </w:r>
    </w:p>
    <w:p w14:paraId="49EC485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E) permanência dos funcionários ligados à corte e, também, dos burocratas lusos.</w:t>
      </w:r>
    </w:p>
    <w:p w14:paraId="08A0D5D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D37E8C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21. (UFRRJ) A citação a seguir destaca a chegada da corte portuguesa ao Rio de Janeiro, em 1808, como um início de uma fase de grandes mudanças para a cidade que perdia então a sua imagem colonial. Para o Rio de Janeiro, principalmente, era toda uma fase de sua história que agora terminava. Fase de grandes transformações realizadas sob o impacto das necessidades de toda ordem despertadas pela chegada e instalação da Corte portuguesa. Em pouco mais de uma década, a cidade passara por um processo de modernização material e atualização cultural, perdendo muito de sua aparência colonial para transformar-se numa metrópole. FALCÓN, F. C.; MATTOS, I. R. de. "O Processo de Independência no Rio de Janeiro". In: MOTA, C. G. (org.). 1822. Dimensões. São Paulo: Perspectiva, 1972.</w:t>
      </w:r>
    </w:p>
    <w:p w14:paraId="04E9EE11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D5EB88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Entre as medidas que favoreceram essas transformações podem ser assinaladas: </w:t>
      </w:r>
    </w:p>
    <w:p w14:paraId="55D8D46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o início da construção do Paço Imperial, a sede do governo, a criação da Imprensa Régia e a instalação da iluminação a gás. </w:t>
      </w:r>
    </w:p>
    <w:p w14:paraId="7A5A2FD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a construção da primeira estrada de ferro do Brasil, a criação do banco do Brasil e a fundação da Imperial </w:t>
      </w:r>
      <w:r w:rsidRPr="005B11B1">
        <w:rPr>
          <w:sz w:val="20"/>
          <w:szCs w:val="20"/>
          <w:lang w:eastAsia="zh-CN"/>
        </w:rPr>
        <w:lastRenderedPageBreak/>
        <w:t xml:space="preserve">Academia de Música. </w:t>
      </w:r>
    </w:p>
    <w:p w14:paraId="70EA279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o estabelecimento da Intendência Geral de Polícia, a fundação do Banco do Brasil e a criação da Imprensa Régia. </w:t>
      </w:r>
    </w:p>
    <w:p w14:paraId="61FCC53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a criação da Imprensa Régia, a instalação da iluminação a gás e a construção da primeira estrada de ferro do Brasil. </w:t>
      </w:r>
    </w:p>
    <w:p w14:paraId="392672D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E) a permissão de instalação de manufaturas no Brasil, o estabelecimento da Intendência geral de Polícia e a construção da primeira estrada de ferro do Brasil.</w:t>
      </w:r>
    </w:p>
    <w:p w14:paraId="1311AF1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876527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22. (UFPE) Atribuiu-se aos revolucionários de 1817 a defesa da soberania popular, a separação entre os poderes (legislativo, executivo e judiciário), a liberdade de culto e de expressão e a igualdade de direitos. Sobre esse movimento é correto afirmar: </w:t>
      </w:r>
    </w:p>
    <w:p w14:paraId="5E4705B5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A revolta civil e militar, de 1817 em Pernambuco, destituiu o governo e estabeleceu pela força das armas um governo republicano, dando mostras de uma verdadeira revolução popular. </w:t>
      </w:r>
    </w:p>
    <w:p w14:paraId="65B2E67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O governo republicano que se instalou em Pernambuco em 1817, encontrou a estratégia militar que lhe garantiu a permanência no poder até abril de 1822. </w:t>
      </w:r>
    </w:p>
    <w:p w14:paraId="1B404AC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A ajuda do governo português aos revoltosos de 1817 em Pernambuco veio através de forças navais e terrestres, consolidando-se, então, o governo republicano revolucionário de Pernambuco. </w:t>
      </w:r>
    </w:p>
    <w:p w14:paraId="0C81B58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a origem de classe dos líderes do movimento republicano de 1817 não permitiu a radicalização das mudanças nas estruturas econômicas e sociais existentes. </w:t>
      </w:r>
    </w:p>
    <w:p w14:paraId="671E7BF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E) Em razão da ampla repressão do governo português ao movimento de 1817, os líderes foram presos e executados, inclusive o Frei Joaquim do Amor Divino Rabelo e Caneca.</w:t>
      </w:r>
    </w:p>
    <w:p w14:paraId="1787D21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50925CE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23. (UFSC) Sobre a relação entre as ideias liberais e o processo de independência política do Brasil, é correto afirmar: </w:t>
      </w:r>
    </w:p>
    <w:p w14:paraId="1A038A8D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o liberalismo constituiu-se no principal instrumento ideológico na defesa da abolição dos escravos e da implantação da República. </w:t>
      </w:r>
    </w:p>
    <w:p w14:paraId="14E6FB4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os liberais brasileiros defendiam a independência política assim como criticavam a escravidão e a dependência econômica. </w:t>
      </w:r>
    </w:p>
    <w:p w14:paraId="7C425ACF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a defesa do livre comércio e da livre iniciativa colocou os liberais na oposição ao processo de independência. </w:t>
      </w:r>
    </w:p>
    <w:p w14:paraId="18A2A1C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o liberalismo no Brasil assumiu um caráter radical e revolucionário, associado ao republicanismo e ao abolicionismo. </w:t>
      </w:r>
    </w:p>
    <w:p w14:paraId="3224019E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>E) os liberais criticavam o Pacto Colonial e o exclusivo comercial, embora aceitassem a permanência da escravidão.</w:t>
      </w:r>
    </w:p>
    <w:p w14:paraId="2A5ECD16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1EE91CC" w14:textId="77777777" w:rsidR="005B11B1" w:rsidRPr="005B11B1" w:rsidRDefault="005B11B1" w:rsidP="005B11B1">
      <w:pPr>
        <w:widowControl w:val="0"/>
        <w:spacing w:line="240" w:lineRule="auto"/>
        <w:rPr>
          <w:i/>
          <w:iCs/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24. (Inconfidência Mineira) (UFTM) (Média) </w:t>
      </w:r>
      <w:r w:rsidRPr="005B11B1">
        <w:rPr>
          <w:i/>
          <w:iCs/>
          <w:sz w:val="20"/>
          <w:szCs w:val="20"/>
          <w:lang w:eastAsia="zh-CN"/>
        </w:rPr>
        <w:t>Era óbvia a sedução que o enforcamento do alferes representava para o governo português: pouca gente levaria a sério um movimento chefiado por um simples Tiradentes (e as autoridades lusas, depois de 1790, invariavelmente se referiam ao alferes por seu apelido de Tiradentes). Um julgamento-exibição, seguido pela execução pública de Silva Xavier, proporcionaria o impacto máximo, como advertência, ao mesmo tempo em que minimizaria e ridicularizaria os objetivos do movimento: Tiradentes seria um perfeito exemplo para outros colonos descontentes e tentados a pedir demais antes do tempo.</w:t>
      </w:r>
    </w:p>
    <w:p w14:paraId="085BF98F" w14:textId="77777777" w:rsidR="005B11B1" w:rsidRPr="005B11B1" w:rsidRDefault="005B11B1" w:rsidP="005B11B1">
      <w:pPr>
        <w:widowControl w:val="0"/>
        <w:spacing w:line="240" w:lineRule="auto"/>
        <w:rPr>
          <w:i/>
          <w:iCs/>
          <w:sz w:val="20"/>
          <w:szCs w:val="20"/>
          <w:lang w:eastAsia="zh-CN"/>
        </w:rPr>
      </w:pPr>
    </w:p>
    <w:p w14:paraId="4B818A23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(Kenneth Maxwell. </w:t>
      </w:r>
      <w:r w:rsidRPr="005B11B1">
        <w:rPr>
          <w:i/>
          <w:iCs/>
          <w:sz w:val="20"/>
          <w:szCs w:val="20"/>
          <w:lang w:eastAsia="zh-CN"/>
        </w:rPr>
        <w:t>A devassa da devassa</w:t>
      </w:r>
      <w:r w:rsidRPr="005B11B1">
        <w:rPr>
          <w:sz w:val="20"/>
          <w:szCs w:val="20"/>
          <w:lang w:eastAsia="zh-CN"/>
        </w:rPr>
        <w:t>, 1978.)</w:t>
      </w:r>
    </w:p>
    <w:p w14:paraId="439D3A7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1D94B6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O texto permite afirmar que </w:t>
      </w:r>
    </w:p>
    <w:p w14:paraId="082DF27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5BC002C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A) o fato de o movimento ser chefiado por um simples Tiradentes foi a razão do seu fracasso.   </w:t>
      </w:r>
    </w:p>
    <w:p w14:paraId="785F7E40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B) o governo tentou diminuir a relevância da revolta e aplicou punição exemplar em Tiradentes.   </w:t>
      </w:r>
    </w:p>
    <w:p w14:paraId="027B4BD9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C) o alferes foi enforcado por sua capacidade de liderar e seduzir os setores mais pobres do povo.   </w:t>
      </w:r>
    </w:p>
    <w:p w14:paraId="4F197B34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D) o despreparo de Tiradentes acabou por frustrar os planos de revolta contra os portugueses.   </w:t>
      </w:r>
    </w:p>
    <w:p w14:paraId="1F985CA7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E) o movimento chefiado por Tiradentes não chegou a preocupar as autoridades portuguesas.   </w:t>
      </w:r>
    </w:p>
    <w:p w14:paraId="33272638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  <w:r w:rsidRPr="005B11B1">
        <w:rPr>
          <w:sz w:val="20"/>
          <w:szCs w:val="20"/>
          <w:lang w:eastAsia="zh-CN"/>
        </w:rPr>
        <w:t xml:space="preserve"> </w:t>
      </w:r>
    </w:p>
    <w:p w14:paraId="7FF20AFB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39C3AD2" w14:textId="77777777" w:rsidR="005B11B1" w:rsidRPr="005B11B1" w:rsidRDefault="005B11B1" w:rsidP="005B11B1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1322F83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7095AD7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D0E4189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72175E7A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E12BD47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5158EA9B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6B7E0410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EB8165D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5C7A8DF2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0E00D6F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C537BE1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15BDE42B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2AC924E8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7E9E3496" w14:textId="77777777" w:rsidR="005B11B1" w:rsidRPr="009E3FB8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bookmarkEnd w:id="1"/>
    <w:bookmarkEnd w:id="0"/>
    <w:sectPr w:rsidR="005B11B1" w:rsidRPr="009E3FB8" w:rsidSect="009E3FB8">
      <w:headerReference w:type="even" r:id="rId10"/>
      <w:headerReference w:type="default" r:id="rId11"/>
      <w:headerReference w:type="first" r:id="rId12"/>
      <w:type w:val="continuous"/>
      <w:pgSz w:w="11907" w:h="16840" w:code="9"/>
      <w:pgMar w:top="1701" w:right="907" w:bottom="907" w:left="907" w:header="85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69896" w14:textId="77777777" w:rsidR="00AE65E1" w:rsidRDefault="00AE65E1">
      <w:r>
        <w:separator/>
      </w:r>
    </w:p>
  </w:endnote>
  <w:endnote w:type="continuationSeparator" w:id="0">
    <w:p w14:paraId="010457E0" w14:textId="77777777" w:rsidR="00AE65E1" w:rsidRDefault="00AE6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37F73" w14:textId="77777777" w:rsidR="00AE65E1" w:rsidRDefault="00AE65E1">
      <w:r>
        <w:separator/>
      </w:r>
    </w:p>
  </w:footnote>
  <w:footnote w:type="continuationSeparator" w:id="0">
    <w:p w14:paraId="56880D0A" w14:textId="77777777" w:rsidR="00AE65E1" w:rsidRDefault="00AE65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D1EB" w14:textId="77777777" w:rsidR="00933E75" w:rsidRDefault="005B11B1">
    <w:pPr>
      <w:pStyle w:val="Cabealho"/>
    </w:pPr>
    <w:r>
      <w:rPr>
        <w:noProof/>
      </w:rPr>
      <w:pict w14:anchorId="156C9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1050" type="#_x0000_t75" style="position:absolute;left:0;text-align:left;margin-left:0;margin-top:0;width:502.55pt;height:710.75pt;z-index:-25166489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74C8" w14:textId="2EA01AF7" w:rsidR="000B233C" w:rsidRDefault="005B11B1">
    <w:pPr>
      <w:pStyle w:val="Cabealho"/>
    </w:pPr>
    <w:r>
      <w:rPr>
        <w:noProof/>
      </w:rPr>
      <w:pict w14:anchorId="02A1B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1051" type="#_x0000_t75" style="position:absolute;left:0;text-align:left;margin-left:0;margin-top:0;width:502.55pt;height:710.75pt;z-index:-251663872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49536" behindDoc="0" locked="0" layoutInCell="1" allowOverlap="1" wp14:anchorId="10BBF765" wp14:editId="35057D2E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2126696564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28CEF0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4E977C18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D904" w14:textId="77777777" w:rsidR="00933E75" w:rsidRDefault="005B11B1">
    <w:pPr>
      <w:pStyle w:val="Cabealho"/>
    </w:pPr>
    <w:r>
      <w:rPr>
        <w:noProof/>
      </w:rPr>
      <w:pict w14:anchorId="160E8A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592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3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4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5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6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7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8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9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0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1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2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3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4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5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6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7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18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19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0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1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2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3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4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5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6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7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8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29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0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2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3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5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6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7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38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9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0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1517425536">
    <w:abstractNumId w:val="33"/>
  </w:num>
  <w:num w:numId="2" w16cid:durableId="1241256100">
    <w:abstractNumId w:val="40"/>
  </w:num>
  <w:num w:numId="3" w16cid:durableId="543830360">
    <w:abstractNumId w:val="5"/>
  </w:num>
  <w:num w:numId="4" w16cid:durableId="782116585">
    <w:abstractNumId w:val="7"/>
  </w:num>
  <w:num w:numId="5" w16cid:durableId="1828588878">
    <w:abstractNumId w:val="17"/>
  </w:num>
  <w:num w:numId="6" w16cid:durableId="626006178">
    <w:abstractNumId w:val="35"/>
  </w:num>
  <w:num w:numId="7" w16cid:durableId="756367325">
    <w:abstractNumId w:val="15"/>
  </w:num>
  <w:num w:numId="8" w16cid:durableId="1124033638">
    <w:abstractNumId w:val="27"/>
  </w:num>
  <w:num w:numId="9" w16cid:durableId="1472409303">
    <w:abstractNumId w:val="22"/>
  </w:num>
  <w:num w:numId="10" w16cid:durableId="488055487">
    <w:abstractNumId w:val="39"/>
  </w:num>
  <w:num w:numId="11" w16cid:durableId="538274811">
    <w:abstractNumId w:val="10"/>
  </w:num>
  <w:num w:numId="12" w16cid:durableId="1459564271">
    <w:abstractNumId w:val="9"/>
  </w:num>
  <w:num w:numId="13" w16cid:durableId="1395738176">
    <w:abstractNumId w:val="21"/>
  </w:num>
  <w:num w:numId="14" w16cid:durableId="895507396">
    <w:abstractNumId w:val="26"/>
  </w:num>
  <w:num w:numId="15" w16cid:durableId="763763272">
    <w:abstractNumId w:val="12"/>
  </w:num>
  <w:num w:numId="16" w16cid:durableId="11760096">
    <w:abstractNumId w:val="19"/>
  </w:num>
  <w:num w:numId="17" w16cid:durableId="2118333002">
    <w:abstractNumId w:val="13"/>
  </w:num>
  <w:num w:numId="18" w16cid:durableId="1930845756">
    <w:abstractNumId w:val="2"/>
  </w:num>
  <w:num w:numId="19" w16cid:durableId="2000646401">
    <w:abstractNumId w:val="18"/>
  </w:num>
  <w:num w:numId="20" w16cid:durableId="4596258">
    <w:abstractNumId w:val="24"/>
  </w:num>
  <w:num w:numId="21" w16cid:durableId="594636447">
    <w:abstractNumId w:val="37"/>
  </w:num>
  <w:num w:numId="22" w16cid:durableId="625280807">
    <w:abstractNumId w:val="28"/>
  </w:num>
  <w:num w:numId="23" w16cid:durableId="110326816">
    <w:abstractNumId w:val="23"/>
  </w:num>
  <w:num w:numId="24" w16cid:durableId="1291673076">
    <w:abstractNumId w:val="34"/>
  </w:num>
  <w:num w:numId="25" w16cid:durableId="291139631">
    <w:abstractNumId w:val="25"/>
  </w:num>
  <w:num w:numId="26" w16cid:durableId="41296540">
    <w:abstractNumId w:val="36"/>
  </w:num>
  <w:num w:numId="27" w16cid:durableId="2120372093">
    <w:abstractNumId w:val="20"/>
  </w:num>
  <w:num w:numId="28" w16cid:durableId="1198273916">
    <w:abstractNumId w:val="16"/>
  </w:num>
  <w:num w:numId="29" w16cid:durableId="346178314">
    <w:abstractNumId w:val="29"/>
  </w:num>
  <w:num w:numId="30" w16cid:durableId="514416286">
    <w:abstractNumId w:val="11"/>
  </w:num>
  <w:num w:numId="31" w16cid:durableId="378094841">
    <w:abstractNumId w:val="38"/>
  </w:num>
  <w:num w:numId="32" w16cid:durableId="896937461">
    <w:abstractNumId w:val="3"/>
  </w:num>
  <w:num w:numId="33" w16cid:durableId="1007247064">
    <w:abstractNumId w:val="8"/>
  </w:num>
  <w:num w:numId="34" w16cid:durableId="1550679067">
    <w:abstractNumId w:val="14"/>
  </w:num>
  <w:num w:numId="35" w16cid:durableId="1804733155">
    <w:abstractNumId w:val="4"/>
  </w:num>
  <w:num w:numId="36" w16cid:durableId="1236014396">
    <w:abstractNumId w:val="31"/>
  </w:num>
  <w:num w:numId="37" w16cid:durableId="1217354073">
    <w:abstractNumId w:val="32"/>
  </w:num>
  <w:num w:numId="38" w16cid:durableId="1952475489">
    <w:abstractNumId w:val="1"/>
  </w:num>
  <w:num w:numId="39" w16cid:durableId="227110763">
    <w:abstractNumId w:val="6"/>
  </w:num>
  <w:num w:numId="40" w16cid:durableId="1049107766">
    <w:abstractNumId w:val="30"/>
  </w:num>
  <w:num w:numId="41" w16cid:durableId="1781800624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3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647F"/>
    <w:rsid w:val="00036B61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F0A53"/>
    <w:rsid w:val="001F1757"/>
    <w:rsid w:val="001F2046"/>
    <w:rsid w:val="001F783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479B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471B"/>
    <w:rsid w:val="003076B0"/>
    <w:rsid w:val="00307A7A"/>
    <w:rsid w:val="003131FE"/>
    <w:rsid w:val="0031385B"/>
    <w:rsid w:val="00315625"/>
    <w:rsid w:val="00316364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E7D38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73AD"/>
    <w:rsid w:val="00427EA3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E3CF4"/>
    <w:rsid w:val="004F1C37"/>
    <w:rsid w:val="004F3093"/>
    <w:rsid w:val="004F3154"/>
    <w:rsid w:val="004F66EE"/>
    <w:rsid w:val="00501D4A"/>
    <w:rsid w:val="0050205A"/>
    <w:rsid w:val="00507B5E"/>
    <w:rsid w:val="00510E56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B0F1D"/>
    <w:rsid w:val="005B11B1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3781E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23A8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1355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C4F39"/>
    <w:rsid w:val="008D1215"/>
    <w:rsid w:val="008D4096"/>
    <w:rsid w:val="008D5311"/>
    <w:rsid w:val="008D642C"/>
    <w:rsid w:val="008E1C03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E3FB8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5E1"/>
    <w:rsid w:val="00AE66C9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B83"/>
    <w:rsid w:val="00BB08E5"/>
    <w:rsid w:val="00BB149C"/>
    <w:rsid w:val="00BB3FF2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E6E9E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66E3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86777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375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14D9"/>
    <w:rsid w:val="00F219A1"/>
    <w:rsid w:val="00F24394"/>
    <w:rsid w:val="00F25ED8"/>
    <w:rsid w:val="00F35A48"/>
    <w:rsid w:val="00F36917"/>
    <w:rsid w:val="00F37210"/>
    <w:rsid w:val="00F37840"/>
    <w:rsid w:val="00F37E72"/>
    <w:rsid w:val="00F40491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90549"/>
    <w:rsid w:val="00F95328"/>
    <w:rsid w:val="00FA3038"/>
    <w:rsid w:val="00FA49AC"/>
    <w:rsid w:val="00FA6E14"/>
    <w:rsid w:val="00FB0AD8"/>
    <w:rsid w:val="00FB1D8C"/>
    <w:rsid w:val="00FB6F3E"/>
    <w:rsid w:val="00FB7285"/>
    <w:rsid w:val="00FB749E"/>
    <w:rsid w:val="00FB7868"/>
    <w:rsid w:val="00FC0642"/>
    <w:rsid w:val="00FC0644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 fill="f" fillcolor="white" stroke="f">
      <v:fill color="white" on="f"/>
      <v:stroke on="f"/>
    </o:shapedefaults>
    <o:shapelayout v:ext="edit">
      <o:idmap v:ext="edit" data="2"/>
      <o:rules v:ext="edit">
        <o:r id="V:Rule2" type="connector" idref="#_x0000_s2050"/>
      </o:rules>
    </o:shapelayout>
  </w:shapeDefaults>
  <w:decimalSymbol w:val=","/>
  <w:listSeparator w:val=";"/>
  <w14:docId w14:val="26464FCE"/>
  <w15:chartTrackingRefBased/>
  <w15:docId w15:val="{75849A2E-31E8-4D20-A381-E1EE47CE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1D2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3794</Words>
  <Characters>20492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24238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Celso Aparecido Siracusa</cp:lastModifiedBy>
  <cp:revision>2</cp:revision>
  <cp:lastPrinted>2023-03-02T16:18:00Z</cp:lastPrinted>
  <dcterms:created xsi:type="dcterms:W3CDTF">2026-02-06T00:28:00Z</dcterms:created>
  <dcterms:modified xsi:type="dcterms:W3CDTF">2026-02-06T00:28:00Z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