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0347" w14:textId="77777777" w:rsidR="00565D7A" w:rsidRDefault="00565D7A" w:rsidP="00565D7A">
      <w:pPr>
        <w:rPr>
          <w:rFonts w:ascii="Arial" w:hAnsi="Arial" w:cs="Arial"/>
          <w:b/>
          <w:bCs/>
        </w:rPr>
      </w:pPr>
    </w:p>
    <w:p w14:paraId="7EB530BD" w14:textId="30AE0A15" w:rsidR="00565D7A" w:rsidRDefault="00565D7A" w:rsidP="00565D7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2ª SÉRIE</w:t>
      </w:r>
      <w:r w:rsidR="002B47CE">
        <w:rPr>
          <w:rFonts w:ascii="Arial" w:hAnsi="Arial" w:cs="Arial"/>
          <w:b/>
          <w:bCs/>
        </w:rPr>
        <w:t xml:space="preserve"> (Modelo </w:t>
      </w:r>
      <w:r w:rsidR="00F4309A">
        <w:rPr>
          <w:rFonts w:ascii="Arial" w:hAnsi="Arial" w:cs="Arial"/>
          <w:b/>
          <w:bCs/>
        </w:rPr>
        <w:t>2</w:t>
      </w:r>
      <w:r w:rsidR="002B47CE">
        <w:rPr>
          <w:rFonts w:ascii="Arial" w:hAnsi="Arial" w:cs="Arial"/>
          <w:b/>
          <w:bCs/>
        </w:rPr>
        <w:t>)</w:t>
      </w:r>
    </w:p>
    <w:p w14:paraId="48F8C17E" w14:textId="4250D17B" w:rsidR="00565D7A" w:rsidRPr="00565D7A" w:rsidRDefault="00565D7A" w:rsidP="00565D7A">
      <w:pPr>
        <w:rPr>
          <w:rFonts w:ascii="Arial" w:hAnsi="Arial" w:cs="Arial"/>
          <w:b/>
          <w:bCs/>
        </w:rPr>
      </w:pPr>
      <w:r w:rsidRPr="00565D7A">
        <w:rPr>
          <w:rFonts w:ascii="Arial" w:hAnsi="Arial" w:cs="Arial"/>
          <w:b/>
          <w:bCs/>
        </w:rPr>
        <w:t xml:space="preserve">ATIVIDADE PEDAGÓGICA VALORADA – 1ª ETAPA DO </w:t>
      </w:r>
      <w:r w:rsidR="00A5183B">
        <w:rPr>
          <w:rFonts w:ascii="Arial" w:hAnsi="Arial" w:cs="Arial"/>
          <w:b/>
          <w:bCs/>
        </w:rPr>
        <w:t>3</w:t>
      </w:r>
      <w:r w:rsidRPr="00565D7A">
        <w:rPr>
          <w:rFonts w:ascii="Arial" w:hAnsi="Arial" w:cs="Arial"/>
          <w:b/>
          <w:bCs/>
        </w:rPr>
        <w:t>º PERÍODO DE 202</w:t>
      </w:r>
      <w:r w:rsidR="00A5183B">
        <w:rPr>
          <w:rFonts w:ascii="Arial" w:hAnsi="Arial" w:cs="Arial"/>
          <w:b/>
          <w:bCs/>
        </w:rPr>
        <w:t>6</w:t>
      </w:r>
    </w:p>
    <w:p w14:paraId="0A23CA74" w14:textId="77777777" w:rsidR="00565D7A" w:rsidRPr="00565D7A" w:rsidRDefault="00565D7A" w:rsidP="00565D7A">
      <w:pPr>
        <w:rPr>
          <w:rFonts w:ascii="Arial" w:hAnsi="Arial" w:cs="Arial"/>
        </w:rPr>
      </w:pPr>
      <w:r w:rsidRPr="00565D7A">
        <w:rPr>
          <w:rFonts w:ascii="Arial" w:hAnsi="Arial" w:cs="Arial"/>
        </w:rPr>
        <w:t>I - Análise de pinturas</w:t>
      </w:r>
    </w:p>
    <w:p w14:paraId="1A1A8927" w14:textId="6C4C121F" w:rsidR="00565D7A" w:rsidRPr="00565D7A" w:rsidRDefault="00565D7A" w:rsidP="00565D7A">
      <w:pPr>
        <w:rPr>
          <w:rFonts w:ascii="Arial" w:hAnsi="Arial" w:cs="Arial"/>
        </w:rPr>
      </w:pPr>
      <w:r w:rsidRPr="00565D7A">
        <w:rPr>
          <w:rFonts w:ascii="Arial" w:hAnsi="Arial" w:cs="Arial"/>
        </w:rPr>
        <w:t xml:space="preserve">Pintura </w:t>
      </w:r>
      <w:r w:rsidR="00B578A3">
        <w:rPr>
          <w:rFonts w:ascii="Arial" w:hAnsi="Arial" w:cs="Arial"/>
        </w:rPr>
        <w:t xml:space="preserve">1 </w:t>
      </w:r>
      <w:r w:rsidRPr="00565D7A">
        <w:rPr>
          <w:rFonts w:ascii="Arial" w:hAnsi="Arial" w:cs="Arial"/>
        </w:rPr>
        <w:t xml:space="preserve">-"A REDENÇÃO DE CAM -1895 DE MODESTO BROCOS </w:t>
      </w:r>
      <w:r w:rsidR="00A5183B">
        <w:rPr>
          <w:rFonts w:ascii="Arial" w:hAnsi="Arial" w:cs="Arial"/>
        </w:rPr>
        <w:t>(Impressão deve ser em cores)</w:t>
      </w:r>
      <w:r w:rsidRPr="00565D7A">
        <w:rPr>
          <w:rFonts w:ascii="Arial" w:hAnsi="Arial" w:cs="Arial"/>
          <w:noProof/>
        </w:rPr>
        <w:drawing>
          <wp:inline distT="0" distB="0" distL="0" distR="0" wp14:anchorId="19D441EC" wp14:editId="7EF1C4FC">
            <wp:extent cx="5400040" cy="6395720"/>
            <wp:effectExtent l="0" t="0" r="0" b="5080"/>
            <wp:docPr id="3" name="Imagem 3" descr="Grupo de pessoas fantasiad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Grupo de pessoas fantasiadas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9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5BD0" w14:textId="77777777" w:rsidR="00565D7A" w:rsidRPr="00565D7A" w:rsidRDefault="00565D7A" w:rsidP="00565D7A">
      <w:pPr>
        <w:rPr>
          <w:rFonts w:ascii="Arial" w:hAnsi="Arial" w:cs="Arial"/>
        </w:rPr>
      </w:pPr>
      <w:r w:rsidRPr="00565D7A">
        <w:rPr>
          <w:rFonts w:ascii="Arial" w:hAnsi="Arial" w:cs="Arial"/>
        </w:rPr>
        <w:t xml:space="preserve">Obra consagrada por tratar de questões raciais e populares no século XIX, a </w:t>
      </w:r>
      <w:r w:rsidRPr="00565D7A">
        <w:rPr>
          <w:rFonts w:ascii="Arial" w:hAnsi="Arial" w:cs="Arial"/>
          <w:b/>
          <w:bCs/>
        </w:rPr>
        <w:t xml:space="preserve">tela </w:t>
      </w:r>
      <w:r w:rsidRPr="00565D7A">
        <w:rPr>
          <w:rFonts w:ascii="Arial" w:hAnsi="Arial" w:cs="Arial"/>
          <w:b/>
          <w:bCs/>
          <w:i/>
          <w:iCs/>
        </w:rPr>
        <w:t xml:space="preserve">A Redenção de </w:t>
      </w:r>
      <w:proofErr w:type="spellStart"/>
      <w:r w:rsidRPr="00565D7A">
        <w:rPr>
          <w:rFonts w:ascii="Arial" w:hAnsi="Arial" w:cs="Arial"/>
          <w:b/>
          <w:bCs/>
          <w:i/>
          <w:iCs/>
        </w:rPr>
        <w:t>Cam</w:t>
      </w:r>
      <w:proofErr w:type="spellEnd"/>
      <w:r w:rsidRPr="00565D7A">
        <w:rPr>
          <w:rFonts w:ascii="Arial" w:hAnsi="Arial" w:cs="Arial"/>
          <w:b/>
          <w:bCs/>
        </w:rPr>
        <w:t>,</w:t>
      </w:r>
      <w:r w:rsidRPr="00565D7A">
        <w:rPr>
          <w:rFonts w:ascii="Arial" w:hAnsi="Arial" w:cs="Arial"/>
        </w:rPr>
        <w:t xml:space="preserve"> de </w:t>
      </w:r>
      <w:hyperlink r:id="rId6" w:history="1">
        <w:r w:rsidRPr="00565D7A">
          <w:rPr>
            <w:rStyle w:val="Hyperlink"/>
            <w:rFonts w:ascii="Arial" w:hAnsi="Arial" w:cs="Arial"/>
          </w:rPr>
          <w:t>Modesto Brocos (1852-1936)</w:t>
        </w:r>
      </w:hyperlink>
      <w:r w:rsidRPr="00565D7A">
        <w:rPr>
          <w:rFonts w:ascii="Arial" w:hAnsi="Arial" w:cs="Arial"/>
        </w:rPr>
        <w:t xml:space="preserve">, ainda hoje suscita </w:t>
      </w:r>
      <w:r w:rsidRPr="00565D7A">
        <w:rPr>
          <w:rFonts w:ascii="Arial" w:hAnsi="Arial" w:cs="Arial"/>
        </w:rPr>
        <w:lastRenderedPageBreak/>
        <w:t>polêmicas, sobretudo no que se refere a sua recorrente utilização como ilustração em teses favoráveis ao branqueamento da população brasileira.</w:t>
      </w:r>
    </w:p>
    <w:p w14:paraId="002AE859" w14:textId="77777777" w:rsidR="00565D7A" w:rsidRPr="00565D7A" w:rsidRDefault="00565D7A" w:rsidP="00565D7A">
      <w:pPr>
        <w:rPr>
          <w:rFonts w:ascii="Arial" w:hAnsi="Arial" w:cs="Arial"/>
          <w:b/>
          <w:bCs/>
        </w:rPr>
      </w:pPr>
      <w:r w:rsidRPr="00565D7A">
        <w:rPr>
          <w:rFonts w:ascii="Arial" w:hAnsi="Arial" w:cs="Arial"/>
        </w:rPr>
        <w:t xml:space="preserve"> Como o próprio título diz, a obra faz referência direta à passagem bíblica de </w:t>
      </w:r>
      <w:proofErr w:type="spellStart"/>
      <w:r w:rsidRPr="00565D7A">
        <w:rPr>
          <w:rFonts w:ascii="Arial" w:hAnsi="Arial" w:cs="Arial"/>
        </w:rPr>
        <w:t>Cam</w:t>
      </w:r>
      <w:proofErr w:type="spellEnd"/>
      <w:r w:rsidRPr="00565D7A">
        <w:rPr>
          <w:rFonts w:ascii="Arial" w:hAnsi="Arial" w:cs="Arial"/>
        </w:rPr>
        <w:t xml:space="preserve">, filho de Noé, castigado por ter olhado o pai nu e bêbado. Na verdade, o castigo divino é aplicado a seu filho Canaã, amaldiçoado como ‘servo dos servos’. O fato de </w:t>
      </w:r>
      <w:proofErr w:type="spellStart"/>
      <w:r w:rsidRPr="00565D7A">
        <w:rPr>
          <w:rFonts w:ascii="Arial" w:hAnsi="Arial" w:cs="Arial"/>
        </w:rPr>
        <w:t>Cam</w:t>
      </w:r>
      <w:proofErr w:type="spellEnd"/>
      <w:r w:rsidRPr="00565D7A">
        <w:rPr>
          <w:rFonts w:ascii="Arial" w:hAnsi="Arial" w:cs="Arial"/>
        </w:rPr>
        <w:t xml:space="preserve"> ser apontado na </w:t>
      </w:r>
      <w:r w:rsidRPr="00565D7A">
        <w:rPr>
          <w:rFonts w:ascii="Arial" w:hAnsi="Arial" w:cs="Arial"/>
          <w:i/>
          <w:iCs/>
        </w:rPr>
        <w:t>Bíblia</w:t>
      </w:r>
      <w:r w:rsidRPr="00565D7A">
        <w:rPr>
          <w:rFonts w:ascii="Arial" w:hAnsi="Arial" w:cs="Arial"/>
        </w:rPr>
        <w:t xml:space="preserve"> como suposto ascendente das raças africanas faz com que tal passagem comece a ser usada pelos defensores da escravidão negra como um argumento claro de que tal sistema não seria contrário aos desígnios de Deus.” </w:t>
      </w:r>
      <w:r w:rsidRPr="00565D7A">
        <w:rPr>
          <w:rFonts w:ascii="Arial" w:hAnsi="Arial" w:cs="Arial"/>
          <w:b/>
          <w:bCs/>
        </w:rPr>
        <w:t>https://enciclopedia.itaucultural.org.br/obra3281/a-redencao-de-cam)</w:t>
      </w:r>
    </w:p>
    <w:p w14:paraId="09205123" w14:textId="230FE1EE" w:rsidR="00565D7A" w:rsidRPr="00565D7A" w:rsidRDefault="00565D7A" w:rsidP="00565D7A">
      <w:pPr>
        <w:rPr>
          <w:rFonts w:ascii="Arial" w:hAnsi="Arial" w:cs="Arial"/>
        </w:rPr>
      </w:pPr>
      <w:r w:rsidRPr="00565D7A">
        <w:rPr>
          <w:rFonts w:ascii="Arial" w:hAnsi="Arial" w:cs="Arial"/>
        </w:rPr>
        <w:t xml:space="preserve">Considerando alguns elementos presentes na pintura “A Redenção de </w:t>
      </w:r>
      <w:proofErr w:type="spellStart"/>
      <w:r w:rsidRPr="00565D7A">
        <w:rPr>
          <w:rFonts w:ascii="Arial" w:hAnsi="Arial" w:cs="Arial"/>
        </w:rPr>
        <w:t>Cam</w:t>
      </w:r>
      <w:proofErr w:type="spellEnd"/>
      <w:r w:rsidRPr="00565D7A">
        <w:rPr>
          <w:rFonts w:ascii="Arial" w:hAnsi="Arial" w:cs="Arial"/>
        </w:rPr>
        <w:t>” (Imagem 1), seu título</w:t>
      </w:r>
      <w:r w:rsidR="00B105BF">
        <w:rPr>
          <w:rFonts w:ascii="Arial" w:hAnsi="Arial" w:cs="Arial"/>
        </w:rPr>
        <w:t>,</w:t>
      </w:r>
      <w:r w:rsidRPr="00565D7A">
        <w:rPr>
          <w:rFonts w:ascii="Arial" w:hAnsi="Arial" w:cs="Arial"/>
        </w:rPr>
        <w:t xml:space="preserve"> o contexto cronológico em que ela está inserida</w:t>
      </w:r>
      <w:r w:rsidR="00B105BF">
        <w:rPr>
          <w:rFonts w:ascii="Arial" w:hAnsi="Arial" w:cs="Arial"/>
        </w:rPr>
        <w:t xml:space="preserve"> e os textos de apoio indicados previamente</w:t>
      </w:r>
      <w:r w:rsidRPr="00565D7A">
        <w:rPr>
          <w:rFonts w:ascii="Arial" w:hAnsi="Arial" w:cs="Arial"/>
        </w:rPr>
        <w:t>, responda as questões propostas.</w:t>
      </w:r>
    </w:p>
    <w:p w14:paraId="63666558" w14:textId="49ED98FE" w:rsidR="003F1473" w:rsidRDefault="003F1473" w:rsidP="003F1473">
      <w:pPr>
        <w:rPr>
          <w:rFonts w:ascii="Arial" w:hAnsi="Arial" w:cs="Arial"/>
        </w:rPr>
      </w:pPr>
      <w:r>
        <w:rPr>
          <w:rFonts w:ascii="Arial" w:hAnsi="Arial" w:cs="Arial"/>
        </w:rPr>
        <w:t xml:space="preserve">Q1. </w:t>
      </w:r>
      <w:r w:rsidRPr="003F1473">
        <w:rPr>
          <w:rFonts w:ascii="Arial" w:hAnsi="Arial" w:cs="Arial"/>
        </w:rPr>
        <w:t>A construção da identidade nacional brasileira foi marcada por disputas intelectuais sobre o papel da miscigenação</w:t>
      </w:r>
      <w:r>
        <w:rPr>
          <w:rFonts w:ascii="Arial" w:hAnsi="Arial" w:cs="Arial"/>
        </w:rPr>
        <w:t>.</w:t>
      </w:r>
      <w:r w:rsidRPr="003F1473">
        <w:rPr>
          <w:rFonts w:ascii="Arial" w:hAnsi="Arial" w:cs="Arial"/>
        </w:rPr>
        <w:t xml:space="preserve"> Nesse contexto, surgiram diferentes interpretações sobre a mistura racial. Identifique essas interpretações e explique, com argumentos fundamentados, qual delas se associaria à mensagem da pintura acima. </w:t>
      </w:r>
      <w:r w:rsidR="003C0C1D" w:rsidRPr="003C0C1D">
        <w:rPr>
          <w:rFonts w:ascii="Arial" w:hAnsi="Arial" w:cs="Arial"/>
          <w:b/>
          <w:bCs/>
        </w:rPr>
        <w:t>(oito linhas)</w:t>
      </w:r>
    </w:p>
    <w:p w14:paraId="59F86D56" w14:textId="77777777" w:rsidR="007C2380" w:rsidRPr="003C0C1D" w:rsidRDefault="007C2380" w:rsidP="007C2380">
      <w:pPr>
        <w:rPr>
          <w:rFonts w:ascii="Arial" w:hAnsi="Arial" w:cs="Arial"/>
          <w:color w:val="EE0000"/>
        </w:rPr>
      </w:pPr>
      <w:r w:rsidRPr="003C0C1D">
        <w:rPr>
          <w:rFonts w:ascii="Arial" w:hAnsi="Arial" w:cs="Arial"/>
          <w:color w:val="EE0000"/>
        </w:rPr>
        <w:t>Gabarito</w:t>
      </w:r>
    </w:p>
    <w:p w14:paraId="56F781C7" w14:textId="77777777" w:rsidR="003C0C1D" w:rsidRPr="003C0C1D" w:rsidRDefault="007C2380" w:rsidP="007C2380">
      <w:pPr>
        <w:rPr>
          <w:rFonts w:ascii="Arial" w:hAnsi="Arial" w:cs="Arial"/>
          <w:color w:val="EE0000"/>
        </w:rPr>
      </w:pPr>
      <w:r w:rsidRPr="003C0C1D">
        <w:rPr>
          <w:rFonts w:ascii="Arial" w:hAnsi="Arial" w:cs="Arial"/>
          <w:color w:val="EE0000"/>
        </w:rPr>
        <w:t>A miscigenação foi interpretada de maneiras distintas pelos intelectuais brasileiros no período pós</w:t>
      </w:r>
      <w:r w:rsidRPr="003C0C1D">
        <w:rPr>
          <w:rFonts w:ascii="Arial" w:hAnsi="Arial" w:cs="Arial"/>
          <w:color w:val="EE0000"/>
        </w:rPr>
        <w:noBreakHyphen/>
        <w:t xml:space="preserve">abolição. A primeira interpretação (de caráter </w:t>
      </w:r>
      <w:r w:rsidRPr="003C0C1D">
        <w:rPr>
          <w:rFonts w:ascii="Arial" w:hAnsi="Arial" w:cs="Arial"/>
          <w:b/>
          <w:bCs/>
          <w:color w:val="EE0000"/>
        </w:rPr>
        <w:t>determinista e racialista</w:t>
      </w:r>
      <w:r w:rsidRPr="003C0C1D">
        <w:rPr>
          <w:rFonts w:ascii="Arial" w:hAnsi="Arial" w:cs="Arial"/>
          <w:color w:val="EE0000"/>
        </w:rPr>
        <w:t>, representada por Nina Rodrigues), via a mistura racial como degeneração biológica e como obstáculo ao progresso nacional. A segunda interpretação,</w:t>
      </w:r>
      <w:r w:rsidR="003C0C1D" w:rsidRPr="003C0C1D">
        <w:rPr>
          <w:rFonts w:ascii="Arial" w:hAnsi="Arial" w:cs="Arial"/>
          <w:color w:val="EE0000"/>
        </w:rPr>
        <w:t xml:space="preserve"> </w:t>
      </w:r>
      <w:r w:rsidRPr="003C0C1D">
        <w:rPr>
          <w:rFonts w:ascii="Arial" w:hAnsi="Arial" w:cs="Arial"/>
          <w:color w:val="EE0000"/>
        </w:rPr>
        <w:t>(</w:t>
      </w:r>
      <w:r w:rsidRPr="003C0C1D">
        <w:rPr>
          <w:rFonts w:ascii="Arial" w:hAnsi="Arial" w:cs="Arial"/>
          <w:b/>
          <w:bCs/>
          <w:color w:val="EE0000"/>
        </w:rPr>
        <w:t>eugenista e higienista</w:t>
      </w:r>
      <w:r w:rsidRPr="003C0C1D">
        <w:rPr>
          <w:rFonts w:ascii="Arial" w:hAnsi="Arial" w:cs="Arial"/>
          <w:color w:val="EE0000"/>
        </w:rPr>
        <w:t>, defendida por autores como Renato Kehl e reforçada pelas políticas de imigração europeia</w:t>
      </w:r>
      <w:r w:rsidR="003C0C1D" w:rsidRPr="003C0C1D">
        <w:rPr>
          <w:rFonts w:ascii="Arial" w:hAnsi="Arial" w:cs="Arial"/>
          <w:color w:val="EE0000"/>
        </w:rPr>
        <w:t>)</w:t>
      </w:r>
      <w:r w:rsidRPr="003C0C1D">
        <w:rPr>
          <w:rFonts w:ascii="Arial" w:hAnsi="Arial" w:cs="Arial"/>
          <w:color w:val="EE0000"/>
        </w:rPr>
        <w:t xml:space="preserve">, considerava a miscigenação útil apenas como instrumento de </w:t>
      </w:r>
      <w:r w:rsidRPr="003C0C1D">
        <w:rPr>
          <w:rFonts w:ascii="Arial" w:hAnsi="Arial" w:cs="Arial"/>
          <w:b/>
          <w:bCs/>
          <w:color w:val="EE0000"/>
        </w:rPr>
        <w:t>branqueamento</w:t>
      </w:r>
      <w:r w:rsidRPr="003C0C1D">
        <w:rPr>
          <w:rFonts w:ascii="Arial" w:hAnsi="Arial" w:cs="Arial"/>
          <w:color w:val="EE0000"/>
        </w:rPr>
        <w:t>, acreditando que, ao longo das gerações, ela apagaria a presença negra e aproximaria o país de um ideal “civilizado” e europeu.</w:t>
      </w:r>
      <w:r w:rsidR="003C0C1D" w:rsidRPr="003C0C1D">
        <w:rPr>
          <w:rFonts w:ascii="Arial" w:hAnsi="Arial" w:cs="Arial"/>
          <w:color w:val="EE0000"/>
        </w:rPr>
        <w:t xml:space="preserve"> (0,5)</w:t>
      </w:r>
    </w:p>
    <w:p w14:paraId="5FA62E72" w14:textId="3ACF821F" w:rsidR="007C2380" w:rsidRPr="003C0C1D" w:rsidRDefault="007C2380" w:rsidP="007C2380">
      <w:pPr>
        <w:rPr>
          <w:rFonts w:ascii="Arial" w:hAnsi="Arial" w:cs="Arial"/>
          <w:color w:val="EE0000"/>
        </w:rPr>
      </w:pPr>
      <w:r w:rsidRPr="003C0C1D">
        <w:rPr>
          <w:rFonts w:ascii="Arial" w:hAnsi="Arial" w:cs="Arial"/>
          <w:color w:val="EE0000"/>
        </w:rPr>
        <w:t xml:space="preserve">Entre essas interpretações, a que se associa diretamente à mensagem da pintura </w:t>
      </w:r>
      <w:r w:rsidRPr="003C0C1D">
        <w:rPr>
          <w:rFonts w:ascii="Arial" w:hAnsi="Arial" w:cs="Arial"/>
          <w:i/>
          <w:iCs/>
          <w:color w:val="EE0000"/>
        </w:rPr>
        <w:t xml:space="preserve">A Redenção de </w:t>
      </w:r>
      <w:proofErr w:type="spellStart"/>
      <w:r w:rsidRPr="003C0C1D">
        <w:rPr>
          <w:rFonts w:ascii="Arial" w:hAnsi="Arial" w:cs="Arial"/>
          <w:i/>
          <w:iCs/>
          <w:color w:val="EE0000"/>
        </w:rPr>
        <w:t>Cam</w:t>
      </w:r>
      <w:proofErr w:type="spellEnd"/>
      <w:r w:rsidRPr="003C0C1D">
        <w:rPr>
          <w:rFonts w:ascii="Arial" w:hAnsi="Arial" w:cs="Arial"/>
          <w:color w:val="EE0000"/>
        </w:rPr>
        <w:t xml:space="preserve"> é a </w:t>
      </w:r>
      <w:r w:rsidRPr="003C0C1D">
        <w:rPr>
          <w:rFonts w:ascii="Arial" w:hAnsi="Arial" w:cs="Arial"/>
          <w:b/>
          <w:bCs/>
          <w:color w:val="EE0000"/>
        </w:rPr>
        <w:t>eugenista</w:t>
      </w:r>
      <w:r w:rsidRPr="003C0C1D">
        <w:rPr>
          <w:rFonts w:ascii="Arial" w:hAnsi="Arial" w:cs="Arial"/>
          <w:color w:val="EE0000"/>
        </w:rPr>
        <w:t>. A obra representa três gerações que “melhoram” racialmente — da avó negra à criança branca — sugerindo que o embranquecimento é sinônimo de progresso, ascensão social e “redenção”. Essa narrativa visual corresponde ao projeto de branqueamento defendido pelos eugenistas e às políticas de imigração que buscavam “corrigir” a composição racial do país. Assim, a pintura expressa de forma simbólica a ideia de que a miscigenação deveria servir para eliminar a negritude, e não para valorizar a diversidade racial brasileira.</w:t>
      </w:r>
      <w:r w:rsidR="003C0C1D" w:rsidRPr="003C0C1D">
        <w:rPr>
          <w:rFonts w:ascii="Arial" w:hAnsi="Arial" w:cs="Arial"/>
          <w:color w:val="EE0000"/>
        </w:rPr>
        <w:t xml:space="preserve"> (0,5)</w:t>
      </w:r>
    </w:p>
    <w:p w14:paraId="28A48246" w14:textId="77777777" w:rsidR="007C2380" w:rsidRDefault="007C2380" w:rsidP="007C2380">
      <w:pPr>
        <w:rPr>
          <w:rFonts w:ascii="Arial" w:hAnsi="Arial" w:cs="Arial"/>
        </w:rPr>
      </w:pPr>
    </w:p>
    <w:p w14:paraId="43B42058" w14:textId="77777777" w:rsidR="007C2380" w:rsidRDefault="007C2380" w:rsidP="007C2380">
      <w:pPr>
        <w:rPr>
          <w:rFonts w:ascii="Arial" w:hAnsi="Arial" w:cs="Arial"/>
        </w:rPr>
      </w:pPr>
    </w:p>
    <w:p w14:paraId="53D94952" w14:textId="77777777" w:rsidR="007C2380" w:rsidRDefault="007C2380" w:rsidP="007C2380">
      <w:pPr>
        <w:rPr>
          <w:rFonts w:ascii="Arial" w:hAnsi="Arial" w:cs="Arial"/>
        </w:rPr>
      </w:pPr>
    </w:p>
    <w:p w14:paraId="66E96F4B" w14:textId="77777777" w:rsidR="007C2380" w:rsidRDefault="007C2380" w:rsidP="007C2380">
      <w:pPr>
        <w:rPr>
          <w:rFonts w:ascii="Arial" w:hAnsi="Arial" w:cs="Arial"/>
        </w:rPr>
      </w:pPr>
    </w:p>
    <w:p w14:paraId="01019FC8" w14:textId="77777777" w:rsidR="007C2380" w:rsidRDefault="007C2380" w:rsidP="007C2380">
      <w:pPr>
        <w:rPr>
          <w:rFonts w:ascii="Arial" w:hAnsi="Arial" w:cs="Arial"/>
        </w:rPr>
      </w:pPr>
    </w:p>
    <w:p w14:paraId="6C504232" w14:textId="77777777" w:rsidR="007C2380" w:rsidRDefault="007C2380" w:rsidP="007C2380">
      <w:pPr>
        <w:rPr>
          <w:rFonts w:ascii="Arial" w:hAnsi="Arial" w:cs="Arial"/>
        </w:rPr>
      </w:pPr>
    </w:p>
    <w:p w14:paraId="039A3B85" w14:textId="77777777" w:rsidR="007C2380" w:rsidRDefault="007C2380" w:rsidP="007C2380">
      <w:pPr>
        <w:rPr>
          <w:rFonts w:ascii="Arial" w:hAnsi="Arial" w:cs="Arial"/>
        </w:rPr>
      </w:pPr>
    </w:p>
    <w:p w14:paraId="05E91E08" w14:textId="77777777" w:rsidR="007C2380" w:rsidRDefault="007C2380" w:rsidP="007C2380">
      <w:pPr>
        <w:rPr>
          <w:rFonts w:ascii="Arial" w:hAnsi="Arial" w:cs="Arial"/>
        </w:rPr>
      </w:pPr>
    </w:p>
    <w:sectPr w:rsidR="007C2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66894"/>
    <w:multiLevelType w:val="hybridMultilevel"/>
    <w:tmpl w:val="28CED76C"/>
    <w:lvl w:ilvl="0" w:tplc="609CBB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70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7A"/>
    <w:rsid w:val="00014F54"/>
    <w:rsid w:val="00253886"/>
    <w:rsid w:val="002B47CE"/>
    <w:rsid w:val="00303EDE"/>
    <w:rsid w:val="003C0C1D"/>
    <w:rsid w:val="003F1473"/>
    <w:rsid w:val="00475FD6"/>
    <w:rsid w:val="00565D7A"/>
    <w:rsid w:val="005F0994"/>
    <w:rsid w:val="006B1AE3"/>
    <w:rsid w:val="0072248A"/>
    <w:rsid w:val="007C2380"/>
    <w:rsid w:val="0082242F"/>
    <w:rsid w:val="00895CFE"/>
    <w:rsid w:val="008F34A5"/>
    <w:rsid w:val="00923F68"/>
    <w:rsid w:val="00A5183B"/>
    <w:rsid w:val="00A621AB"/>
    <w:rsid w:val="00B105BF"/>
    <w:rsid w:val="00B578A3"/>
    <w:rsid w:val="00C42013"/>
    <w:rsid w:val="00C63431"/>
    <w:rsid w:val="00D248CA"/>
    <w:rsid w:val="00D84DC4"/>
    <w:rsid w:val="00E26C08"/>
    <w:rsid w:val="00E765EA"/>
    <w:rsid w:val="00EE550D"/>
    <w:rsid w:val="00F4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8F2C9"/>
  <w15:chartTrackingRefBased/>
  <w15:docId w15:val="{15671CDD-9899-46D7-94F6-1F97928E6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5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D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D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D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D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D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D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D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D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D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D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D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65D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5D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ciclopedia.itaucultural.org.br/pessoa21328/modesto-broco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466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A. Siracusa</dc:creator>
  <cp:keywords/>
  <dc:description/>
  <cp:lastModifiedBy>Celso Aparecido Siracusa</cp:lastModifiedBy>
  <cp:revision>3</cp:revision>
  <dcterms:created xsi:type="dcterms:W3CDTF">2026-08-29T01:11:00Z</dcterms:created>
  <dcterms:modified xsi:type="dcterms:W3CDTF">2026-08-29T02:02:00Z</dcterms:modified>
</cp:coreProperties>
</file>