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BF" w:rsidRDefault="007D09BF">
      <w:pPr>
        <w:keepNext/>
        <w:spacing w:before="567" w:after="113"/>
        <w:jc w:val="right"/>
      </w:pPr>
    </w:p>
    <w:p w:rsidR="007D09BF" w:rsidRDefault="007D09BF">
      <w:pPr>
        <w:keepNext/>
        <w:spacing w:before="567" w:after="113"/>
        <w:jc w:val="right"/>
      </w:pPr>
    </w:p>
    <w:p w:rsidR="007D09BF" w:rsidRDefault="007D09BF">
      <w:pPr>
        <w:keepNext/>
        <w:spacing w:before="567" w:after="113"/>
        <w:jc w:val="right"/>
      </w:pPr>
    </w:p>
    <w:p w:rsidR="007D09BF" w:rsidRDefault="007D09BF">
      <w:pPr>
        <w:keepNext/>
        <w:spacing w:before="567" w:after="113"/>
        <w:jc w:val="right"/>
      </w:pPr>
    </w:p>
    <w:p w:rsidR="007D09BF" w:rsidRDefault="008A5BC2">
      <w:pPr>
        <w:keepNext/>
        <w:spacing w:before="567" w:after="113"/>
        <w:jc w:val="right"/>
      </w:pPr>
      <w:r>
        <w:rPr>
          <w:rFonts w:ascii="Arial" w:eastAsia="Arial" w:hAnsi="Arial" w:cs="Arial"/>
          <w:b/>
          <w:sz w:val="32"/>
        </w:rPr>
        <w:t>Especificação de Caso de Uso</w:t>
      </w:r>
    </w:p>
    <w:p w:rsidR="007D09BF" w:rsidRDefault="008A5BC2">
      <w:pPr>
        <w:keepNext/>
        <w:spacing w:before="567" w:after="113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CDU-008-Chamar atendente</w:t>
      </w:r>
    </w:p>
    <w:p w:rsidR="00EF6635" w:rsidRPr="00AB36E9" w:rsidRDefault="00EF6635" w:rsidP="00EF6635">
      <w:pPr>
        <w:keepNext/>
        <w:spacing w:before="567" w:after="113"/>
        <w:jc w:val="right"/>
        <w:rPr>
          <w:i/>
          <w:sz w:val="18"/>
        </w:rPr>
      </w:pPr>
      <w:r w:rsidRPr="00AB36E9">
        <w:rPr>
          <w:rFonts w:ascii="Arial" w:eastAsia="Arial" w:hAnsi="Arial" w:cs="Arial"/>
          <w:b/>
          <w:i/>
          <w:sz w:val="22"/>
        </w:rPr>
        <w:t>Responsável: Jônatas Ribeiro Tonholo</w:t>
      </w:r>
    </w:p>
    <w:p w:rsidR="00EF6635" w:rsidRDefault="00EF6635">
      <w:pPr>
        <w:keepNext/>
        <w:spacing w:before="567" w:after="113"/>
        <w:jc w:val="right"/>
      </w:pPr>
      <w:bookmarkStart w:id="0" w:name="_GoBack"/>
      <w:bookmarkEnd w:id="0"/>
    </w:p>
    <w:p w:rsidR="007D09BF" w:rsidRDefault="007D09BF"/>
    <w:p w:rsidR="007D09BF" w:rsidRDefault="008A5BC2">
      <w:pPr>
        <w:spacing w:after="120"/>
      </w:pPr>
      <w:r>
        <w:rPr>
          <w:i/>
          <w:sz w:val="20"/>
        </w:rPr>
        <w:t xml:space="preserve"> </w:t>
      </w:r>
    </w:p>
    <w:p w:rsidR="007D09BF" w:rsidRDefault="008A5BC2">
      <w:r>
        <w:br w:type="page"/>
      </w:r>
    </w:p>
    <w:p w:rsidR="007D09BF" w:rsidRDefault="007D09BF">
      <w:pPr>
        <w:spacing w:line="276" w:lineRule="auto"/>
      </w:pPr>
    </w:p>
    <w:p w:rsidR="007D09BF" w:rsidRDefault="008A5BC2">
      <w:pPr>
        <w:keepNext/>
        <w:spacing w:before="567" w:after="113"/>
        <w:jc w:val="center"/>
      </w:pPr>
      <w:r>
        <w:rPr>
          <w:rFonts w:ascii="Arial" w:eastAsia="Arial" w:hAnsi="Arial" w:cs="Arial"/>
          <w:b/>
          <w:sz w:val="32"/>
        </w:rPr>
        <w:t>Especificação de Caso de Uso</w:t>
      </w:r>
    </w:p>
    <w:p w:rsidR="007D09BF" w:rsidRDefault="008A5BC2">
      <w:pPr>
        <w:pStyle w:val="Ttulo1"/>
        <w:jc w:val="left"/>
      </w:pPr>
      <w:r>
        <w:t>Descrição resumida do caso de uso</w:t>
      </w:r>
    </w:p>
    <w:p w:rsidR="007D09BF" w:rsidRDefault="008A5BC2">
      <w:pPr>
        <w:spacing w:before="170" w:after="113"/>
        <w:jc w:val="both"/>
      </w:pPr>
      <w:r>
        <w:rPr>
          <w:rFonts w:ascii="Arial" w:eastAsia="Arial" w:hAnsi="Arial" w:cs="Arial"/>
          <w:i/>
          <w:sz w:val="22"/>
        </w:rPr>
        <w:t>Este caso de uso descreve as operações atendimento a chamados por parte do garçom.</w:t>
      </w:r>
    </w:p>
    <w:p w:rsidR="007D09BF" w:rsidRDefault="008A5BC2">
      <w:pPr>
        <w:pStyle w:val="Ttulo1"/>
        <w:jc w:val="left"/>
      </w:pPr>
      <w:r>
        <w:t>Especificação do Caso de Uso</w:t>
      </w:r>
    </w:p>
    <w:tbl>
      <w:tblPr>
        <w:tblStyle w:val="a"/>
        <w:tblW w:w="8553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1843"/>
        <w:gridCol w:w="6710"/>
      </w:tblGrid>
      <w:tr w:rsidR="007D09B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Atores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</w:pPr>
            <w:r>
              <w:rPr>
                <w:rFonts w:ascii="Arial" w:eastAsia="Arial" w:hAnsi="Arial" w:cs="Arial"/>
                <w:sz w:val="22"/>
              </w:rPr>
              <w:t>Administrador, Funcionário, Cliente.</w:t>
            </w:r>
          </w:p>
          <w:p w:rsidR="007D09BF" w:rsidRDefault="007D09BF"/>
        </w:tc>
      </w:tr>
      <w:tr w:rsidR="007D09BF">
        <w:trPr>
          <w:trHeight w:val="60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Pré-Condição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r>
              <w:rPr>
                <w:rFonts w:ascii="Arial" w:eastAsia="Arial" w:hAnsi="Arial" w:cs="Arial"/>
                <w:sz w:val="22"/>
              </w:rPr>
              <w:t>Cliente seleciona o botão Chamar atendente na tela principal do sistema ou na tela de pedido.</w:t>
            </w:r>
          </w:p>
        </w:tc>
      </w:tr>
      <w:tr w:rsidR="007D09B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Fluxo Principal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keepNext/>
              <w:keepLines/>
              <w:numPr>
                <w:ilvl w:val="0"/>
                <w:numId w:val="2"/>
              </w:numPr>
              <w:spacing w:before="40"/>
              <w:ind w:hanging="358"/>
              <w:contextualSpacing/>
            </w:pPr>
            <w:r>
              <w:t>Cliente seleciona o botão Chamar atendente na tela principal do sistema ou na tela de pedido.</w:t>
            </w:r>
          </w:p>
          <w:p w:rsidR="007D09BF" w:rsidRDefault="008A5BC2">
            <w:pPr>
              <w:keepNext/>
              <w:keepLines/>
              <w:numPr>
                <w:ilvl w:val="0"/>
                <w:numId w:val="2"/>
              </w:numPr>
              <w:spacing w:after="40"/>
              <w:ind w:hanging="358"/>
              <w:contextualSpacing/>
            </w:pPr>
            <w:r>
              <w:t xml:space="preserve">Sistema coloca a mesa na fila de espera. </w:t>
            </w:r>
          </w:p>
        </w:tc>
      </w:tr>
      <w:tr w:rsidR="007D09B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Fluxos Alternativos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sz w:val="22"/>
              </w:rPr>
              <w:t>A01 [P1]</w:t>
            </w:r>
            <w:r>
              <w:rPr>
                <w:rFonts w:ascii="Arial" w:eastAsia="Arial" w:hAnsi="Arial" w:cs="Arial"/>
                <w:sz w:val="22"/>
              </w:rPr>
              <w:t xml:space="preserve"> Funcionário acessa tela principal do sistema</w:t>
            </w:r>
            <w:r>
              <w:t>.</w:t>
            </w:r>
          </w:p>
          <w:p w:rsidR="007D09BF" w:rsidRDefault="008A5BC2">
            <w:pPr>
              <w:keepNext/>
              <w:keepLines/>
              <w:numPr>
                <w:ilvl w:val="0"/>
                <w:numId w:val="1"/>
              </w:numPr>
              <w:spacing w:before="40"/>
              <w:ind w:hanging="358"/>
              <w:contextualSpacing/>
            </w:pPr>
            <w:r>
              <w:t>Sistema exibe a tela CDU001-Login/</w:t>
            </w:r>
            <w:r>
              <w:rPr>
                <w:i/>
              </w:rPr>
              <w:t>tela03_menu_funcionario.</w:t>
            </w:r>
          </w:p>
          <w:p w:rsidR="007D09BF" w:rsidRDefault="008A5BC2">
            <w:pPr>
              <w:keepNext/>
              <w:keepLines/>
              <w:numPr>
                <w:ilvl w:val="0"/>
                <w:numId w:val="1"/>
              </w:numPr>
              <w:ind w:hanging="358"/>
              <w:contextualSpacing/>
            </w:pPr>
            <w:r>
              <w:t>Funcionário aciona opção OK</w:t>
            </w:r>
          </w:p>
          <w:p w:rsidR="007D09BF" w:rsidRDefault="008A5BC2">
            <w:pPr>
              <w:keepNext/>
              <w:keepLines/>
              <w:numPr>
                <w:ilvl w:val="1"/>
                <w:numId w:val="1"/>
              </w:numPr>
              <w:spacing w:after="40"/>
              <w:ind w:hanging="502"/>
              <w:contextualSpacing/>
            </w:pPr>
            <w:r>
              <w:t>Sistema retira o registro da lista.</w:t>
            </w:r>
          </w:p>
        </w:tc>
      </w:tr>
      <w:tr w:rsidR="007D09B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Exceções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keepNext/>
              <w:keepLines/>
              <w:spacing w:before="40" w:after="40"/>
            </w:pPr>
            <w:r>
              <w:t>N/A</w:t>
            </w:r>
          </w:p>
        </w:tc>
      </w:tr>
      <w:tr w:rsidR="007D09BF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Pós-Condição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</w:pPr>
            <w:r>
              <w:t>Fluxo de atendimento do chamado</w:t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Produtos Gerados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</w:pPr>
            <w:r>
              <w:rPr>
                <w:rFonts w:ascii="Arial" w:eastAsia="Arial" w:hAnsi="Arial" w:cs="Arial"/>
                <w:sz w:val="22"/>
              </w:rPr>
              <w:t>N/A</w:t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Requisitos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</w:pPr>
            <w:r>
              <w:rPr>
                <w:rFonts w:ascii="Arial" w:eastAsia="Arial" w:hAnsi="Arial" w:cs="Arial"/>
                <w:sz w:val="22"/>
              </w:rPr>
              <w:t>REQ-001, REQ-002, REQ-013</w:t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Regras de Negócio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  <w:tab w:val="left" w:pos="5640"/>
              </w:tabs>
            </w:pPr>
            <w:r>
              <w:rPr>
                <w:rFonts w:ascii="Arial" w:eastAsia="Arial" w:hAnsi="Arial" w:cs="Arial"/>
                <w:sz w:val="22"/>
              </w:rPr>
              <w:t>RN-029, RN-030</w:t>
            </w:r>
            <w:r>
              <w:rPr>
                <w:rFonts w:ascii="Arial" w:eastAsia="Arial" w:hAnsi="Arial" w:cs="Arial"/>
                <w:sz w:val="22"/>
              </w:rPr>
              <w:tab/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Casos de uso ou cenários incluídos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1024"/>
              </w:tabs>
              <w:ind w:left="512" w:hanging="511"/>
            </w:pPr>
            <w:r>
              <w:rPr>
                <w:rFonts w:ascii="Arial" w:eastAsia="Arial" w:hAnsi="Arial" w:cs="Arial"/>
                <w:sz w:val="22"/>
              </w:rPr>
              <w:t>CDU007-Manter pedido</w:t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Pontos de Extensão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</w:rPr>
              <w:t>CDU001-Login</w:t>
            </w:r>
          </w:p>
        </w:tc>
      </w:tr>
      <w:tr w:rsidR="007D09BF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Cadastros Auxiliares</w:t>
            </w:r>
          </w:p>
        </w:tc>
        <w:tc>
          <w:tcPr>
            <w:tcW w:w="6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</w:rPr>
              <w:t>N/A</w:t>
            </w:r>
          </w:p>
        </w:tc>
      </w:tr>
    </w:tbl>
    <w:p w:rsidR="007D09BF" w:rsidRDefault="007D09BF">
      <w:pPr>
        <w:pStyle w:val="Ttulo1"/>
        <w:jc w:val="left"/>
      </w:pPr>
    </w:p>
    <w:p w:rsidR="007D09BF" w:rsidRDefault="008A5BC2">
      <w:pPr>
        <w:pStyle w:val="Ttulo1"/>
        <w:jc w:val="left"/>
      </w:pPr>
      <w:r>
        <w:t>3. Tabela de Mensagens</w:t>
      </w:r>
    </w:p>
    <w:tbl>
      <w:tblPr>
        <w:tblStyle w:val="a0"/>
        <w:tblW w:w="846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716"/>
        <w:gridCol w:w="7748"/>
      </w:tblGrid>
      <w:tr w:rsidR="007D09BF"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roofErr w:type="spellStart"/>
            <w:r>
              <w:rPr>
                <w:b/>
                <w:sz w:val="22"/>
              </w:rPr>
              <w:t>Nro</w:t>
            </w:r>
            <w:proofErr w:type="spellEnd"/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r>
              <w:rPr>
                <w:b/>
                <w:sz w:val="22"/>
              </w:rPr>
              <w:t>Mensagem</w:t>
            </w:r>
          </w:p>
        </w:tc>
      </w:tr>
      <w:tr w:rsidR="007D09BF">
        <w:trPr>
          <w:trHeight w:val="6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spacing w:before="120" w:after="120"/>
            </w:pPr>
            <w:r>
              <w:rPr>
                <w:sz w:val="22"/>
              </w:rPr>
              <w:t>N/A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keepNext/>
              <w:spacing w:before="120" w:after="120"/>
            </w:pPr>
            <w:r>
              <w:t>N/A</w:t>
            </w:r>
          </w:p>
        </w:tc>
      </w:tr>
    </w:tbl>
    <w:p w:rsidR="007D09BF" w:rsidRDefault="007D09BF">
      <w:pPr>
        <w:tabs>
          <w:tab w:val="left" w:pos="1080"/>
        </w:tabs>
        <w:spacing w:before="227" w:after="85" w:line="360" w:lineRule="auto"/>
        <w:ind w:left="360"/>
      </w:pPr>
    </w:p>
    <w:p w:rsidR="007D09BF" w:rsidRDefault="008A5BC2">
      <w:pPr>
        <w:pStyle w:val="Ttulo1"/>
        <w:spacing w:line="360" w:lineRule="auto"/>
        <w:jc w:val="left"/>
      </w:pPr>
      <w:r>
        <w:t>4. Tabela de Especificação dos Campos</w:t>
      </w:r>
    </w:p>
    <w:tbl>
      <w:tblPr>
        <w:tblStyle w:val="a1"/>
        <w:tblW w:w="8450" w:type="dxa"/>
        <w:tblInd w:w="-56" w:type="dxa"/>
        <w:tblLayout w:type="fixed"/>
        <w:tblLook w:val="0000" w:firstRow="0" w:lastRow="0" w:firstColumn="0" w:lastColumn="0" w:noHBand="0" w:noVBand="0"/>
      </w:tblPr>
      <w:tblGrid>
        <w:gridCol w:w="1900"/>
        <w:gridCol w:w="1843"/>
        <w:gridCol w:w="992"/>
        <w:gridCol w:w="1134"/>
        <w:gridCol w:w="1811"/>
        <w:gridCol w:w="770"/>
      </w:tblGrid>
      <w:tr w:rsidR="007D09BF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r>
              <w:rPr>
                <w:rFonts w:ascii="Arial" w:eastAsia="Arial" w:hAnsi="Arial" w:cs="Arial"/>
                <w:sz w:val="22"/>
              </w:rPr>
              <w:t>Nome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r>
              <w:rPr>
                <w:rFonts w:ascii="Arial" w:eastAsia="Arial" w:hAnsi="Arial" w:cs="Arial"/>
                <w:sz w:val="22"/>
              </w:rPr>
              <w:t>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Tamanho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Valor Padrão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09BF" w:rsidRDefault="008A5BC2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Máscara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BF" w:rsidRDefault="008A5BC2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Obrig</w:t>
            </w:r>
            <w:proofErr w:type="spellEnd"/>
          </w:p>
        </w:tc>
      </w:tr>
    </w:tbl>
    <w:p w:rsidR="007D09BF" w:rsidRDefault="007D09BF"/>
    <w:sectPr w:rsidR="007D09BF">
      <w:headerReference w:type="default" r:id="rId7"/>
      <w:footerReference w:type="default" r:id="rId8"/>
      <w:pgSz w:w="11906" w:h="16838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BC2" w:rsidRDefault="008A5BC2">
      <w:r>
        <w:separator/>
      </w:r>
    </w:p>
  </w:endnote>
  <w:endnote w:type="continuationSeparator" w:id="0">
    <w:p w:rsidR="008A5BC2" w:rsidRDefault="008A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BF" w:rsidRDefault="007D09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BC2" w:rsidRDefault="008A5BC2">
      <w:r>
        <w:separator/>
      </w:r>
    </w:p>
  </w:footnote>
  <w:footnote w:type="continuationSeparator" w:id="0">
    <w:p w:rsidR="008A5BC2" w:rsidRDefault="008A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BF" w:rsidRDefault="007D09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C10"/>
    <w:multiLevelType w:val="multilevel"/>
    <w:tmpl w:val="7F6E38F4"/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115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abstractNum w:abstractNumId="1">
    <w:nsid w:val="5B203684"/>
    <w:multiLevelType w:val="multilevel"/>
    <w:tmpl w:val="35265C02"/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115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9BF"/>
    <w:rsid w:val="007D09BF"/>
    <w:rsid w:val="008A5BC2"/>
    <w:rsid w:val="00E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083A5-4AB5-48C2-9BD1-37CE5CCD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7" w:after="85"/>
      <w:jc w:val="center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before="227" w:after="227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27" w:after="85"/>
      <w:jc w:val="center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227" w:after="85"/>
      <w:ind w:left="567"/>
      <w:jc w:val="center"/>
      <w:outlineLvl w:val="3"/>
    </w:pPr>
    <w:rPr>
      <w:rFonts w:ascii="Arial" w:eastAsia="Arial" w:hAnsi="Arial" w:cs="Arial"/>
      <w:sz w:val="22"/>
    </w:rPr>
  </w:style>
  <w:style w:type="paragraph" w:styleId="Ttulo5">
    <w:name w:val="heading 5"/>
    <w:basedOn w:val="Normal"/>
    <w:next w:val="Normal"/>
    <w:pPr>
      <w:keepNext/>
      <w:keepLines/>
      <w:spacing w:before="227" w:after="85"/>
      <w:ind w:left="1134"/>
      <w:jc w:val="center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"/>
    <w:next w:val="Normal"/>
    <w:pPr>
      <w:keepNext/>
      <w:keepLines/>
      <w:spacing w:before="227" w:after="85"/>
      <w:ind w:left="1701"/>
      <w:jc w:val="center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CDU-008-Chamar atendente.doc.docx</dc:title>
  <cp:lastModifiedBy>Jônatas Tonholo</cp:lastModifiedBy>
  <cp:revision>2</cp:revision>
  <dcterms:created xsi:type="dcterms:W3CDTF">2015-04-26T18:14:00Z</dcterms:created>
  <dcterms:modified xsi:type="dcterms:W3CDTF">2015-04-26T18:14:00Z</dcterms:modified>
</cp:coreProperties>
</file>