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945"/>
        <w:gridCol w:w="240"/>
        <w:gridCol w:w="548"/>
        <w:gridCol w:w="623"/>
        <w:gridCol w:w="1389"/>
        <w:gridCol w:w="1443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C27C1A" w:rsidRPr="00D31E88" w14:paraId="4A723C2B" w14:textId="77777777" w:rsidTr="002155F8">
        <w:trPr>
          <w:trHeight w:val="286"/>
        </w:trPr>
        <w:tc>
          <w:tcPr>
            <w:tcW w:w="6517" w:type="dxa"/>
            <w:gridSpan w:val="4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8A18EB5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4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8ECAB3F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C27C1A" w:rsidRPr="00D31E88" w14:paraId="341220F4" w14:textId="77777777" w:rsidTr="002155F8">
        <w:trPr>
          <w:trHeight w:val="273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B7B24E0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{NOME}}</w:t>
            </w:r>
          </w:p>
        </w:tc>
        <w:tc>
          <w:tcPr>
            <w:tcW w:w="40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E426463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 xml:space="preserve">:  </w:t>
            </w:r>
          </w:p>
        </w:tc>
      </w:tr>
      <w:tr w:rsidR="00C27C1A" w:rsidRPr="00D31E88" w14:paraId="72798715" w14:textId="77777777" w:rsidTr="002155F8">
        <w:trPr>
          <w:trHeight w:val="24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686F533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</w:t>
            </w:r>
            <w:proofErr w:type="gramStart"/>
            <w:r w:rsidRPr="00D31E88">
              <w:rPr>
                <w:rFonts w:ascii="Arial" w:hAnsi="Arial" w:cs="Arial"/>
              </w:rPr>
              <w:t xml:space="preserve"> 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{CARGO}}</w:t>
            </w:r>
          </w:p>
        </w:tc>
      </w:tr>
      <w:tr w:rsidR="00C27C1A" w:rsidRPr="00D31E88" w14:paraId="25B88E7E" w14:textId="77777777" w:rsidTr="002155F8">
        <w:trPr>
          <w:trHeight w:val="281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401D80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{DATA_ADMISSAO}}</w:t>
            </w:r>
          </w:p>
        </w:tc>
      </w:tr>
      <w:tr w:rsidR="00C27C1A" w:rsidRPr="00D31E88" w14:paraId="25B52299" w14:textId="77777777" w:rsidTr="002155F8">
        <w:trPr>
          <w:trHeight w:val="286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43F4D31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{LOTACAO}}</w:t>
            </w:r>
          </w:p>
        </w:tc>
        <w:tc>
          <w:tcPr>
            <w:tcW w:w="40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B812D55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C27C1A" w:rsidRPr="00D31E88" w14:paraId="63B2E7F1" w14:textId="77777777" w:rsidTr="002155F8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0FCFFDB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CPF</w:t>
            </w:r>
            <w:r w:rsidRPr="00D31E88">
              <w:rPr>
                <w:rFonts w:ascii="Arial" w:hAnsi="Arial" w:cs="Arial"/>
              </w:rPr>
              <w:t xml:space="preserve">: </w:t>
            </w:r>
            <w:r w:rsidRPr="00C96354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4F037D7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34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B37A7" w14:textId="77777777" w:rsidR="00C27C1A" w:rsidRPr="00D31E88" w:rsidRDefault="00C27C1A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11859370" w:rsidR="008F546F" w:rsidRPr="008F546F" w:rsidRDefault="005D2BA8" w:rsidP="008F546F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 Regulamentadora NR-12 — Segurança no Trabalho em Máquinas e Equipamentos —, do Ministério do Trabalho e Emprego, a JS Construtora e Locadora Ltda resolve divulgar e dar ciência entre seus empregados as disposições contidas no presente treinamento,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66DF9DFD" w:rsidR="005D2BA8" w:rsidRPr="005D2BA8" w:rsidRDefault="005D2BA8" w:rsidP="005D2BA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Este treinamento tem por objetivo capacitar os colaboradores para o reconhecimento dos riscos associados ao uso, operação e circulação em áreas com máquinas e equipamentos, estabelecendo os procedimentos obrigatórios de segurança em conformidade com a Norma Regulamentadora NR-12 do Ministério do Trabalho e Emprego, aplicando-se a todos os trabalhadores que operam ou transitam em áreas onde máquinas e equipamentos estão em operação.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5248AAE3" w:rsidR="005D2BA8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2F8E3197" w:rsidR="00280945" w:rsidRPr="00280945" w:rsidRDefault="009A177D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</w:t>
            </w:r>
            <w:r w:rsidR="005D2BA8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8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horas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3E240F5" w:rsidR="00E04059" w:rsidRPr="00B94227" w:rsidRDefault="009A177D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programático</w:t>
            </w:r>
          </w:p>
        </w:tc>
      </w:tr>
      <w:tr w:rsidR="009A177D" w:rsidRPr="005D2BA8" w14:paraId="6E170330" w14:textId="77777777" w:rsidTr="00B94227">
        <w:trPr>
          <w:trHeight w:val="879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F90103" w14:textId="1B33F56F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5.1 Fundamentos da NR-12</w:t>
            </w:r>
          </w:p>
          <w:p w14:paraId="6DA8ADAC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Objetivo e campo de aplicação da NR-12. Responsabilidades do empregador e do trabalhador. Principais conceitos: zona de perigo, dispositivos de segurança, proteções fixas e móveis. Consequências do descumprimento das normas de segurança.</w:t>
            </w:r>
          </w:p>
          <w:p w14:paraId="7B1B9ABD" w14:textId="53629988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5.2 Máquinas e Equipamentos Utilizados na JS Construtora</w:t>
            </w:r>
          </w:p>
          <w:p w14:paraId="493F90FF" w14:textId="7FABF333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Identificação e características das máquinas e equipamentos presentes nas obras: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D2BA8">
              <w:rPr>
                <w:rFonts w:ascii="Arial" w:hAnsi="Arial" w:cs="Arial"/>
                <w:sz w:val="16"/>
                <w:szCs w:val="16"/>
              </w:rPr>
              <w:t>Rolo compactador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D2BA8">
              <w:rPr>
                <w:rFonts w:ascii="Arial" w:hAnsi="Arial" w:cs="Arial"/>
                <w:sz w:val="16"/>
                <w:szCs w:val="16"/>
              </w:rPr>
              <w:t>Vibroacabadora</w:t>
            </w:r>
            <w:proofErr w:type="spellEnd"/>
            <w:r w:rsidRPr="005D2BA8">
              <w:rPr>
                <w:rFonts w:ascii="Arial" w:hAnsi="Arial" w:cs="Arial"/>
                <w:sz w:val="16"/>
                <w:szCs w:val="16"/>
              </w:rPr>
              <w:t xml:space="preserve"> e mesa </w:t>
            </w:r>
            <w:proofErr w:type="spellStart"/>
            <w:r w:rsidRPr="005D2BA8">
              <w:rPr>
                <w:rFonts w:ascii="Arial" w:hAnsi="Arial" w:cs="Arial"/>
                <w:sz w:val="16"/>
                <w:szCs w:val="16"/>
              </w:rPr>
              <w:t>vibroacabadora</w:t>
            </w:r>
            <w:proofErr w:type="spellEnd"/>
          </w:p>
          <w:p w14:paraId="2D2ACDF1" w14:textId="471F6AE5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Espargidor de asfalto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Retroescavadeira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Pá carregadeira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Motoniveladora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Mini carregadeira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Trator de esteira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Usina de asfalto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Caminhões basculantes e tanque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E2B5A96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Reconhecimento visual de cada equipamento. Função de cada máquina no processo de pavimentação e terraplanagem. Capacidades, dimensões e raios de giro — por que isso importa para quem está no entorno.</w:t>
            </w:r>
          </w:p>
          <w:p w14:paraId="403F03A2" w14:textId="4E6C7C84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5.3 Riscos Associados às Máquinas e Equipamentos</w:t>
            </w:r>
          </w:p>
          <w:p w14:paraId="4C7B4135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Riscos mecânicos: esmagamento, aprisionamento, corte, impacto e projeção de materiais. Riscos de atropelamento e colisão na área de obra. Ponto cego das máquinas — onde o operador não enxerga o trabalhador a pé. Riscos de capotamento em terrenos irregulares. Riscos elétricos: contato com fiação e redes de distribuição. Riscos ergonômicos: vibração de corpo inteiro nos operadores, posturas forçadas. Riscos de incêndio e explosão: vazamentos de combustível e fluidos hidráulicos.</w:t>
            </w:r>
          </w:p>
          <w:p w14:paraId="2F81628D" w14:textId="7E23653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5.4 Dispositivos e Sistemas de Segurança das Máquinas</w:t>
            </w:r>
          </w:p>
          <w:p w14:paraId="11AE7BF7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Proteções fixas e móveis: função e proibição de remoção. Alarme sonoro de ré: obrigatoriedade e o que fazer ao ouvi-lo. Sistemas ROPS (proteção contra capotamento) e FOPS (proteção contra queda de objetos) nas cabines. Cinto de segurança nas máquinas: uso obrigatório durante toda a operação. Extintor de incêndio embarcado: localização e acionamento. Dispositivos de bloqueio de emergência: como identificar e respeitar.</w:t>
            </w:r>
          </w:p>
          <w:p w14:paraId="6DD663CE" w14:textId="1DA2E3AF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5.5 Inspeção Diária — Obrigação do Operador</w:t>
            </w:r>
          </w:p>
          <w:p w14:paraId="54BFD510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Procedimento de inspeção pré-operacional antes de ligar a máquina. Verificação de: nível de óleo, combustível, fluido hidráulico, pneus ou esteiras, luzes, buzina e alarme de ré. Identificação de vazamentos, folgas, trincas e componentes danificados. Como registrar e comunicar não conformidades ao setor de manutenção. Proibição de operar máquina com defeito identificado.</w:t>
            </w:r>
          </w:p>
          <w:p w14:paraId="5E5DB122" w14:textId="2762844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5.6 Operação Segura — Regras para Operadores</w:t>
            </w:r>
          </w:p>
          <w:p w14:paraId="4B615BE3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Habilitação e autorização: somente operar a máquina para a qual foi capacitado e autorizado pela empresa. Proibição de transporte de passageiros em máquinas sem assento e cinto homologados. Velocidade máxima permitida no canteiro de obras. Procedimentos para subida e descida da máquina: três pontos de apoio. Comunicação com trabalhadores a pé: sinais sonoros e gestuais. Distância mínima de segurança de redes elétricas. Proibição do uso de celular durante a operação. Procedimento de estacionamento seguro ao final da jornada ou durante pausas.</w:t>
            </w:r>
          </w:p>
          <w:p w14:paraId="710EFAF0" w14:textId="114B9992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5.7 Segurança para Trabalhadores no Entorno das Máquinas</w:t>
            </w:r>
          </w:p>
          <w:p w14:paraId="66BDC378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Regra fundamental: nunca se aproximar de uma máquina em operação sem sinalizar ao operador. Zonas de exclusão: áreas proibidas durante a operação dos equipamentos. Como estabelecer contato visual com o operador antes de cruzar a área de trabalho da máquina. Uso obrigatório do colete refletivo para visibilidade. Circulação segura no canteiro: rotas definidas para pedestres. Condutas ao ouvir o alarme de ré: parar imediatamente e aguardar a máquina estacionar. Proibição de permanecer sob cargas suspensas ou em zonas de basculamento de caminhões.</w:t>
            </w:r>
          </w:p>
          <w:p w14:paraId="1900BD38" w14:textId="27A47456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5.8 Bloqueio e Etiquetagem — Lockout/</w:t>
            </w:r>
            <w:proofErr w:type="spellStart"/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Tagout</w:t>
            </w:r>
            <w:proofErr w:type="spellEnd"/>
          </w:p>
          <w:p w14:paraId="4C67D307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O que é o bloqueio e etiquetagem e quando aplicar. Proibição de realizar qualquer intervenção em máquina sem bloqueio da fonte de energia. Procedimento básico: desligar, bloquear, sinalizar e verificar. Responsabilidade do trabalhador de manutenção e do operador nesse processo. Penalidades pelo descumprimento.</w:t>
            </w:r>
          </w:p>
          <w:p w14:paraId="46178A89" w14:textId="5A6E9D7B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5.9 Manutenção Segura</w:t>
            </w:r>
          </w:p>
          <w:p w14:paraId="102A7F31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Somente pessoal autorizado e capacitado realiza manutenção. Limpeza de máquinas: proibição de uso de jato de ar comprimido em partes elétricas. Descarte correto de óleos, filtros e fluidos contaminados. Comunicação ao setor de SST de qualquer irregularidade identificada.</w:t>
            </w:r>
          </w:p>
          <w:p w14:paraId="495E30F9" w14:textId="6B7CAA7B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5.10 Conduta em Caso de Acidente com Máquinas</w:t>
            </w:r>
          </w:p>
          <w:p w14:paraId="00E8627D" w14:textId="3D89A6CF" w:rsidR="009A177D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lastRenderedPageBreak/>
              <w:t>Procedimento imediato: desligar a máquina, isolar a área e acionar socorro. Não mover a vítima salvo em situação de risco iminente maior. Contatos de emergência: SAMU 192, Bombeiros 193. Comunicação ao responsável de SST e ao encarregado. Preservação do local para investigação do acidente. Emissão da CAT — Comunicação de Acidente do Trabalho.</w:t>
            </w:r>
          </w:p>
        </w:tc>
      </w:tr>
      <w:tr w:rsidR="00E04059" w:rsidRPr="00D31E88" w14:paraId="12C76430" w14:textId="77777777" w:rsidTr="00D31E88">
        <w:trPr>
          <w:trHeight w:val="324"/>
        </w:trPr>
        <w:tc>
          <w:tcPr>
            <w:tcW w:w="6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5A4AD88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9A21871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A907F51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4711F37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4467F" w:rsidRDefault="0094467F" w:rsidP="0094467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Assinatura</w:t>
            </w:r>
            <w:r w:rsidRPr="009446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42752B65" w:rsidR="00E04059" w:rsidRPr="00B94227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</w:tc>
      </w:tr>
      <w:tr w:rsidR="00E04059" w:rsidRPr="00D31E88" w14:paraId="5A691B57" w14:textId="77777777" w:rsidTr="00D31E88">
        <w:trPr>
          <w:trHeight w:val="324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C27C1A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3F4B435" w:rsidR="00C27C1A" w:rsidRPr="00D31E88" w:rsidRDefault="00C27C1A" w:rsidP="00C27C1A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0E73D098" w:rsidR="00C27C1A" w:rsidRPr="00D31E88" w:rsidRDefault="00C27C1A" w:rsidP="00C27C1A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C27C1A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4726237F" w:rsidR="00C27C1A" w:rsidRPr="00D31E88" w:rsidRDefault="00C27C1A" w:rsidP="00C27C1A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9635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53265E4B" w:rsidR="00C27C1A" w:rsidRPr="00D31E88" w:rsidRDefault="00C27C1A" w:rsidP="00C27C1A">
            <w:pPr>
              <w:tabs>
                <w:tab w:val="center" w:pos="2678"/>
                <w:tab w:val="right" w:pos="5356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AE288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{{RESP_SST}}</w:t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D61B" w14:textId="77777777" w:rsidR="00407EF4" w:rsidRDefault="00407EF4" w:rsidP="004333D8">
      <w:pPr>
        <w:spacing w:after="0" w:line="240" w:lineRule="auto"/>
      </w:pPr>
      <w:r>
        <w:separator/>
      </w:r>
    </w:p>
  </w:endnote>
  <w:endnote w:type="continuationSeparator" w:id="0">
    <w:p w14:paraId="720BDA8C" w14:textId="77777777" w:rsidR="00407EF4" w:rsidRDefault="00407EF4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A384A" w14:textId="77777777" w:rsidR="00407EF4" w:rsidRDefault="00407EF4" w:rsidP="004333D8">
      <w:pPr>
        <w:spacing w:after="0" w:line="240" w:lineRule="auto"/>
      </w:pPr>
      <w:r>
        <w:separator/>
      </w:r>
    </w:p>
  </w:footnote>
  <w:footnote w:type="continuationSeparator" w:id="0">
    <w:p w14:paraId="728E1759" w14:textId="77777777" w:rsidR="00407EF4" w:rsidRDefault="00407EF4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55644F">
      <w:trPr>
        <w:trHeight w:val="1221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20ACAAE8" w:rsidR="005C53EB" w:rsidRPr="003453F1" w:rsidRDefault="008F546F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TREINAMENTO NR </w:t>
          </w:r>
          <w:r w:rsidR="0093020B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18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8E6E"/>
      </v:shape>
    </w:pict>
  </w:numPicBullet>
  <w:abstractNum w:abstractNumId="0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1"/>
  </w:num>
  <w:num w:numId="2" w16cid:durableId="1209755170">
    <w:abstractNumId w:val="10"/>
  </w:num>
  <w:num w:numId="3" w16cid:durableId="418521689">
    <w:abstractNumId w:val="0"/>
  </w:num>
  <w:num w:numId="4" w16cid:durableId="1087189751">
    <w:abstractNumId w:val="4"/>
  </w:num>
  <w:num w:numId="5" w16cid:durableId="681399977">
    <w:abstractNumId w:val="9"/>
  </w:num>
  <w:num w:numId="6" w16cid:durableId="904146709">
    <w:abstractNumId w:val="11"/>
  </w:num>
  <w:num w:numId="7" w16cid:durableId="918519387">
    <w:abstractNumId w:val="6"/>
  </w:num>
  <w:num w:numId="8" w16cid:durableId="775296672">
    <w:abstractNumId w:val="3"/>
  </w:num>
  <w:num w:numId="9" w16cid:durableId="544606402">
    <w:abstractNumId w:val="2"/>
  </w:num>
  <w:num w:numId="10" w16cid:durableId="1877699676">
    <w:abstractNumId w:val="7"/>
  </w:num>
  <w:num w:numId="11" w16cid:durableId="1525896588">
    <w:abstractNumId w:val="8"/>
  </w:num>
  <w:num w:numId="12" w16cid:durableId="949699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114CB8"/>
    <w:rsid w:val="00121334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53217"/>
    <w:rsid w:val="003A12CB"/>
    <w:rsid w:val="003C3C27"/>
    <w:rsid w:val="003D446B"/>
    <w:rsid w:val="003D64D2"/>
    <w:rsid w:val="00401A8F"/>
    <w:rsid w:val="00405B2C"/>
    <w:rsid w:val="00407EF4"/>
    <w:rsid w:val="004333D8"/>
    <w:rsid w:val="00473D7A"/>
    <w:rsid w:val="00490A00"/>
    <w:rsid w:val="004B4877"/>
    <w:rsid w:val="004F26C1"/>
    <w:rsid w:val="004F712A"/>
    <w:rsid w:val="005259C3"/>
    <w:rsid w:val="00533806"/>
    <w:rsid w:val="005C53EB"/>
    <w:rsid w:val="005D2BA8"/>
    <w:rsid w:val="005E26C9"/>
    <w:rsid w:val="00622D94"/>
    <w:rsid w:val="00654AD7"/>
    <w:rsid w:val="00687947"/>
    <w:rsid w:val="0069474D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8F546F"/>
    <w:rsid w:val="00924DAF"/>
    <w:rsid w:val="0093020B"/>
    <w:rsid w:val="0094467F"/>
    <w:rsid w:val="009561FF"/>
    <w:rsid w:val="00995829"/>
    <w:rsid w:val="009A177D"/>
    <w:rsid w:val="009B4774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27C1A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4EAA"/>
    <w:rsid w:val="00DA7084"/>
    <w:rsid w:val="00DC14B7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F795E"/>
    <w:rsid w:val="00F225BE"/>
    <w:rsid w:val="00F24640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959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6</cp:revision>
  <cp:lastPrinted>2025-11-11T18:33:00Z</cp:lastPrinted>
  <dcterms:created xsi:type="dcterms:W3CDTF">2026-05-11T19:52:00Z</dcterms:created>
  <dcterms:modified xsi:type="dcterms:W3CDTF">2026-06-22T17:54:00Z</dcterms:modified>
</cp:coreProperties>
</file>