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3506"/>
        <w:gridCol w:w="496"/>
        <w:gridCol w:w="1330"/>
        <w:gridCol w:w="1185"/>
        <w:gridCol w:w="496"/>
        <w:gridCol w:w="52"/>
        <w:gridCol w:w="3455"/>
      </w:tblGrid>
      <w:tr w:rsidR="00280945" w:rsidRPr="00B94227" w14:paraId="64225CF9" w14:textId="77777777" w:rsidTr="003818D7">
        <w:trPr>
          <w:trHeight w:val="188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435A19" w:rsidRPr="00D31E88" w14:paraId="3CFD92D7" w14:textId="77777777" w:rsidTr="002155F8">
        <w:trPr>
          <w:trHeight w:val="286"/>
        </w:trPr>
        <w:tc>
          <w:tcPr>
            <w:tcW w:w="6517" w:type="dxa"/>
            <w:gridSpan w:val="4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05D80B4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E1F2C90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435A19" w:rsidRPr="00D31E88" w14:paraId="2F9EB83F" w14:textId="77777777" w:rsidTr="002155F8">
        <w:trPr>
          <w:trHeight w:val="273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6F705C3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{NOME}}</w:t>
            </w:r>
          </w:p>
        </w:tc>
        <w:tc>
          <w:tcPr>
            <w:tcW w:w="400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DA50ADE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435A19" w:rsidRPr="00D31E88" w14:paraId="1997780C" w14:textId="77777777" w:rsidTr="002155F8">
        <w:trPr>
          <w:trHeight w:val="24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70F1B4E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</w:t>
            </w:r>
            <w:proofErr w:type="gramStart"/>
            <w:r w:rsidRPr="00D31E88">
              <w:rPr>
                <w:rFonts w:ascii="Arial" w:hAnsi="Arial" w:cs="Arial"/>
              </w:rPr>
              <w:t xml:space="preserve"> 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{CARGO}}</w:t>
            </w:r>
          </w:p>
        </w:tc>
      </w:tr>
      <w:tr w:rsidR="00435A19" w:rsidRPr="00D31E88" w14:paraId="0D681508" w14:textId="77777777" w:rsidTr="002155F8">
        <w:trPr>
          <w:trHeight w:val="281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2E52FCF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{DATA_ADMISSAO}}</w:t>
            </w:r>
          </w:p>
        </w:tc>
      </w:tr>
      <w:tr w:rsidR="00435A19" w:rsidRPr="00D31E88" w14:paraId="48C1147D" w14:textId="77777777" w:rsidTr="002155F8">
        <w:trPr>
          <w:trHeight w:val="286"/>
        </w:trPr>
        <w:tc>
          <w:tcPr>
            <w:tcW w:w="6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CFB9EE8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{LOTACAO}}</w:t>
            </w:r>
          </w:p>
        </w:tc>
        <w:tc>
          <w:tcPr>
            <w:tcW w:w="400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C0C23AB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435A19" w:rsidRPr="00D31E88" w14:paraId="13C09152" w14:textId="77777777" w:rsidTr="002155F8">
        <w:trPr>
          <w:trHeight w:val="601"/>
        </w:trPr>
        <w:tc>
          <w:tcPr>
            <w:tcW w:w="400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23BD02F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BAE6D92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AE535B" w14:textId="77777777" w:rsidR="00435A19" w:rsidRPr="00D31E88" w:rsidRDefault="00435A19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5B125F" w:rsidRPr="00B94227" w14:paraId="0BF0678F" w14:textId="77777777" w:rsidTr="003818D7">
        <w:trPr>
          <w:trHeight w:val="188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7864CE06" w:rsidR="005B125F" w:rsidRPr="00B94227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B125F" w:rsidRPr="008F546F" w14:paraId="411EEFF4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58DDAE4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Este treinamento tem por objetivo capacitar os trabalhadores da JS Construtora e Locadora Ltda para a execução segura de atividades em vias públicas urbanas, estaduais e federais, prevenindo acidentes de trânsito, atropelamentos e colisões durante a realização de serviços de pavimentação, manutenção e obras em pista.</w:t>
            </w:r>
          </w:p>
          <w:p w14:paraId="250EBABF" w14:textId="0E134BBA" w:rsidR="005B125F" w:rsidRPr="008F546F" w:rsidRDefault="005B125F" w:rsidP="005B125F">
            <w:pPr>
              <w:pStyle w:val="PargrafodaLista"/>
              <w:spacing w:after="20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 xml:space="preserve">Aplica-se a todos os trabalhadores que executam atividades operacionais em campo, incluindo ajudantes,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rasteleiros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>, operadores de equipamentos, motoristas e encarregados.</w:t>
            </w:r>
          </w:p>
        </w:tc>
      </w:tr>
      <w:tr w:rsidR="005B125F" w:rsidRPr="00B94227" w14:paraId="2C96C720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EC8428" w14:textId="2D0D179D" w:rsidR="005B125F" w:rsidRPr="00710C1F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0C1F"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5B125F" w:rsidRPr="00280945" w14:paraId="5BBD321E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61F33D" w14:textId="77777777" w:rsidR="005B125F" w:rsidRPr="00280945" w:rsidRDefault="005B125F" w:rsidP="005B125F">
            <w:pPr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04 horas</w:t>
            </w:r>
          </w:p>
        </w:tc>
      </w:tr>
      <w:tr w:rsidR="005B125F" w:rsidRPr="00B94227" w14:paraId="24D9B9EE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4D6EFDAC" w:rsidR="005B125F" w:rsidRPr="00B94227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Riscos</w:t>
            </w:r>
          </w:p>
        </w:tc>
      </w:tr>
      <w:tr w:rsidR="005B125F" w:rsidRPr="00B94227" w14:paraId="22A6EE98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E2D767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O PGR da JS Construtora classifica o risco de atropelamento como Substancial para todos os cargos operacionais, sendo considerado o risco de maior gravidade nas frentes de obra em rodovias.</w:t>
            </w:r>
          </w:p>
          <w:p w14:paraId="676E4C81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3.1 Atropelamento e Colisão</w:t>
            </w:r>
          </w:p>
          <w:p w14:paraId="0D79D2A6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Ocorre pela circulação simultânea de trabalhadores a pé e veículos em alta velocidade na mesma faixa ou em faixas adjacentes à área de trabalho. É o risco de maior potencial de gravidade — pode resultar em morte ou lesões permanentes.</w:t>
            </w:r>
          </w:p>
          <w:p w14:paraId="1592DF5B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3.2 Colisão entre Equipamentos e Veículos</w:t>
            </w:r>
          </w:p>
          <w:p w14:paraId="3E8F709D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 xml:space="preserve">Caminhões, rolos compactadores e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vibroacabadoras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operando em espaço restrito com visibilidade limitada, próximos ao fluxo de veículos. Risco elevado de colisão lateral e traseira.</w:t>
            </w:r>
          </w:p>
          <w:p w14:paraId="1FE0069C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3.3 Visibilidade Reduzida</w:t>
            </w:r>
          </w:p>
          <w:p w14:paraId="706A64C3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Chuva, neblina, poeira de obra, fumaça de asfalto e trabalho noturno reduzem drasticamente a visibilidade do motorista que se aproxima. O trabalhador pode não ser visto a tempo de uma frenagem segura.</w:t>
            </w:r>
          </w:p>
          <w:p w14:paraId="3CA881BA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3.4 Invasão de Pista por Veículos</w:t>
            </w:r>
          </w:p>
          <w:p w14:paraId="2785A433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Motoristas distraídos, com sono, embriagados ou em excesso de velocidade podem invadir a área de trabalho mesmo com sinalização correta. O trabalhador deve sempre considerar essa possibilidade.</w:t>
            </w:r>
          </w:p>
          <w:p w14:paraId="4CF8F405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3.5 Queda de Materiais sobre a Pista</w:t>
            </w:r>
          </w:p>
          <w:p w14:paraId="51C8E285" w14:textId="05B64633" w:rsidR="005B125F" w:rsidRPr="005D2BA8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Materiais transportados em caminhões sem lona, ferramentas mal acondicionadas e detritos de obra podem cair sobre a pista e causar acidentes com veículos de passagem.</w:t>
            </w:r>
          </w:p>
        </w:tc>
      </w:tr>
      <w:tr w:rsidR="005B125F" w:rsidRPr="00B94227" w14:paraId="3EC72F6B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33A6BD85" w:rsidR="005B125F" w:rsidRPr="00B94227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0C1F">
              <w:rPr>
                <w:rFonts w:ascii="Arial" w:hAnsi="Arial" w:cs="Arial"/>
                <w:b/>
                <w:bCs/>
                <w:sz w:val="20"/>
                <w:szCs w:val="20"/>
              </w:rPr>
              <w:t>Tipos de vias</w:t>
            </w:r>
          </w:p>
        </w:tc>
      </w:tr>
      <w:tr w:rsidR="005B125F" w:rsidRPr="005D2BA8" w14:paraId="6E170330" w14:textId="77777777" w:rsidTr="005B125F">
        <w:trPr>
          <w:trHeight w:val="645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F66D4F" w14:textId="0F0161AF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.1 Vias Urbanas</w:t>
            </w:r>
          </w:p>
          <w:p w14:paraId="61CC4B1C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Velocidade máxima geralmente entre 30 e 60 km/h. Presença constante de pedestres, ciclistas e motos. Atenção redobrada nos cruzamentos. A proximidade com calçadas exige isolamento total da área de trabalho. Fiscalização municipal e CET.</w:t>
            </w:r>
          </w:p>
          <w:p w14:paraId="756A6216" w14:textId="6EA7FD23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.2 Vias Estaduais</w:t>
            </w:r>
          </w:p>
          <w:p w14:paraId="0D41DBEF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Velocidade entre 60 e 100 km/h. Fiscalização da GOINFRA e CIRETRAN. Exigem projeto de sinalização aprovado pela GOINFRA antes do início das obras — como o CERCON da nossa sede, nas obras exige-se o projeto de sinalização provisória. Veículos em alta velocidade oferecem tempo de reação muito reduzido.</w:t>
            </w:r>
          </w:p>
          <w:p w14:paraId="329F0FB4" w14:textId="4F182689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.3 Rodovias Federais</w:t>
            </w:r>
          </w:p>
          <w:p w14:paraId="00E8627D" w14:textId="1B2A48DB" w:rsidR="005B125F" w:rsidRPr="005D2BA8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Velocidade entre 80 e 110 km/h. Fiscalização da PRF e DNIT. Fluxo intenso de veículos pesados. Exigem sinalização mais extensa — pré-aviso a partir de 1.000 metros da frente de obra. As obras da JS em contratos GOINFRA frequentemente ocorrem próximas a rodovias federais ou em seus acessos.</w:t>
            </w:r>
          </w:p>
        </w:tc>
      </w:tr>
      <w:tr w:rsidR="005B125F" w:rsidRPr="00B94227" w14:paraId="36DAF7CC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0A038888" w:rsidR="005B125F" w:rsidRPr="009B607D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Sinalização </w:t>
            </w:r>
          </w:p>
        </w:tc>
      </w:tr>
      <w:tr w:rsidR="005B125F" w:rsidRPr="009148B7" w14:paraId="0C896DB2" w14:textId="77777777" w:rsidTr="005B125F">
        <w:trPr>
          <w:trHeight w:val="879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210850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A sinalização é a principal medida de proteção coletiva (EPC) para o trabalho em vias. Sem sinalização correta, nenhum EPI protege o trabalhador de um veículo em alta velocidade.</w:t>
            </w:r>
          </w:p>
          <w:p w14:paraId="4B48C9EA" w14:textId="5BCCC015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6.1 Sequência obrigatória de sinalização (sentido do tráfego)</w:t>
            </w:r>
          </w:p>
          <w:p w14:paraId="42770294" w14:textId="0CA04488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 xml:space="preserve">DistânciaDispositivoFinalidade1.000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mPlaca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A 2km / A 1kmPré-aviso de obras500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mPlaca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A 500mPré-aviso300 m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10C1F">
              <w:rPr>
                <w:rFonts w:ascii="Arial" w:hAnsi="Arial" w:cs="Arial"/>
                <w:sz w:val="16"/>
                <w:szCs w:val="16"/>
              </w:rPr>
              <w:t>Placa A 300mPré-aviso100–50 m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10C1F">
              <w:rPr>
                <w:rFonts w:ascii="Arial" w:hAnsi="Arial" w:cs="Arial"/>
                <w:sz w:val="16"/>
                <w:szCs w:val="16"/>
              </w:rPr>
              <w:t xml:space="preserve">Cone + placa de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estreitamentoRedução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faixaFrente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710C1F">
              <w:rPr>
                <w:rFonts w:ascii="Arial" w:hAnsi="Arial" w:cs="Arial"/>
                <w:sz w:val="16"/>
                <w:szCs w:val="16"/>
              </w:rPr>
              <w:t>obraCones</w:t>
            </w:r>
            <w:proofErr w:type="spellEnd"/>
            <w:r w:rsidRPr="00710C1F">
              <w:rPr>
                <w:rFonts w:ascii="Arial" w:hAnsi="Arial" w:cs="Arial"/>
                <w:sz w:val="16"/>
                <w:szCs w:val="16"/>
              </w:rPr>
              <w:t xml:space="preserve"> contínuos + sinaleiro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10C1F">
              <w:rPr>
                <w:rFonts w:ascii="Arial" w:hAnsi="Arial" w:cs="Arial"/>
                <w:sz w:val="16"/>
                <w:szCs w:val="16"/>
              </w:rPr>
              <w:t>Delimitação da área</w:t>
            </w:r>
          </w:p>
          <w:p w14:paraId="6AAAC92C" w14:textId="4FE61243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10C1F">
              <w:rPr>
                <w:rFonts w:ascii="Arial" w:hAnsi="Arial" w:cs="Arial"/>
                <w:b/>
                <w:bCs/>
                <w:sz w:val="16"/>
                <w:szCs w:val="16"/>
              </w:rPr>
              <w:t>6.2 Cones e Delineadores</w:t>
            </w:r>
          </w:p>
          <w:p w14:paraId="34F47BEB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Devem ser posicionados em linha contínua, espaçamento máximo de 8 metros em rodovias. Cones devem ter altura mínima de 0,75m com faixa refletiva. Nunca remover cones sem autorização do encarregado.</w:t>
            </w:r>
          </w:p>
          <w:p w14:paraId="2242C588" w14:textId="5D8C67FC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710C1F">
              <w:rPr>
                <w:rFonts w:ascii="Arial" w:hAnsi="Arial" w:cs="Arial"/>
                <w:sz w:val="16"/>
                <w:szCs w:val="16"/>
              </w:rPr>
              <w:t>.3 Sinaleiro / Controlador de Tráfego</w:t>
            </w:r>
          </w:p>
          <w:p w14:paraId="76A0C01B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Obrigatório quando há redução a uma única faixa de rolamento (mão dupla alternada). O sinaleiro deve:</w:t>
            </w:r>
          </w:p>
          <w:p w14:paraId="0FF6B383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6516B0E" w14:textId="77777777" w:rsidR="005B125F" w:rsidRPr="00710C1F" w:rsidRDefault="005B125F" w:rsidP="005B125F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Estar sempre posicionado fora da faixa de tráfego</w:t>
            </w:r>
          </w:p>
          <w:p w14:paraId="7C84AFFB" w14:textId="77777777" w:rsidR="005B125F" w:rsidRPr="00710C1F" w:rsidRDefault="005B125F" w:rsidP="005B125F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Usar colete refletivo classe 2 e capacete</w:t>
            </w:r>
          </w:p>
          <w:p w14:paraId="09601D5C" w14:textId="77777777" w:rsidR="005B125F" w:rsidRPr="00710C1F" w:rsidRDefault="005B125F" w:rsidP="005B125F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Nunca virar as costas para o veículo que se aproxima</w:t>
            </w:r>
          </w:p>
          <w:p w14:paraId="4752F88F" w14:textId="77777777" w:rsidR="005B125F" w:rsidRPr="00710C1F" w:rsidRDefault="005B125F" w:rsidP="005B125F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Usar bandeirola laranja (dia) e bastão luminoso (noite)</w:t>
            </w:r>
          </w:p>
          <w:p w14:paraId="5516713F" w14:textId="77777777" w:rsidR="005B125F" w:rsidRPr="00710C1F" w:rsidRDefault="005B125F" w:rsidP="005B125F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Manter comunicação visual ou por rádio com o sinaleiro do outro extremo</w:t>
            </w:r>
          </w:p>
          <w:p w14:paraId="59035BEC" w14:textId="77777777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0EA44FF" w14:textId="56E6BB44" w:rsidR="005B125F" w:rsidRPr="00710C1F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6</w:t>
            </w:r>
            <w:r w:rsidRPr="00710C1F">
              <w:rPr>
                <w:rFonts w:ascii="Arial" w:hAnsi="Arial" w:cs="Arial"/>
                <w:sz w:val="16"/>
                <w:szCs w:val="16"/>
              </w:rPr>
              <w:t>.4 Sinalização Noturna</w:t>
            </w:r>
          </w:p>
          <w:p w14:paraId="38BB827B" w14:textId="6665E9CA" w:rsidR="005B125F" w:rsidRPr="00684584" w:rsidRDefault="005B125F" w:rsidP="005B125F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10C1F">
              <w:rPr>
                <w:rFonts w:ascii="Arial" w:hAnsi="Arial" w:cs="Arial"/>
                <w:sz w:val="16"/>
                <w:szCs w:val="16"/>
              </w:rPr>
              <w:t>Além de todos os dispositivos diurnos, são obrigatórios: cones com luz piscante, balizadores luminosos, iluminação da frente de serviço e EPIs com fita refletiva em toda a extensão do corpo.</w:t>
            </w:r>
          </w:p>
        </w:tc>
      </w:tr>
      <w:tr w:rsidR="005B125F" w:rsidRPr="00C04F97" w14:paraId="3B3AB489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720C6292" w:rsidR="005B125F" w:rsidRPr="00C04F97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4F9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EPIs &amp; </w:t>
            </w:r>
            <w:proofErr w:type="spellStart"/>
            <w:r w:rsidRPr="00C04F97">
              <w:rPr>
                <w:rFonts w:ascii="Arial" w:hAnsi="Arial" w:cs="Arial"/>
                <w:b/>
                <w:bCs/>
                <w:sz w:val="20"/>
                <w:szCs w:val="20"/>
              </w:rPr>
              <w:t>EPCs</w:t>
            </w:r>
            <w:proofErr w:type="spellEnd"/>
            <w:r w:rsidRPr="00C04F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B125F" w:rsidRPr="00C04F97" w14:paraId="1FEFBAC4" w14:textId="77777777" w:rsidTr="005B125F">
        <w:trPr>
          <w:trHeight w:val="16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1FBCC5A" w14:textId="6081AB72" w:rsidR="005B125F" w:rsidRPr="00C04F97" w:rsidRDefault="005B125F" w:rsidP="005B125F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04F97">
              <w:rPr>
                <w:rFonts w:ascii="Arial" w:hAnsi="Arial" w:cs="Arial"/>
                <w:b/>
                <w:bCs/>
                <w:sz w:val="18"/>
                <w:szCs w:val="18"/>
              </w:rPr>
              <w:t>EPI</w:t>
            </w:r>
          </w:p>
        </w:tc>
        <w:tc>
          <w:tcPr>
            <w:tcW w:w="350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3DB8C88" w14:textId="699B19F1" w:rsidR="005B125F" w:rsidRPr="00C04F97" w:rsidRDefault="005B125F" w:rsidP="005B125F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04F97">
              <w:rPr>
                <w:rFonts w:ascii="Arial" w:hAnsi="Arial" w:cs="Arial"/>
                <w:b/>
                <w:bCs/>
                <w:sz w:val="18"/>
                <w:szCs w:val="18"/>
              </w:rPr>
              <w:t>Especificação</w:t>
            </w:r>
          </w:p>
        </w:tc>
        <w:tc>
          <w:tcPr>
            <w:tcW w:w="35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EE41B14" w14:textId="26E483B9" w:rsidR="005B125F" w:rsidRPr="00C04F97" w:rsidRDefault="005B125F" w:rsidP="005B125F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04F97">
              <w:rPr>
                <w:rFonts w:ascii="Arial" w:hAnsi="Arial" w:cs="Arial"/>
                <w:b/>
                <w:bCs/>
                <w:sz w:val="18"/>
                <w:szCs w:val="18"/>
              </w:rPr>
              <w:t>Finalidade</w:t>
            </w:r>
          </w:p>
        </w:tc>
      </w:tr>
      <w:tr w:rsidR="005B125F" w:rsidRPr="00C04F97" w14:paraId="439E639A" w14:textId="77777777" w:rsidTr="005B125F">
        <w:trPr>
          <w:trHeight w:val="16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8A3A2E4" w14:textId="7E0B49F6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Colete refletivo</w:t>
            </w:r>
          </w:p>
        </w:tc>
        <w:tc>
          <w:tcPr>
            <w:tcW w:w="350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8ACDE85" w14:textId="1D277E45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Classe 2 — faixas refletivas laranja/amarelo</w:t>
            </w:r>
          </w:p>
        </w:tc>
        <w:tc>
          <w:tcPr>
            <w:tcW w:w="35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60B8948" w14:textId="0E965FB8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Visibilidade para motoristas</w:t>
            </w:r>
          </w:p>
        </w:tc>
      </w:tr>
      <w:tr w:rsidR="005B125F" w:rsidRPr="00C04F97" w14:paraId="740CD247" w14:textId="77777777" w:rsidTr="005B125F">
        <w:trPr>
          <w:trHeight w:val="16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A52556D" w14:textId="5BC917D4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Botina de segurança</w:t>
            </w:r>
          </w:p>
        </w:tc>
        <w:tc>
          <w:tcPr>
            <w:tcW w:w="350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3A3F563" w14:textId="6C270511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Com biqueira de solado antiderrapante</w:t>
            </w:r>
          </w:p>
        </w:tc>
        <w:tc>
          <w:tcPr>
            <w:tcW w:w="35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409B90C" w14:textId="411101C8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Proteção dos pés</w:t>
            </w:r>
          </w:p>
        </w:tc>
      </w:tr>
      <w:tr w:rsidR="005B125F" w:rsidRPr="00C04F97" w14:paraId="03B8BDED" w14:textId="77777777" w:rsidTr="005B125F">
        <w:trPr>
          <w:trHeight w:val="16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2B41D07" w14:textId="3D4E3AB3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Óculos de proteção</w:t>
            </w:r>
          </w:p>
        </w:tc>
        <w:tc>
          <w:tcPr>
            <w:tcW w:w="350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2CA4B0A" w14:textId="162A233D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Incolor ou com proteção UV</w:t>
            </w:r>
          </w:p>
        </w:tc>
        <w:tc>
          <w:tcPr>
            <w:tcW w:w="35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5ADB2FF" w14:textId="7FA3F8DE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Partículas e radiação solar</w:t>
            </w:r>
          </w:p>
        </w:tc>
      </w:tr>
      <w:tr w:rsidR="005B125F" w:rsidRPr="00C04F97" w14:paraId="5D032081" w14:textId="77777777" w:rsidTr="005B125F">
        <w:trPr>
          <w:trHeight w:val="16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5751BD" w14:textId="7D037A0A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Protetor auricular</w:t>
            </w:r>
          </w:p>
        </w:tc>
        <w:tc>
          <w:tcPr>
            <w:tcW w:w="3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E766B2" w14:textId="65ED3882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Tipo plug ou concha</w:t>
            </w:r>
          </w:p>
        </w:tc>
        <w:tc>
          <w:tcPr>
            <w:tcW w:w="3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5BACDB" w14:textId="0CA53641" w:rsidR="005B125F" w:rsidRPr="00C04F9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F97">
              <w:rPr>
                <w:rFonts w:ascii="Arial" w:hAnsi="Arial" w:cs="Arial"/>
                <w:sz w:val="16"/>
                <w:szCs w:val="16"/>
              </w:rPr>
              <w:t>Ruído de equipamentos e tráfego</w:t>
            </w:r>
          </w:p>
        </w:tc>
      </w:tr>
      <w:tr w:rsidR="005B125F" w:rsidRPr="00B94227" w14:paraId="3D72450F" w14:textId="77777777" w:rsidTr="005B125F">
        <w:trPr>
          <w:trHeight w:val="188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C8B91C" w14:textId="41D00A35" w:rsidR="005B125F" w:rsidRPr="00C04F97" w:rsidRDefault="005B125F" w:rsidP="005B125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4F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Assinaturas  </w:t>
            </w:r>
          </w:p>
        </w:tc>
      </w:tr>
      <w:tr w:rsidR="005B125F" w:rsidRPr="00B94227" w14:paraId="77779A16" w14:textId="77777777" w:rsidTr="005B125F">
        <w:trPr>
          <w:trHeight w:val="324"/>
        </w:trPr>
        <w:tc>
          <w:tcPr>
            <w:tcW w:w="1052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7D233" w14:textId="77777777" w:rsidR="005B125F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  <w:p w14:paraId="065B4BCD" w14:textId="42752B65" w:rsidR="005B125F" w:rsidRPr="00B94227" w:rsidRDefault="005B125F" w:rsidP="005B125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435A19" w:rsidRPr="00D31E88" w14:paraId="757416E3" w14:textId="77777777" w:rsidTr="005B125F">
        <w:trPr>
          <w:trHeight w:val="324"/>
        </w:trPr>
        <w:tc>
          <w:tcPr>
            <w:tcW w:w="5332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1CC997E1" w:rsidR="00435A19" w:rsidRPr="00D31E88" w:rsidRDefault="00435A19" w:rsidP="00435A19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8C4248F" w:rsidR="00435A19" w:rsidRPr="00D31E88" w:rsidRDefault="00435A19" w:rsidP="00435A19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435A19" w:rsidRPr="00D31E88" w14:paraId="5EE2354E" w14:textId="77777777" w:rsidTr="005B125F">
        <w:trPr>
          <w:trHeight w:val="87"/>
        </w:trPr>
        <w:tc>
          <w:tcPr>
            <w:tcW w:w="533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10575A17" w:rsidR="00435A19" w:rsidRPr="00D31E88" w:rsidRDefault="00435A19" w:rsidP="00435A1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9635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4D9877AA" w:rsidR="00435A19" w:rsidRPr="00D31E88" w:rsidRDefault="00435A19" w:rsidP="00435A19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AE288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{{RESP_SST}}</w:t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676B" w14:textId="77777777" w:rsidR="00265344" w:rsidRDefault="00265344" w:rsidP="004333D8">
      <w:pPr>
        <w:spacing w:after="0" w:line="240" w:lineRule="auto"/>
      </w:pPr>
      <w:r>
        <w:separator/>
      </w:r>
    </w:p>
  </w:endnote>
  <w:endnote w:type="continuationSeparator" w:id="0">
    <w:p w14:paraId="039DC622" w14:textId="77777777" w:rsidR="00265344" w:rsidRDefault="00265344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1464" w14:textId="77777777" w:rsidR="00265344" w:rsidRDefault="00265344" w:rsidP="004333D8">
      <w:pPr>
        <w:spacing w:after="0" w:line="240" w:lineRule="auto"/>
      </w:pPr>
      <w:r>
        <w:separator/>
      </w:r>
    </w:p>
  </w:footnote>
  <w:footnote w:type="continuationSeparator" w:id="0">
    <w:p w14:paraId="2F36E915" w14:textId="77777777" w:rsidR="00265344" w:rsidRDefault="00265344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DD0416">
      <w:trPr>
        <w:trHeight w:val="950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06102DA6" w:rsidR="005C53EB" w:rsidRPr="003453F1" w:rsidRDefault="00C04F97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 w:rsidRPr="00C04F9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TREINAMENTO DE TRABALHO EM VIAS URBANAS, ESTADUAIS E FEDERAIS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A044743"/>
    <w:multiLevelType w:val="hybridMultilevel"/>
    <w:tmpl w:val="24DED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26163"/>
    <w:multiLevelType w:val="hybridMultilevel"/>
    <w:tmpl w:val="A4E6B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21547"/>
    <w:multiLevelType w:val="hybridMultilevel"/>
    <w:tmpl w:val="D8B4F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00389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739328E"/>
    <w:multiLevelType w:val="hybridMultilevel"/>
    <w:tmpl w:val="3AA08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381E2604"/>
    <w:multiLevelType w:val="hybridMultilevel"/>
    <w:tmpl w:val="3B6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C0288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001445"/>
    <w:multiLevelType w:val="hybridMultilevel"/>
    <w:tmpl w:val="94E6A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A3951"/>
    <w:multiLevelType w:val="hybridMultilevel"/>
    <w:tmpl w:val="0CB0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1955">
    <w:abstractNumId w:val="2"/>
  </w:num>
  <w:num w:numId="2" w16cid:durableId="1209755170">
    <w:abstractNumId w:val="23"/>
  </w:num>
  <w:num w:numId="3" w16cid:durableId="418521689">
    <w:abstractNumId w:val="1"/>
  </w:num>
  <w:num w:numId="4" w16cid:durableId="1087189751">
    <w:abstractNumId w:val="9"/>
  </w:num>
  <w:num w:numId="5" w16cid:durableId="681399977">
    <w:abstractNumId w:val="20"/>
  </w:num>
  <w:num w:numId="6" w16cid:durableId="904146709">
    <w:abstractNumId w:val="24"/>
  </w:num>
  <w:num w:numId="7" w16cid:durableId="918519387">
    <w:abstractNumId w:val="14"/>
  </w:num>
  <w:num w:numId="8" w16cid:durableId="775296672">
    <w:abstractNumId w:val="8"/>
  </w:num>
  <w:num w:numId="9" w16cid:durableId="544606402">
    <w:abstractNumId w:val="3"/>
  </w:num>
  <w:num w:numId="10" w16cid:durableId="1877699676">
    <w:abstractNumId w:val="17"/>
  </w:num>
  <w:num w:numId="11" w16cid:durableId="1525896588">
    <w:abstractNumId w:val="18"/>
  </w:num>
  <w:num w:numId="12" w16cid:durableId="949699961">
    <w:abstractNumId w:val="12"/>
  </w:num>
  <w:num w:numId="13" w16cid:durableId="407850378">
    <w:abstractNumId w:val="0"/>
  </w:num>
  <w:num w:numId="14" w16cid:durableId="562840394">
    <w:abstractNumId w:val="7"/>
  </w:num>
  <w:num w:numId="15" w16cid:durableId="1376344779">
    <w:abstractNumId w:val="21"/>
  </w:num>
  <w:num w:numId="16" w16cid:durableId="2005425219">
    <w:abstractNumId w:val="16"/>
  </w:num>
  <w:num w:numId="17" w16cid:durableId="1324359654">
    <w:abstractNumId w:val="22"/>
  </w:num>
  <w:num w:numId="18" w16cid:durableId="225722778">
    <w:abstractNumId w:val="25"/>
  </w:num>
  <w:num w:numId="19" w16cid:durableId="198706513">
    <w:abstractNumId w:val="11"/>
  </w:num>
  <w:num w:numId="20" w16cid:durableId="397559616">
    <w:abstractNumId w:val="13"/>
  </w:num>
  <w:num w:numId="21" w16cid:durableId="1173371347">
    <w:abstractNumId w:val="6"/>
  </w:num>
  <w:num w:numId="22" w16cid:durableId="268121692">
    <w:abstractNumId w:val="5"/>
  </w:num>
  <w:num w:numId="23" w16cid:durableId="1192259121">
    <w:abstractNumId w:val="4"/>
  </w:num>
  <w:num w:numId="24" w16cid:durableId="1270308858">
    <w:abstractNumId w:val="15"/>
  </w:num>
  <w:num w:numId="25" w16cid:durableId="1818179583">
    <w:abstractNumId w:val="19"/>
  </w:num>
  <w:num w:numId="26" w16cid:durableId="1525242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3C05"/>
    <w:rsid w:val="0025738E"/>
    <w:rsid w:val="002601CD"/>
    <w:rsid w:val="00265344"/>
    <w:rsid w:val="00272594"/>
    <w:rsid w:val="00280945"/>
    <w:rsid w:val="002A07D3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53217"/>
    <w:rsid w:val="003818D7"/>
    <w:rsid w:val="003847D7"/>
    <w:rsid w:val="003A12CB"/>
    <w:rsid w:val="003C3C27"/>
    <w:rsid w:val="003D446B"/>
    <w:rsid w:val="003D64D2"/>
    <w:rsid w:val="00401A8F"/>
    <w:rsid w:val="00405B2C"/>
    <w:rsid w:val="004333D8"/>
    <w:rsid w:val="00435A19"/>
    <w:rsid w:val="00473D7A"/>
    <w:rsid w:val="00490A00"/>
    <w:rsid w:val="004B4877"/>
    <w:rsid w:val="004C3EFB"/>
    <w:rsid w:val="004F26C1"/>
    <w:rsid w:val="004F712A"/>
    <w:rsid w:val="005259C3"/>
    <w:rsid w:val="00531D1D"/>
    <w:rsid w:val="00533806"/>
    <w:rsid w:val="005B125F"/>
    <w:rsid w:val="005C53EB"/>
    <w:rsid w:val="005D2BA8"/>
    <w:rsid w:val="005E26C9"/>
    <w:rsid w:val="00622D94"/>
    <w:rsid w:val="00654AD7"/>
    <w:rsid w:val="00684584"/>
    <w:rsid w:val="00687947"/>
    <w:rsid w:val="0069474D"/>
    <w:rsid w:val="006C6DC7"/>
    <w:rsid w:val="006D2D2C"/>
    <w:rsid w:val="006F2180"/>
    <w:rsid w:val="00710C1F"/>
    <w:rsid w:val="00723F51"/>
    <w:rsid w:val="007441BD"/>
    <w:rsid w:val="00745035"/>
    <w:rsid w:val="0075312A"/>
    <w:rsid w:val="00754AA4"/>
    <w:rsid w:val="007849F4"/>
    <w:rsid w:val="007A1D5D"/>
    <w:rsid w:val="007D2EDF"/>
    <w:rsid w:val="007E1D44"/>
    <w:rsid w:val="0081274A"/>
    <w:rsid w:val="008216E2"/>
    <w:rsid w:val="00831523"/>
    <w:rsid w:val="00831912"/>
    <w:rsid w:val="0086100D"/>
    <w:rsid w:val="00862242"/>
    <w:rsid w:val="00876726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B32C2"/>
    <w:rsid w:val="00AB5A3A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04F97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4EAA"/>
    <w:rsid w:val="00DA7084"/>
    <w:rsid w:val="00DC14B7"/>
    <w:rsid w:val="00DD0416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92784"/>
    <w:rsid w:val="00F93801"/>
    <w:rsid w:val="00F96C67"/>
    <w:rsid w:val="00F979A0"/>
    <w:rsid w:val="00F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F97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2</Pages>
  <Words>787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5</cp:revision>
  <cp:lastPrinted>2026-05-19T17:06:00Z</cp:lastPrinted>
  <dcterms:created xsi:type="dcterms:W3CDTF">2026-05-19T13:02:00Z</dcterms:created>
  <dcterms:modified xsi:type="dcterms:W3CDTF">2026-06-22T18:02:00Z</dcterms:modified>
</cp:coreProperties>
</file>