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94181" w14:textId="77777777" w:rsidR="00DE16B0" w:rsidRDefault="00DE16B0" w:rsidP="00DE16B0">
      <w:pPr>
        <w:rPr>
          <w:rFonts w:cs="Segoe UI"/>
          <w:b/>
          <w:bCs/>
          <w:szCs w:val="24"/>
        </w:rPr>
      </w:pPr>
      <w:bookmarkStart w:id="0" w:name="_Toc81967944"/>
    </w:p>
    <w:p w14:paraId="258299BA" w14:textId="77777777" w:rsidR="00DE16B0" w:rsidRDefault="00DE16B0" w:rsidP="00DE16B0">
      <w:pPr>
        <w:rPr>
          <w:rFonts w:cs="Segoe UI"/>
          <w:b/>
          <w:bCs/>
          <w:szCs w:val="24"/>
        </w:rPr>
      </w:pPr>
    </w:p>
    <w:p w14:paraId="1E504053" w14:textId="77777777" w:rsidR="008F7DC4" w:rsidRDefault="00DE16B0" w:rsidP="008F7DC4">
      <w:pPr>
        <w:rPr>
          <w:rFonts w:cs="Segoe UI"/>
          <w:b/>
          <w:bCs/>
          <w:szCs w:val="24"/>
        </w:rPr>
      </w:pPr>
      <w:r w:rsidRPr="00B22145">
        <w:rPr>
          <w:noProof/>
        </w:rPr>
        <w:drawing>
          <wp:anchor distT="0" distB="0" distL="114300" distR="114300" simplePos="0" relativeHeight="251661312" behindDoc="0" locked="0" layoutInCell="1" allowOverlap="1" wp14:anchorId="607C1FA1" wp14:editId="14D643C6">
            <wp:simplePos x="0" y="0"/>
            <wp:positionH relativeFrom="column">
              <wp:posOffset>800100</wp:posOffset>
            </wp:positionH>
            <wp:positionV relativeFrom="paragraph">
              <wp:posOffset>495300</wp:posOffset>
            </wp:positionV>
            <wp:extent cx="5065395" cy="1080770"/>
            <wp:effectExtent l="0" t="0" r="1905" b="5080"/>
            <wp:wrapTopAndBottom/>
            <wp:docPr id="2" name="Picture 2"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FT_logo_rgb_C-Gray_Tri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65395" cy="1080770"/>
                    </a:xfrm>
                    <a:prstGeom prst="rect">
                      <a:avLst/>
                    </a:prstGeom>
                  </pic:spPr>
                </pic:pic>
              </a:graphicData>
            </a:graphic>
            <wp14:sizeRelH relativeFrom="margin">
              <wp14:pctWidth>0</wp14:pctWidth>
            </wp14:sizeRelH>
            <wp14:sizeRelV relativeFrom="margin">
              <wp14:pctHeight>0</wp14:pctHeight>
            </wp14:sizeRelV>
          </wp:anchor>
        </w:drawing>
      </w:r>
    </w:p>
    <w:p w14:paraId="07C07C22" w14:textId="77777777" w:rsidR="008F7DC4" w:rsidRDefault="008F7DC4" w:rsidP="008F7DC4">
      <w:pPr>
        <w:rPr>
          <w:rFonts w:ascii="Calibri Light" w:eastAsia="Calibri Light" w:hAnsi="Calibri Light" w:cs="Calibri Light"/>
          <w:sz w:val="48"/>
          <w:szCs w:val="44"/>
        </w:rPr>
      </w:pPr>
    </w:p>
    <w:p w14:paraId="7E66DEDE" w14:textId="77777777" w:rsidR="008F7DC4" w:rsidRDefault="008F7DC4" w:rsidP="008F7DC4">
      <w:pPr>
        <w:rPr>
          <w:rFonts w:ascii="Calibri Light" w:eastAsia="Calibri Light" w:hAnsi="Calibri Light" w:cs="Calibri Light"/>
          <w:sz w:val="48"/>
          <w:szCs w:val="44"/>
        </w:rPr>
      </w:pPr>
    </w:p>
    <w:p w14:paraId="4B80E588" w14:textId="77777777" w:rsidR="008F7DC4" w:rsidRDefault="008F7DC4" w:rsidP="008F7DC4">
      <w:pPr>
        <w:rPr>
          <w:rFonts w:ascii="Calibri Light" w:eastAsia="Calibri Light" w:hAnsi="Calibri Light" w:cs="Calibri Light"/>
          <w:sz w:val="48"/>
          <w:szCs w:val="44"/>
        </w:rPr>
      </w:pPr>
    </w:p>
    <w:p w14:paraId="2AF2680D" w14:textId="77777777" w:rsidR="008F7DC4" w:rsidRPr="00622DCD" w:rsidRDefault="008F7DC4" w:rsidP="008F7DC4">
      <w:pPr>
        <w:jc w:val="center"/>
        <w:rPr>
          <w:rFonts w:eastAsia="Calibri Light"/>
          <w:sz w:val="24"/>
        </w:rPr>
      </w:pPr>
      <w:r w:rsidRPr="00622DCD">
        <w:rPr>
          <w:rFonts w:ascii="Calibri Light" w:eastAsia="Calibri Light" w:hAnsi="Calibri Light" w:cs="Calibri Light"/>
          <w:sz w:val="48"/>
          <w:szCs w:val="44"/>
        </w:rPr>
        <w:t xml:space="preserve">Microsoft Azure Cloud Adoption Framework </w:t>
      </w:r>
      <w:r w:rsidRPr="008F7DC4">
        <w:rPr>
          <w:rFonts w:ascii="Calibri Light" w:eastAsia="Calibri Light" w:hAnsi="Calibri Light" w:cs="Calibri Light"/>
          <w:sz w:val="48"/>
          <w:szCs w:val="44"/>
        </w:rPr>
        <w:t>Server Migration Security Policy</w:t>
      </w:r>
    </w:p>
    <w:p w14:paraId="308E85CD" w14:textId="77777777" w:rsidR="008F7DC4" w:rsidRDefault="008F7DC4">
      <w:pPr>
        <w:spacing w:before="0" w:after="160" w:line="259" w:lineRule="auto"/>
        <w:rPr>
          <w:rFonts w:cs="Segoe UI"/>
          <w:b/>
          <w:bCs/>
          <w:szCs w:val="24"/>
        </w:rPr>
      </w:pPr>
    </w:p>
    <w:p w14:paraId="66AFE376" w14:textId="77777777" w:rsidR="00DE16B0" w:rsidRDefault="00DE16B0" w:rsidP="00DE16B0">
      <w:pPr>
        <w:rPr>
          <w:rFonts w:cs="Segoe UI"/>
          <w:b/>
          <w:bCs/>
          <w:szCs w:val="24"/>
        </w:rPr>
      </w:pPr>
    </w:p>
    <w:p w14:paraId="04B6057B" w14:textId="77777777" w:rsidR="00DE16B0" w:rsidRDefault="00DE16B0" w:rsidP="00DE16B0">
      <w:pPr>
        <w:rPr>
          <w:rFonts w:cs="Segoe UI"/>
          <w:b/>
          <w:bCs/>
          <w:szCs w:val="24"/>
        </w:rPr>
      </w:pPr>
    </w:p>
    <w:p w14:paraId="55FCEA77" w14:textId="77777777" w:rsidR="008F7DC4" w:rsidRDefault="008F7DC4" w:rsidP="00DE16B0">
      <w:pPr>
        <w:rPr>
          <w:rFonts w:cs="Segoe UI"/>
          <w:b/>
          <w:bCs/>
          <w:szCs w:val="24"/>
        </w:rPr>
      </w:pPr>
    </w:p>
    <w:p w14:paraId="62BBCC91" w14:textId="77777777" w:rsidR="008F7DC4" w:rsidRDefault="008F7DC4" w:rsidP="00DE16B0">
      <w:pPr>
        <w:rPr>
          <w:rFonts w:cs="Segoe UI"/>
          <w:b/>
          <w:bCs/>
          <w:szCs w:val="24"/>
        </w:rPr>
      </w:pPr>
    </w:p>
    <w:p w14:paraId="59A3C1BF" w14:textId="77777777" w:rsidR="008F7DC4" w:rsidRDefault="008F7DC4" w:rsidP="00DE16B0">
      <w:pPr>
        <w:rPr>
          <w:rFonts w:cs="Segoe UI"/>
          <w:b/>
          <w:bCs/>
          <w:szCs w:val="24"/>
        </w:rPr>
      </w:pPr>
    </w:p>
    <w:p w14:paraId="7A4CABE0" w14:textId="77777777" w:rsidR="008F7DC4" w:rsidRDefault="008F7DC4" w:rsidP="00DE16B0">
      <w:pPr>
        <w:rPr>
          <w:rFonts w:cs="Segoe UI"/>
          <w:b/>
          <w:bCs/>
          <w:szCs w:val="24"/>
        </w:rPr>
      </w:pPr>
    </w:p>
    <w:p w14:paraId="6A6ABB5D" w14:textId="77777777" w:rsidR="008F7DC4" w:rsidRDefault="008F7DC4" w:rsidP="00DE16B0">
      <w:pPr>
        <w:rPr>
          <w:rFonts w:cs="Segoe UI"/>
          <w:b/>
          <w:bCs/>
          <w:szCs w:val="24"/>
        </w:rPr>
      </w:pPr>
    </w:p>
    <w:p w14:paraId="1BA2DCE4" w14:textId="77777777" w:rsidR="008F7DC4" w:rsidRDefault="008F7DC4" w:rsidP="00DE16B0">
      <w:pPr>
        <w:rPr>
          <w:rFonts w:cs="Segoe UI"/>
          <w:b/>
          <w:bCs/>
          <w:szCs w:val="24"/>
        </w:rPr>
      </w:pPr>
    </w:p>
    <w:p w14:paraId="5200E534" w14:textId="77777777" w:rsidR="008F7DC4" w:rsidRDefault="008F7DC4" w:rsidP="00DE16B0">
      <w:pPr>
        <w:rPr>
          <w:rFonts w:cs="Segoe UI"/>
          <w:b/>
          <w:bCs/>
          <w:szCs w:val="24"/>
        </w:rPr>
      </w:pPr>
    </w:p>
    <w:p w14:paraId="0765D595" w14:textId="77777777" w:rsidR="008F7DC4" w:rsidRDefault="008F7DC4" w:rsidP="00DE16B0">
      <w:pPr>
        <w:rPr>
          <w:rFonts w:cs="Segoe UI"/>
          <w:b/>
          <w:bCs/>
          <w:szCs w:val="24"/>
        </w:rPr>
      </w:pPr>
    </w:p>
    <w:p w14:paraId="68BF78DD" w14:textId="77777777" w:rsidR="008F7DC4" w:rsidRDefault="008F7DC4" w:rsidP="00DE16B0">
      <w:pPr>
        <w:rPr>
          <w:rFonts w:cs="Segoe UI"/>
          <w:b/>
          <w:bCs/>
          <w:szCs w:val="24"/>
        </w:rPr>
      </w:pPr>
    </w:p>
    <w:p w14:paraId="148C97EB" w14:textId="77777777" w:rsidR="008F7DC4" w:rsidRDefault="008F7DC4" w:rsidP="00DE16B0">
      <w:pPr>
        <w:rPr>
          <w:rFonts w:cs="Segoe UI"/>
          <w:b/>
          <w:bCs/>
          <w:szCs w:val="24"/>
        </w:rPr>
      </w:pPr>
    </w:p>
    <w:p w14:paraId="70ACDFD8" w14:textId="77777777" w:rsidR="008F7DC4" w:rsidRDefault="008F7DC4" w:rsidP="00DE16B0">
      <w:pPr>
        <w:rPr>
          <w:rFonts w:cs="Segoe UI"/>
          <w:b/>
          <w:bCs/>
          <w:szCs w:val="24"/>
        </w:rPr>
      </w:pPr>
    </w:p>
    <w:p w14:paraId="33145AA1" w14:textId="77777777" w:rsidR="008F7DC4" w:rsidRDefault="008F7DC4" w:rsidP="00DE16B0">
      <w:pPr>
        <w:rPr>
          <w:rFonts w:cs="Segoe UI"/>
          <w:b/>
          <w:bCs/>
          <w:szCs w:val="24"/>
        </w:rPr>
      </w:pPr>
    </w:p>
    <w:p w14:paraId="2EE5A164" w14:textId="77777777" w:rsidR="008F7DC4" w:rsidRDefault="008F7DC4" w:rsidP="00DE16B0">
      <w:pPr>
        <w:rPr>
          <w:rFonts w:cs="Segoe UI"/>
          <w:b/>
          <w:bCs/>
          <w:szCs w:val="24"/>
        </w:rPr>
      </w:pPr>
    </w:p>
    <w:p w14:paraId="3A6D3712" w14:textId="77777777" w:rsidR="008F7DC4" w:rsidRDefault="008F7DC4" w:rsidP="00DE16B0">
      <w:pPr>
        <w:rPr>
          <w:rFonts w:cs="Segoe UI"/>
          <w:b/>
          <w:bCs/>
          <w:szCs w:val="24"/>
        </w:rPr>
      </w:pPr>
    </w:p>
    <w:p w14:paraId="0AE67ACB" w14:textId="77777777" w:rsidR="008F7DC4" w:rsidRDefault="008F7DC4" w:rsidP="00DE16B0">
      <w:pPr>
        <w:rPr>
          <w:rFonts w:cs="Segoe UI"/>
          <w:b/>
          <w:bCs/>
          <w:szCs w:val="24"/>
        </w:rPr>
      </w:pPr>
    </w:p>
    <w:p w14:paraId="47017BA3" w14:textId="77777777" w:rsidR="008F7DC4" w:rsidRDefault="008F7DC4" w:rsidP="00DE16B0">
      <w:pPr>
        <w:rPr>
          <w:rFonts w:cs="Segoe UI"/>
          <w:b/>
          <w:bCs/>
          <w:szCs w:val="24"/>
        </w:rPr>
      </w:pPr>
    </w:p>
    <w:p w14:paraId="1EF0F768" w14:textId="77777777" w:rsidR="008F7DC4" w:rsidRDefault="008F7DC4" w:rsidP="00DE16B0">
      <w:pPr>
        <w:rPr>
          <w:rFonts w:cs="Segoe UI"/>
          <w:b/>
          <w:bCs/>
          <w:szCs w:val="24"/>
        </w:rPr>
      </w:pPr>
    </w:p>
    <w:p w14:paraId="1D50066F" w14:textId="77777777" w:rsidR="008F7DC4" w:rsidRDefault="008F7DC4" w:rsidP="00DE16B0">
      <w:pPr>
        <w:rPr>
          <w:rFonts w:cs="Segoe UI"/>
          <w:b/>
          <w:bCs/>
          <w:szCs w:val="24"/>
        </w:rPr>
      </w:pPr>
    </w:p>
    <w:p w14:paraId="221385E6" w14:textId="77777777" w:rsidR="00DE16B0" w:rsidRPr="00990EC2" w:rsidRDefault="00DE16B0" w:rsidP="00DE16B0">
      <w:pPr>
        <w:rPr>
          <w:rFonts w:cs="Segoe UI"/>
          <w:b/>
          <w:bCs/>
          <w:szCs w:val="24"/>
        </w:rPr>
      </w:pPr>
      <w:r w:rsidRPr="00990EC2">
        <w:rPr>
          <w:rFonts w:cs="Segoe UI"/>
          <w:b/>
          <w:bCs/>
          <w:szCs w:val="24"/>
        </w:rPr>
        <w:t xml:space="preserve">MICROSOFT MAKES NO WARRANTIES, EXPRESS OR IMPLIED, IN THIS DOCUMENT. </w:t>
      </w:r>
    </w:p>
    <w:p w14:paraId="62049D86" w14:textId="77777777" w:rsidR="00DE16B0" w:rsidRDefault="00DE16B0" w:rsidP="00DE16B0">
      <w:pPr>
        <w:spacing w:before="100" w:beforeAutospacing="1" w:after="100" w:afterAutospacing="1" w:line="360" w:lineRule="auto"/>
        <w:jc w:val="both"/>
        <w:rPr>
          <w:rFonts w:cs="Segoe UI"/>
          <w:szCs w:val="24"/>
        </w:rPr>
      </w:pPr>
      <w:r w:rsidRPr="00990EC2">
        <w:rPr>
          <w:rFonts w:cs="Segoe UI"/>
          <w:szCs w:val="24"/>
        </w:rPr>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 © 2016 Microsoft Corporation. All rights reserved. Any use or distribution of these materials without express authorization of Microsoft Corp. is strictly prohibited. Microsoft and Windows are either registered trademarks or trademarks of Microsoft Corporation in the United States and/or other countries. The names of actual companies and products mentioned herein may be the trademarks of their respective owners.</w:t>
      </w:r>
    </w:p>
    <w:p w14:paraId="661BF6C4" w14:textId="77777777" w:rsidR="00DE16B0" w:rsidRDefault="00DE16B0">
      <w:pPr>
        <w:spacing w:before="0" w:after="160" w:line="259" w:lineRule="auto"/>
        <w:rPr>
          <w:rFonts w:cstheme="minorHAnsi"/>
          <w:color w:val="00B0F0"/>
        </w:rPr>
      </w:pPr>
    </w:p>
    <w:p w14:paraId="59D6BC48" w14:textId="77777777" w:rsidR="00DE16B0" w:rsidRDefault="00DE16B0">
      <w:pPr>
        <w:spacing w:before="0" w:after="160" w:line="259" w:lineRule="auto"/>
        <w:rPr>
          <w:rFonts w:cstheme="minorHAnsi"/>
          <w:color w:val="00B0F0"/>
        </w:rPr>
      </w:pPr>
    </w:p>
    <w:p w14:paraId="1E01F265" w14:textId="77777777" w:rsidR="00DE16B0" w:rsidRDefault="00DE16B0">
      <w:pPr>
        <w:spacing w:before="0" w:after="160" w:line="259" w:lineRule="auto"/>
        <w:rPr>
          <w:rFonts w:cstheme="minorHAnsi"/>
          <w:color w:val="00B0F0"/>
        </w:rPr>
      </w:pPr>
    </w:p>
    <w:p w14:paraId="4BBCD72B" w14:textId="77777777" w:rsidR="00DE16B0" w:rsidRDefault="00DE16B0">
      <w:pPr>
        <w:spacing w:before="0" w:after="160" w:line="259" w:lineRule="auto"/>
        <w:rPr>
          <w:rFonts w:cstheme="minorHAnsi"/>
          <w:color w:val="00B0F0"/>
        </w:rPr>
      </w:pPr>
    </w:p>
    <w:p w14:paraId="26977B97" w14:textId="77777777" w:rsidR="00DE16B0" w:rsidRDefault="00DE16B0">
      <w:pPr>
        <w:spacing w:before="0" w:after="160" w:line="259" w:lineRule="auto"/>
        <w:rPr>
          <w:rFonts w:cstheme="minorHAnsi"/>
          <w:color w:val="00B0F0"/>
        </w:rPr>
      </w:pPr>
    </w:p>
    <w:p w14:paraId="1C6D2A12" w14:textId="77777777" w:rsidR="00DE16B0" w:rsidRDefault="00DE16B0">
      <w:pPr>
        <w:spacing w:before="0" w:after="160" w:line="259" w:lineRule="auto"/>
        <w:rPr>
          <w:rFonts w:cstheme="minorHAnsi"/>
          <w:color w:val="00B0F0"/>
        </w:rPr>
      </w:pPr>
    </w:p>
    <w:p w14:paraId="22F3C2B1" w14:textId="77777777" w:rsidR="00DE16B0" w:rsidRDefault="00DE16B0">
      <w:pPr>
        <w:spacing w:before="0" w:after="160" w:line="259" w:lineRule="auto"/>
        <w:rPr>
          <w:rFonts w:cstheme="minorHAnsi"/>
          <w:color w:val="00B0F0"/>
        </w:rPr>
      </w:pPr>
    </w:p>
    <w:p w14:paraId="7C80C515" w14:textId="77777777" w:rsidR="00DE16B0" w:rsidRDefault="00DE16B0">
      <w:pPr>
        <w:spacing w:before="0" w:after="160" w:line="259" w:lineRule="auto"/>
        <w:rPr>
          <w:rFonts w:cstheme="minorHAnsi"/>
          <w:color w:val="00B0F0"/>
        </w:rPr>
      </w:pPr>
    </w:p>
    <w:p w14:paraId="7315AD16" w14:textId="77777777" w:rsidR="00DE16B0" w:rsidRDefault="00DE16B0">
      <w:pPr>
        <w:spacing w:before="0" w:after="160" w:line="259" w:lineRule="auto"/>
        <w:rPr>
          <w:rFonts w:cstheme="minorHAnsi"/>
          <w:color w:val="00B0F0"/>
        </w:rPr>
      </w:pPr>
    </w:p>
    <w:p w14:paraId="219E2BF1" w14:textId="77777777" w:rsidR="00DE16B0" w:rsidRDefault="00DE16B0">
      <w:pPr>
        <w:spacing w:before="0" w:after="160" w:line="259" w:lineRule="auto"/>
        <w:rPr>
          <w:rFonts w:cstheme="minorHAnsi"/>
          <w:color w:val="00B0F0"/>
        </w:rPr>
      </w:pPr>
    </w:p>
    <w:p w14:paraId="4C087545" w14:textId="77777777" w:rsidR="00DE16B0" w:rsidRDefault="00DE16B0">
      <w:pPr>
        <w:spacing w:before="0" w:after="160" w:line="259" w:lineRule="auto"/>
        <w:rPr>
          <w:rFonts w:cstheme="minorHAnsi"/>
          <w:color w:val="00B0F0"/>
        </w:rPr>
      </w:pPr>
    </w:p>
    <w:p w14:paraId="7B87C529" w14:textId="77777777" w:rsidR="00DE16B0" w:rsidRDefault="00DE16B0">
      <w:pPr>
        <w:spacing w:before="0" w:after="160" w:line="259" w:lineRule="auto"/>
        <w:rPr>
          <w:rFonts w:cstheme="minorHAnsi"/>
          <w:color w:val="00B0F0"/>
        </w:rPr>
      </w:pPr>
    </w:p>
    <w:p w14:paraId="22A3A1B8" w14:textId="77777777" w:rsidR="00DE16B0" w:rsidRDefault="00DE16B0">
      <w:pPr>
        <w:spacing w:before="0" w:after="160" w:line="259" w:lineRule="auto"/>
        <w:rPr>
          <w:rFonts w:cstheme="minorHAnsi"/>
          <w:color w:val="00B0F0"/>
        </w:rPr>
      </w:pPr>
    </w:p>
    <w:p w14:paraId="7A7FD201" w14:textId="77777777" w:rsidR="00DE16B0" w:rsidRDefault="00DE16B0">
      <w:pPr>
        <w:spacing w:before="0" w:after="160" w:line="259" w:lineRule="auto"/>
        <w:rPr>
          <w:rFonts w:cstheme="minorHAnsi"/>
          <w:color w:val="00B0F0"/>
        </w:rPr>
      </w:pPr>
    </w:p>
    <w:p w14:paraId="14A8591E" w14:textId="77777777" w:rsidR="00DE16B0" w:rsidRDefault="00DE16B0">
      <w:pPr>
        <w:spacing w:before="0" w:after="160" w:line="259" w:lineRule="auto"/>
        <w:rPr>
          <w:rFonts w:asciiTheme="majorHAnsi" w:hAnsiTheme="majorHAnsi" w:cstheme="minorHAnsi"/>
          <w:b/>
          <w:bCs/>
          <w:color w:val="00B0F0"/>
          <w:kern w:val="32"/>
          <w:sz w:val="28"/>
          <w:szCs w:val="32"/>
        </w:rPr>
      </w:pPr>
    </w:p>
    <w:p w14:paraId="196F84FB" w14:textId="77777777" w:rsidR="00DE16B0" w:rsidRPr="00DE16B0" w:rsidRDefault="00DE16B0" w:rsidP="00DE16B0">
      <w:pPr>
        <w:tabs>
          <w:tab w:val="left" w:pos="360"/>
          <w:tab w:val="right" w:leader="dot" w:pos="10070"/>
        </w:tabs>
        <w:spacing w:after="120"/>
        <w:jc w:val="center"/>
        <w:rPr>
          <w:rFonts w:ascii="Calibri" w:hAnsi="Calibri" w:cs="Calibri"/>
          <w:b/>
          <w:bCs/>
          <w:caps/>
          <w:noProof/>
          <w:sz w:val="20"/>
          <w:szCs w:val="22"/>
          <w:u w:val="single"/>
        </w:rPr>
      </w:pPr>
      <w:bookmarkStart w:id="1" w:name="_Toc42624003"/>
      <w:r>
        <w:rPr>
          <w:rFonts w:ascii="Segoe UI" w:eastAsia="Calibri" w:hAnsi="Segoe UI"/>
          <w:b/>
          <w:bCs/>
          <w:caps/>
          <w:color w:val="4F81BD"/>
          <w:sz w:val="24"/>
          <w:szCs w:val="24"/>
        </w:rPr>
        <w:t xml:space="preserve">TABLE OF </w:t>
      </w:r>
      <w:r w:rsidRPr="00DE16B0">
        <w:rPr>
          <w:rFonts w:ascii="Segoe UI" w:eastAsia="Calibri" w:hAnsi="Segoe UI"/>
          <w:b/>
          <w:bCs/>
          <w:caps/>
          <w:color w:val="4F81BD"/>
          <w:sz w:val="24"/>
          <w:szCs w:val="24"/>
        </w:rPr>
        <w:t>Contents</w:t>
      </w:r>
    </w:p>
    <w:p w14:paraId="664D43AF" w14:textId="77777777" w:rsidR="00DE16B0" w:rsidRDefault="00DE16B0">
      <w:pPr>
        <w:pStyle w:val="TOC1"/>
        <w:tabs>
          <w:tab w:val="left" w:pos="440"/>
          <w:tab w:val="right" w:leader="dot" w:pos="9980"/>
        </w:tabs>
        <w:rPr>
          <w:rFonts w:eastAsiaTheme="minorEastAsia" w:cstheme="minorBidi"/>
          <w:b w:val="0"/>
          <w:noProof/>
          <w:sz w:val="22"/>
          <w:szCs w:val="22"/>
        </w:rPr>
      </w:pPr>
      <w:r>
        <w:rPr>
          <w:rFonts w:ascii="Calibri" w:hAnsi="Calibri" w:cs="Calibri"/>
          <w:bCs/>
          <w:caps/>
          <w:noProof/>
          <w:sz w:val="20"/>
          <w:szCs w:val="22"/>
          <w:u w:val="single"/>
        </w:rPr>
        <w:fldChar w:fldCharType="begin"/>
      </w:r>
      <w:r>
        <w:rPr>
          <w:rFonts w:ascii="Calibri" w:hAnsi="Calibri" w:cs="Calibri"/>
          <w:bCs/>
          <w:caps/>
          <w:noProof/>
          <w:sz w:val="20"/>
          <w:szCs w:val="22"/>
          <w:u w:val="single"/>
        </w:rPr>
        <w:instrText xml:space="preserve"> TOC \o "1-3" \h \z \u </w:instrText>
      </w:r>
      <w:r>
        <w:rPr>
          <w:rFonts w:ascii="Calibri" w:hAnsi="Calibri" w:cs="Calibri"/>
          <w:bCs/>
          <w:caps/>
          <w:noProof/>
          <w:sz w:val="20"/>
          <w:szCs w:val="22"/>
          <w:u w:val="single"/>
        </w:rPr>
        <w:fldChar w:fldCharType="separate"/>
      </w:r>
      <w:hyperlink w:anchor="_Toc42625059" w:history="1">
        <w:r w:rsidRPr="000753BE">
          <w:rPr>
            <w:rStyle w:val="Hyperlink"/>
            <w:rFonts w:cstheme="minorHAnsi"/>
            <w:noProof/>
          </w:rPr>
          <w:t>1</w:t>
        </w:r>
        <w:r>
          <w:rPr>
            <w:rFonts w:eastAsiaTheme="minorEastAsia" w:cstheme="minorBidi"/>
            <w:b w:val="0"/>
            <w:noProof/>
            <w:sz w:val="22"/>
            <w:szCs w:val="22"/>
          </w:rPr>
          <w:tab/>
        </w:r>
        <w:r w:rsidRPr="000753BE">
          <w:rPr>
            <w:rStyle w:val="Hyperlink"/>
            <w:rFonts w:cstheme="minorHAnsi"/>
            <w:noProof/>
          </w:rPr>
          <w:t>Introduction</w:t>
        </w:r>
        <w:r>
          <w:rPr>
            <w:noProof/>
            <w:webHidden/>
          </w:rPr>
          <w:tab/>
        </w:r>
        <w:r>
          <w:rPr>
            <w:noProof/>
            <w:webHidden/>
          </w:rPr>
          <w:fldChar w:fldCharType="begin"/>
        </w:r>
        <w:r>
          <w:rPr>
            <w:noProof/>
            <w:webHidden/>
          </w:rPr>
          <w:instrText xml:space="preserve"> PAGEREF _Toc42625059 \h </w:instrText>
        </w:r>
        <w:r>
          <w:rPr>
            <w:noProof/>
            <w:webHidden/>
          </w:rPr>
        </w:r>
        <w:r>
          <w:rPr>
            <w:noProof/>
            <w:webHidden/>
          </w:rPr>
          <w:fldChar w:fldCharType="separate"/>
        </w:r>
        <w:r>
          <w:rPr>
            <w:noProof/>
            <w:webHidden/>
          </w:rPr>
          <w:t>3</w:t>
        </w:r>
        <w:r>
          <w:rPr>
            <w:noProof/>
            <w:webHidden/>
          </w:rPr>
          <w:fldChar w:fldCharType="end"/>
        </w:r>
      </w:hyperlink>
    </w:p>
    <w:p w14:paraId="3D2A7AC0" w14:textId="77777777" w:rsidR="00DE16B0" w:rsidRDefault="001A03B1">
      <w:pPr>
        <w:pStyle w:val="TOC1"/>
        <w:tabs>
          <w:tab w:val="left" w:pos="440"/>
          <w:tab w:val="right" w:leader="dot" w:pos="9980"/>
        </w:tabs>
        <w:rPr>
          <w:rFonts w:eastAsiaTheme="minorEastAsia" w:cstheme="minorBidi"/>
          <w:b w:val="0"/>
          <w:noProof/>
          <w:sz w:val="22"/>
          <w:szCs w:val="22"/>
        </w:rPr>
      </w:pPr>
      <w:hyperlink w:anchor="_Toc42625060" w:history="1">
        <w:r w:rsidR="00DE16B0" w:rsidRPr="000753BE">
          <w:rPr>
            <w:rStyle w:val="Hyperlink"/>
            <w:noProof/>
          </w:rPr>
          <w:t>2</w:t>
        </w:r>
        <w:r w:rsidR="00DE16B0">
          <w:rPr>
            <w:rFonts w:eastAsiaTheme="minorEastAsia" w:cstheme="minorBidi"/>
            <w:b w:val="0"/>
            <w:noProof/>
            <w:sz w:val="22"/>
            <w:szCs w:val="22"/>
          </w:rPr>
          <w:tab/>
        </w:r>
        <w:r w:rsidR="00DE16B0" w:rsidRPr="000753BE">
          <w:rPr>
            <w:rStyle w:val="Hyperlink"/>
            <w:noProof/>
          </w:rPr>
          <w:t>Target Audience</w:t>
        </w:r>
        <w:r w:rsidR="00DE16B0">
          <w:rPr>
            <w:noProof/>
            <w:webHidden/>
          </w:rPr>
          <w:tab/>
        </w:r>
        <w:r w:rsidR="00DE16B0">
          <w:rPr>
            <w:noProof/>
            <w:webHidden/>
          </w:rPr>
          <w:fldChar w:fldCharType="begin"/>
        </w:r>
        <w:r w:rsidR="00DE16B0">
          <w:rPr>
            <w:noProof/>
            <w:webHidden/>
          </w:rPr>
          <w:instrText xml:space="preserve"> PAGEREF _Toc42625060 \h </w:instrText>
        </w:r>
        <w:r w:rsidR="00DE16B0">
          <w:rPr>
            <w:noProof/>
            <w:webHidden/>
          </w:rPr>
        </w:r>
        <w:r w:rsidR="00DE16B0">
          <w:rPr>
            <w:noProof/>
            <w:webHidden/>
          </w:rPr>
          <w:fldChar w:fldCharType="separate"/>
        </w:r>
        <w:r w:rsidR="00DE16B0">
          <w:rPr>
            <w:noProof/>
            <w:webHidden/>
          </w:rPr>
          <w:t>3</w:t>
        </w:r>
        <w:r w:rsidR="00DE16B0">
          <w:rPr>
            <w:noProof/>
            <w:webHidden/>
          </w:rPr>
          <w:fldChar w:fldCharType="end"/>
        </w:r>
      </w:hyperlink>
    </w:p>
    <w:p w14:paraId="21B3D9FD" w14:textId="77777777" w:rsidR="00DE16B0" w:rsidRDefault="001A03B1">
      <w:pPr>
        <w:pStyle w:val="TOC1"/>
        <w:tabs>
          <w:tab w:val="left" w:pos="440"/>
          <w:tab w:val="right" w:leader="dot" w:pos="9980"/>
        </w:tabs>
        <w:rPr>
          <w:rFonts w:eastAsiaTheme="minorEastAsia" w:cstheme="minorBidi"/>
          <w:b w:val="0"/>
          <w:noProof/>
          <w:sz w:val="22"/>
          <w:szCs w:val="22"/>
        </w:rPr>
      </w:pPr>
      <w:hyperlink w:anchor="_Toc42625061" w:history="1">
        <w:r w:rsidR="00DE16B0" w:rsidRPr="000753BE">
          <w:rPr>
            <w:rStyle w:val="Hyperlink"/>
            <w:noProof/>
          </w:rPr>
          <w:t>3</w:t>
        </w:r>
        <w:r w:rsidR="00DE16B0">
          <w:rPr>
            <w:rFonts w:eastAsiaTheme="minorEastAsia" w:cstheme="minorBidi"/>
            <w:b w:val="0"/>
            <w:noProof/>
            <w:sz w:val="22"/>
            <w:szCs w:val="22"/>
          </w:rPr>
          <w:tab/>
        </w:r>
        <w:r w:rsidR="00DE16B0" w:rsidRPr="000753BE">
          <w:rPr>
            <w:rStyle w:val="Hyperlink"/>
            <w:noProof/>
          </w:rPr>
          <w:t>Azure Server Migration Scenarios</w:t>
        </w:r>
        <w:r w:rsidR="00DE16B0">
          <w:rPr>
            <w:noProof/>
            <w:webHidden/>
          </w:rPr>
          <w:tab/>
        </w:r>
        <w:r w:rsidR="00DE16B0">
          <w:rPr>
            <w:noProof/>
            <w:webHidden/>
          </w:rPr>
          <w:fldChar w:fldCharType="begin"/>
        </w:r>
        <w:r w:rsidR="00DE16B0">
          <w:rPr>
            <w:noProof/>
            <w:webHidden/>
          </w:rPr>
          <w:instrText xml:space="preserve"> PAGEREF _Toc42625061 \h </w:instrText>
        </w:r>
        <w:r w:rsidR="00DE16B0">
          <w:rPr>
            <w:noProof/>
            <w:webHidden/>
          </w:rPr>
        </w:r>
        <w:r w:rsidR="00DE16B0">
          <w:rPr>
            <w:noProof/>
            <w:webHidden/>
          </w:rPr>
          <w:fldChar w:fldCharType="separate"/>
        </w:r>
        <w:r w:rsidR="00DE16B0">
          <w:rPr>
            <w:noProof/>
            <w:webHidden/>
          </w:rPr>
          <w:t>3</w:t>
        </w:r>
        <w:r w:rsidR="00DE16B0">
          <w:rPr>
            <w:noProof/>
            <w:webHidden/>
          </w:rPr>
          <w:fldChar w:fldCharType="end"/>
        </w:r>
      </w:hyperlink>
    </w:p>
    <w:p w14:paraId="0BBE8845" w14:textId="77777777" w:rsidR="00DE16B0" w:rsidRDefault="001A03B1">
      <w:pPr>
        <w:pStyle w:val="TOC1"/>
        <w:tabs>
          <w:tab w:val="left" w:pos="440"/>
          <w:tab w:val="right" w:leader="dot" w:pos="9980"/>
        </w:tabs>
        <w:rPr>
          <w:rFonts w:eastAsiaTheme="minorEastAsia" w:cstheme="minorBidi"/>
          <w:b w:val="0"/>
          <w:noProof/>
          <w:sz w:val="22"/>
          <w:szCs w:val="22"/>
        </w:rPr>
      </w:pPr>
      <w:hyperlink w:anchor="_Toc42625062" w:history="1">
        <w:r w:rsidR="00DE16B0" w:rsidRPr="000753BE">
          <w:rPr>
            <w:rStyle w:val="Hyperlink"/>
            <w:noProof/>
          </w:rPr>
          <w:t>4</w:t>
        </w:r>
        <w:r w:rsidR="00DE16B0">
          <w:rPr>
            <w:rFonts w:eastAsiaTheme="minorEastAsia" w:cstheme="minorBidi"/>
            <w:b w:val="0"/>
            <w:noProof/>
            <w:sz w:val="22"/>
            <w:szCs w:val="22"/>
          </w:rPr>
          <w:tab/>
        </w:r>
        <w:r w:rsidR="00DE16B0" w:rsidRPr="000753BE">
          <w:rPr>
            <w:rStyle w:val="Hyperlink"/>
            <w:noProof/>
          </w:rPr>
          <w:t>Azure Server Migration Architecture</w:t>
        </w:r>
        <w:r w:rsidR="00DE16B0">
          <w:rPr>
            <w:noProof/>
            <w:webHidden/>
          </w:rPr>
          <w:tab/>
        </w:r>
        <w:r w:rsidR="00DE16B0">
          <w:rPr>
            <w:noProof/>
            <w:webHidden/>
          </w:rPr>
          <w:fldChar w:fldCharType="begin"/>
        </w:r>
        <w:r w:rsidR="00DE16B0">
          <w:rPr>
            <w:noProof/>
            <w:webHidden/>
          </w:rPr>
          <w:instrText xml:space="preserve"> PAGEREF _Toc42625062 \h </w:instrText>
        </w:r>
        <w:r w:rsidR="00DE16B0">
          <w:rPr>
            <w:noProof/>
            <w:webHidden/>
          </w:rPr>
        </w:r>
        <w:r w:rsidR="00DE16B0">
          <w:rPr>
            <w:noProof/>
            <w:webHidden/>
          </w:rPr>
          <w:fldChar w:fldCharType="separate"/>
        </w:r>
        <w:r w:rsidR="00DE16B0">
          <w:rPr>
            <w:noProof/>
            <w:webHidden/>
          </w:rPr>
          <w:t>3</w:t>
        </w:r>
        <w:r w:rsidR="00DE16B0">
          <w:rPr>
            <w:noProof/>
            <w:webHidden/>
          </w:rPr>
          <w:fldChar w:fldCharType="end"/>
        </w:r>
      </w:hyperlink>
    </w:p>
    <w:p w14:paraId="277E6BE0" w14:textId="77777777" w:rsidR="00DE16B0" w:rsidRDefault="001A03B1">
      <w:pPr>
        <w:pStyle w:val="TOC1"/>
        <w:tabs>
          <w:tab w:val="left" w:pos="440"/>
          <w:tab w:val="right" w:leader="dot" w:pos="9980"/>
        </w:tabs>
        <w:rPr>
          <w:rFonts w:eastAsiaTheme="minorEastAsia" w:cstheme="minorBidi"/>
          <w:b w:val="0"/>
          <w:noProof/>
          <w:sz w:val="22"/>
          <w:szCs w:val="22"/>
        </w:rPr>
      </w:pPr>
      <w:hyperlink w:anchor="_Toc42625063" w:history="1">
        <w:r w:rsidR="00DE16B0" w:rsidRPr="000753BE">
          <w:rPr>
            <w:rStyle w:val="Hyperlink"/>
            <w:noProof/>
          </w:rPr>
          <w:t>5</w:t>
        </w:r>
        <w:r w:rsidR="00DE16B0">
          <w:rPr>
            <w:rFonts w:eastAsiaTheme="minorEastAsia" w:cstheme="minorBidi"/>
            <w:b w:val="0"/>
            <w:noProof/>
            <w:sz w:val="22"/>
            <w:szCs w:val="22"/>
          </w:rPr>
          <w:tab/>
        </w:r>
        <w:r w:rsidR="00DE16B0" w:rsidRPr="000753BE">
          <w:rPr>
            <w:rStyle w:val="Hyperlink"/>
            <w:noProof/>
          </w:rPr>
          <w:t>Requirements</w:t>
        </w:r>
        <w:r w:rsidR="00DE16B0">
          <w:rPr>
            <w:noProof/>
            <w:webHidden/>
          </w:rPr>
          <w:tab/>
        </w:r>
        <w:r w:rsidR="00DE16B0">
          <w:rPr>
            <w:noProof/>
            <w:webHidden/>
          </w:rPr>
          <w:fldChar w:fldCharType="begin"/>
        </w:r>
        <w:r w:rsidR="00DE16B0">
          <w:rPr>
            <w:noProof/>
            <w:webHidden/>
          </w:rPr>
          <w:instrText xml:space="preserve"> PAGEREF _Toc42625063 \h </w:instrText>
        </w:r>
        <w:r w:rsidR="00DE16B0">
          <w:rPr>
            <w:noProof/>
            <w:webHidden/>
          </w:rPr>
        </w:r>
        <w:r w:rsidR="00DE16B0">
          <w:rPr>
            <w:noProof/>
            <w:webHidden/>
          </w:rPr>
          <w:fldChar w:fldCharType="separate"/>
        </w:r>
        <w:r w:rsidR="00DE16B0">
          <w:rPr>
            <w:noProof/>
            <w:webHidden/>
          </w:rPr>
          <w:t>4</w:t>
        </w:r>
        <w:r w:rsidR="00DE16B0">
          <w:rPr>
            <w:noProof/>
            <w:webHidden/>
          </w:rPr>
          <w:fldChar w:fldCharType="end"/>
        </w:r>
      </w:hyperlink>
    </w:p>
    <w:p w14:paraId="37FD3BAE" w14:textId="77777777" w:rsidR="00DE16B0" w:rsidRDefault="001A03B1">
      <w:pPr>
        <w:pStyle w:val="TOC2"/>
        <w:tabs>
          <w:tab w:val="left" w:pos="880"/>
          <w:tab w:val="right" w:leader="dot" w:pos="9980"/>
        </w:tabs>
        <w:rPr>
          <w:rFonts w:eastAsiaTheme="minorEastAsia" w:cstheme="minorBidi"/>
          <w:noProof/>
          <w:szCs w:val="22"/>
        </w:rPr>
      </w:pPr>
      <w:hyperlink w:anchor="_Toc42625064" w:history="1">
        <w:r w:rsidR="00DE16B0" w:rsidRPr="000753BE">
          <w:rPr>
            <w:rStyle w:val="Hyperlink"/>
            <w:noProof/>
            <w14:scene3d>
              <w14:camera w14:prst="orthographicFront"/>
              <w14:lightRig w14:rig="threePt" w14:dir="t">
                <w14:rot w14:lat="0" w14:lon="0" w14:rev="0"/>
              </w14:lightRig>
            </w14:scene3d>
          </w:rPr>
          <w:t>5.1</w:t>
        </w:r>
        <w:r w:rsidR="00DE16B0">
          <w:rPr>
            <w:rFonts w:eastAsiaTheme="minorEastAsia" w:cstheme="minorBidi"/>
            <w:noProof/>
            <w:szCs w:val="22"/>
          </w:rPr>
          <w:tab/>
        </w:r>
        <w:r w:rsidR="00DE16B0" w:rsidRPr="000753BE">
          <w:rPr>
            <w:rStyle w:val="Hyperlink"/>
            <w:noProof/>
          </w:rPr>
          <w:t>Operational Requirements</w:t>
        </w:r>
        <w:r w:rsidR="00DE16B0">
          <w:rPr>
            <w:noProof/>
            <w:webHidden/>
          </w:rPr>
          <w:tab/>
        </w:r>
        <w:r w:rsidR="00DE16B0">
          <w:rPr>
            <w:noProof/>
            <w:webHidden/>
          </w:rPr>
          <w:fldChar w:fldCharType="begin"/>
        </w:r>
        <w:r w:rsidR="00DE16B0">
          <w:rPr>
            <w:noProof/>
            <w:webHidden/>
          </w:rPr>
          <w:instrText xml:space="preserve"> PAGEREF _Toc42625064 \h </w:instrText>
        </w:r>
        <w:r w:rsidR="00DE16B0">
          <w:rPr>
            <w:noProof/>
            <w:webHidden/>
          </w:rPr>
        </w:r>
        <w:r w:rsidR="00DE16B0">
          <w:rPr>
            <w:noProof/>
            <w:webHidden/>
          </w:rPr>
          <w:fldChar w:fldCharType="separate"/>
        </w:r>
        <w:r w:rsidR="00DE16B0">
          <w:rPr>
            <w:noProof/>
            <w:webHidden/>
          </w:rPr>
          <w:t>4</w:t>
        </w:r>
        <w:r w:rsidR="00DE16B0">
          <w:rPr>
            <w:noProof/>
            <w:webHidden/>
          </w:rPr>
          <w:fldChar w:fldCharType="end"/>
        </w:r>
      </w:hyperlink>
    </w:p>
    <w:p w14:paraId="08E74ABF" w14:textId="77777777" w:rsidR="00DE16B0" w:rsidRDefault="001A03B1">
      <w:pPr>
        <w:pStyle w:val="TOC1"/>
        <w:tabs>
          <w:tab w:val="left" w:pos="440"/>
          <w:tab w:val="right" w:leader="dot" w:pos="9980"/>
        </w:tabs>
        <w:rPr>
          <w:rFonts w:eastAsiaTheme="minorEastAsia" w:cstheme="minorBidi"/>
          <w:b w:val="0"/>
          <w:noProof/>
          <w:sz w:val="22"/>
          <w:szCs w:val="22"/>
        </w:rPr>
      </w:pPr>
      <w:hyperlink w:anchor="_Toc42625065" w:history="1">
        <w:r w:rsidR="00DE16B0" w:rsidRPr="000753BE">
          <w:rPr>
            <w:rStyle w:val="Hyperlink"/>
            <w:noProof/>
          </w:rPr>
          <w:t>6</w:t>
        </w:r>
        <w:r w:rsidR="00DE16B0">
          <w:rPr>
            <w:rFonts w:eastAsiaTheme="minorEastAsia" w:cstheme="minorBidi"/>
            <w:b w:val="0"/>
            <w:noProof/>
            <w:sz w:val="22"/>
            <w:szCs w:val="22"/>
          </w:rPr>
          <w:tab/>
        </w:r>
        <w:r w:rsidR="00DE16B0" w:rsidRPr="000753BE">
          <w:rPr>
            <w:rStyle w:val="Hyperlink"/>
            <w:noProof/>
          </w:rPr>
          <w:t>Azure Security Policy</w:t>
        </w:r>
        <w:r w:rsidR="00DE16B0">
          <w:rPr>
            <w:noProof/>
            <w:webHidden/>
          </w:rPr>
          <w:tab/>
        </w:r>
        <w:r w:rsidR="00DE16B0">
          <w:rPr>
            <w:noProof/>
            <w:webHidden/>
          </w:rPr>
          <w:fldChar w:fldCharType="begin"/>
        </w:r>
        <w:r w:rsidR="00DE16B0">
          <w:rPr>
            <w:noProof/>
            <w:webHidden/>
          </w:rPr>
          <w:instrText xml:space="preserve"> PAGEREF _Toc42625065 \h </w:instrText>
        </w:r>
        <w:r w:rsidR="00DE16B0">
          <w:rPr>
            <w:noProof/>
            <w:webHidden/>
          </w:rPr>
        </w:r>
        <w:r w:rsidR="00DE16B0">
          <w:rPr>
            <w:noProof/>
            <w:webHidden/>
          </w:rPr>
          <w:fldChar w:fldCharType="separate"/>
        </w:r>
        <w:r w:rsidR="00DE16B0">
          <w:rPr>
            <w:noProof/>
            <w:webHidden/>
          </w:rPr>
          <w:t>5</w:t>
        </w:r>
        <w:r w:rsidR="00DE16B0">
          <w:rPr>
            <w:noProof/>
            <w:webHidden/>
          </w:rPr>
          <w:fldChar w:fldCharType="end"/>
        </w:r>
      </w:hyperlink>
    </w:p>
    <w:p w14:paraId="2C2B2E45" w14:textId="77777777" w:rsidR="00DE16B0" w:rsidRDefault="001A03B1">
      <w:pPr>
        <w:pStyle w:val="TOC2"/>
        <w:tabs>
          <w:tab w:val="left" w:pos="880"/>
          <w:tab w:val="right" w:leader="dot" w:pos="9980"/>
        </w:tabs>
        <w:rPr>
          <w:rFonts w:eastAsiaTheme="minorEastAsia" w:cstheme="minorBidi"/>
          <w:noProof/>
          <w:szCs w:val="22"/>
        </w:rPr>
      </w:pPr>
      <w:hyperlink w:anchor="_Toc42625066" w:history="1">
        <w:r w:rsidR="00DE16B0" w:rsidRPr="000753BE">
          <w:rPr>
            <w:rStyle w:val="Hyperlink"/>
            <w:noProof/>
            <w14:scene3d>
              <w14:camera w14:prst="orthographicFront"/>
              <w14:lightRig w14:rig="threePt" w14:dir="t">
                <w14:rot w14:lat="0" w14:lon="0" w14:rev="0"/>
              </w14:lightRig>
            </w14:scene3d>
          </w:rPr>
          <w:t>6.1</w:t>
        </w:r>
        <w:r w:rsidR="00DE16B0">
          <w:rPr>
            <w:rFonts w:eastAsiaTheme="minorEastAsia" w:cstheme="minorBidi"/>
            <w:noProof/>
            <w:szCs w:val="22"/>
          </w:rPr>
          <w:tab/>
        </w:r>
        <w:r w:rsidR="00DE16B0" w:rsidRPr="000753BE">
          <w:rPr>
            <w:rStyle w:val="Hyperlink"/>
            <w:noProof/>
          </w:rPr>
          <w:t>How to  run JSON Policy Script</w:t>
        </w:r>
        <w:r w:rsidR="00DE16B0">
          <w:rPr>
            <w:noProof/>
            <w:webHidden/>
          </w:rPr>
          <w:tab/>
        </w:r>
        <w:r w:rsidR="00DE16B0">
          <w:rPr>
            <w:noProof/>
            <w:webHidden/>
          </w:rPr>
          <w:fldChar w:fldCharType="begin"/>
        </w:r>
        <w:r w:rsidR="00DE16B0">
          <w:rPr>
            <w:noProof/>
            <w:webHidden/>
          </w:rPr>
          <w:instrText xml:space="preserve"> PAGEREF _Toc42625066 \h </w:instrText>
        </w:r>
        <w:r w:rsidR="00DE16B0">
          <w:rPr>
            <w:noProof/>
            <w:webHidden/>
          </w:rPr>
        </w:r>
        <w:r w:rsidR="00DE16B0">
          <w:rPr>
            <w:noProof/>
            <w:webHidden/>
          </w:rPr>
          <w:fldChar w:fldCharType="separate"/>
        </w:r>
        <w:r w:rsidR="00DE16B0">
          <w:rPr>
            <w:noProof/>
            <w:webHidden/>
          </w:rPr>
          <w:t>5</w:t>
        </w:r>
        <w:r w:rsidR="00DE16B0">
          <w:rPr>
            <w:noProof/>
            <w:webHidden/>
          </w:rPr>
          <w:fldChar w:fldCharType="end"/>
        </w:r>
      </w:hyperlink>
    </w:p>
    <w:p w14:paraId="0F9ADF57" w14:textId="77777777" w:rsidR="00DE16B0" w:rsidRDefault="001A03B1">
      <w:pPr>
        <w:pStyle w:val="TOC2"/>
        <w:tabs>
          <w:tab w:val="left" w:pos="880"/>
          <w:tab w:val="right" w:leader="dot" w:pos="9980"/>
        </w:tabs>
        <w:rPr>
          <w:rFonts w:eastAsiaTheme="minorEastAsia" w:cstheme="minorBidi"/>
          <w:noProof/>
          <w:szCs w:val="22"/>
        </w:rPr>
      </w:pPr>
      <w:hyperlink w:anchor="_Toc42625067" w:history="1">
        <w:r w:rsidR="00DE16B0" w:rsidRPr="000753BE">
          <w:rPr>
            <w:rStyle w:val="Hyperlink"/>
            <w:noProof/>
            <w14:scene3d>
              <w14:camera w14:prst="orthographicFront"/>
              <w14:lightRig w14:rig="threePt" w14:dir="t">
                <w14:rot w14:lat="0" w14:lon="0" w14:rev="0"/>
              </w14:lightRig>
            </w14:scene3d>
          </w:rPr>
          <w:t>6.2</w:t>
        </w:r>
        <w:r w:rsidR="00DE16B0">
          <w:rPr>
            <w:rFonts w:eastAsiaTheme="minorEastAsia" w:cstheme="minorBidi"/>
            <w:noProof/>
            <w:szCs w:val="22"/>
          </w:rPr>
          <w:tab/>
        </w:r>
        <w:r w:rsidR="00DE16B0" w:rsidRPr="000753BE">
          <w:rPr>
            <w:rStyle w:val="Hyperlink"/>
            <w:noProof/>
          </w:rPr>
          <w:t>Major Azure Policy for security</w:t>
        </w:r>
        <w:r w:rsidR="00DE16B0">
          <w:rPr>
            <w:noProof/>
            <w:webHidden/>
          </w:rPr>
          <w:tab/>
        </w:r>
        <w:r w:rsidR="00DE16B0">
          <w:rPr>
            <w:noProof/>
            <w:webHidden/>
          </w:rPr>
          <w:fldChar w:fldCharType="begin"/>
        </w:r>
        <w:r w:rsidR="00DE16B0">
          <w:rPr>
            <w:noProof/>
            <w:webHidden/>
          </w:rPr>
          <w:instrText xml:space="preserve"> PAGEREF _Toc42625067 \h </w:instrText>
        </w:r>
        <w:r w:rsidR="00DE16B0">
          <w:rPr>
            <w:noProof/>
            <w:webHidden/>
          </w:rPr>
        </w:r>
        <w:r w:rsidR="00DE16B0">
          <w:rPr>
            <w:noProof/>
            <w:webHidden/>
          </w:rPr>
          <w:fldChar w:fldCharType="separate"/>
        </w:r>
        <w:r w:rsidR="00DE16B0">
          <w:rPr>
            <w:noProof/>
            <w:webHidden/>
          </w:rPr>
          <w:t>8</w:t>
        </w:r>
        <w:r w:rsidR="00DE16B0">
          <w:rPr>
            <w:noProof/>
            <w:webHidden/>
          </w:rPr>
          <w:fldChar w:fldCharType="end"/>
        </w:r>
      </w:hyperlink>
    </w:p>
    <w:p w14:paraId="4376D104" w14:textId="77777777" w:rsidR="00DE16B0" w:rsidRDefault="001A03B1">
      <w:pPr>
        <w:pStyle w:val="TOC1"/>
        <w:tabs>
          <w:tab w:val="left" w:pos="440"/>
          <w:tab w:val="right" w:leader="dot" w:pos="9980"/>
        </w:tabs>
        <w:rPr>
          <w:rFonts w:eastAsiaTheme="minorEastAsia" w:cstheme="minorBidi"/>
          <w:b w:val="0"/>
          <w:noProof/>
          <w:sz w:val="22"/>
          <w:szCs w:val="22"/>
        </w:rPr>
      </w:pPr>
      <w:hyperlink w:anchor="_Toc42625068" w:history="1">
        <w:r w:rsidR="00DE16B0" w:rsidRPr="000753BE">
          <w:rPr>
            <w:rStyle w:val="Hyperlink"/>
            <w:noProof/>
          </w:rPr>
          <w:t>7</w:t>
        </w:r>
        <w:r w:rsidR="00DE16B0">
          <w:rPr>
            <w:rFonts w:eastAsiaTheme="minorEastAsia" w:cstheme="minorBidi"/>
            <w:b w:val="0"/>
            <w:noProof/>
            <w:sz w:val="22"/>
            <w:szCs w:val="22"/>
          </w:rPr>
          <w:tab/>
        </w:r>
        <w:r w:rsidR="00DE16B0" w:rsidRPr="000753BE">
          <w:rPr>
            <w:rStyle w:val="Hyperlink"/>
            <w:noProof/>
          </w:rPr>
          <w:t>Appendix A</w:t>
        </w:r>
        <w:r w:rsidR="00DE16B0">
          <w:rPr>
            <w:noProof/>
            <w:webHidden/>
          </w:rPr>
          <w:tab/>
        </w:r>
        <w:r w:rsidR="00DE16B0">
          <w:rPr>
            <w:noProof/>
            <w:webHidden/>
          </w:rPr>
          <w:fldChar w:fldCharType="begin"/>
        </w:r>
        <w:r w:rsidR="00DE16B0">
          <w:rPr>
            <w:noProof/>
            <w:webHidden/>
          </w:rPr>
          <w:instrText xml:space="preserve"> PAGEREF _Toc42625068 \h </w:instrText>
        </w:r>
        <w:r w:rsidR="00DE16B0">
          <w:rPr>
            <w:noProof/>
            <w:webHidden/>
          </w:rPr>
        </w:r>
        <w:r w:rsidR="00DE16B0">
          <w:rPr>
            <w:noProof/>
            <w:webHidden/>
          </w:rPr>
          <w:fldChar w:fldCharType="separate"/>
        </w:r>
        <w:r w:rsidR="00DE16B0">
          <w:rPr>
            <w:noProof/>
            <w:webHidden/>
          </w:rPr>
          <w:t>12</w:t>
        </w:r>
        <w:r w:rsidR="00DE16B0">
          <w:rPr>
            <w:noProof/>
            <w:webHidden/>
          </w:rPr>
          <w:fldChar w:fldCharType="end"/>
        </w:r>
      </w:hyperlink>
    </w:p>
    <w:p w14:paraId="403D5A13" w14:textId="77777777" w:rsidR="00DE16B0" w:rsidRDefault="00DE16B0" w:rsidP="00DE16B0">
      <w:pPr>
        <w:spacing w:before="0" w:after="160" w:line="259" w:lineRule="auto"/>
        <w:rPr>
          <w:rFonts w:cstheme="minorHAnsi"/>
          <w:color w:val="00B0F0"/>
        </w:rPr>
      </w:pPr>
      <w:r>
        <w:rPr>
          <w:rFonts w:ascii="Calibri" w:hAnsi="Calibri" w:cs="Calibri"/>
          <w:bCs/>
          <w:caps/>
          <w:noProof/>
          <w:sz w:val="20"/>
          <w:szCs w:val="22"/>
          <w:u w:val="single"/>
        </w:rPr>
        <w:fldChar w:fldCharType="end"/>
      </w:r>
      <w:r>
        <w:rPr>
          <w:rFonts w:cstheme="minorHAnsi"/>
          <w:color w:val="00B0F0"/>
        </w:rPr>
        <w:br w:type="page"/>
      </w:r>
    </w:p>
    <w:p w14:paraId="0CB559A8" w14:textId="77777777" w:rsidR="008F7DC4" w:rsidRPr="008F7DC4" w:rsidRDefault="008F7DC4" w:rsidP="008F7DC4">
      <w:pPr>
        <w:spacing w:before="0" w:line="259" w:lineRule="auto"/>
        <w:rPr>
          <w:rFonts w:asciiTheme="majorHAnsi" w:hAnsiTheme="majorHAnsi" w:cstheme="minorHAnsi"/>
          <w:b/>
          <w:bCs/>
          <w:color w:val="00B0F0"/>
          <w:kern w:val="32"/>
          <w:szCs w:val="32"/>
        </w:rPr>
      </w:pPr>
    </w:p>
    <w:p w14:paraId="243D31D6" w14:textId="77777777" w:rsidR="00DE16B0" w:rsidRPr="007D53BF" w:rsidRDefault="00DE16B0" w:rsidP="008F7DC4">
      <w:pPr>
        <w:pStyle w:val="Heading1"/>
        <w:spacing w:before="120"/>
        <w:ind w:left="547" w:hanging="547"/>
        <w:rPr>
          <w:rFonts w:cstheme="minorHAnsi"/>
          <w:color w:val="00B0F0"/>
        </w:rPr>
      </w:pPr>
      <w:bookmarkStart w:id="2" w:name="_Toc42625059"/>
      <w:r w:rsidRPr="007D53BF">
        <w:rPr>
          <w:rFonts w:cstheme="minorHAnsi"/>
          <w:color w:val="00B0F0"/>
        </w:rPr>
        <w:t>Introduction</w:t>
      </w:r>
      <w:bookmarkEnd w:id="1"/>
      <w:bookmarkEnd w:id="2"/>
    </w:p>
    <w:p w14:paraId="5AADB43C" w14:textId="77777777" w:rsidR="00DE16B0" w:rsidRDefault="00DE16B0" w:rsidP="00DE16B0">
      <w:pPr>
        <w:pStyle w:val="BodyText"/>
        <w:keepNext/>
        <w:spacing w:line="360" w:lineRule="auto"/>
        <w:ind w:left="547"/>
      </w:pPr>
      <w:r w:rsidRPr="00D83CD9">
        <w:t xml:space="preserve">This document is a major deliverable </w:t>
      </w:r>
      <w:r>
        <w:t xml:space="preserve">on securing the Azure Server Migration and provide </w:t>
      </w:r>
      <w:r w:rsidR="008F7DC4">
        <w:t>real-time</w:t>
      </w:r>
      <w:r>
        <w:t xml:space="preserve"> compliance data while performing audit the </w:t>
      </w:r>
      <w:r w:rsidR="008F7DC4">
        <w:t>environment</w:t>
      </w:r>
      <w:r>
        <w:t xml:space="preserve">. This will also help in reduce the number of external approval process by implementing policies at the core of the Azure platform for increased </w:t>
      </w:r>
      <w:r w:rsidR="008F7DC4">
        <w:t>developer</w:t>
      </w:r>
      <w:r>
        <w:t xml:space="preserve"> productivity. Control and optimize the cloud spend to get more value from your investment.</w:t>
      </w:r>
    </w:p>
    <w:p w14:paraId="54E8454D" w14:textId="77777777" w:rsidR="00DE16B0" w:rsidRPr="007D53BF" w:rsidRDefault="00DE16B0" w:rsidP="00DE16B0">
      <w:pPr>
        <w:pStyle w:val="Heading1"/>
        <w:spacing w:before="240"/>
        <w:ind w:left="547" w:hanging="547"/>
        <w:rPr>
          <w:color w:val="00B0F0"/>
        </w:rPr>
      </w:pPr>
      <w:bookmarkStart w:id="3" w:name="_Toc42624004"/>
      <w:bookmarkStart w:id="4" w:name="_Toc42625060"/>
      <w:bookmarkStart w:id="5" w:name="_Hlk7595258"/>
      <w:bookmarkStart w:id="6" w:name="_Toc411839364"/>
      <w:bookmarkStart w:id="7" w:name="_Toc412029995"/>
      <w:r w:rsidRPr="007D53BF">
        <w:rPr>
          <w:color w:val="00B0F0"/>
        </w:rPr>
        <w:t>Target Audience</w:t>
      </w:r>
      <w:bookmarkEnd w:id="3"/>
      <w:bookmarkEnd w:id="4"/>
    </w:p>
    <w:p w14:paraId="6DB77D34" w14:textId="77777777" w:rsidR="00DE16B0" w:rsidRDefault="00DE16B0" w:rsidP="008F7DC4">
      <w:pPr>
        <w:spacing w:line="360" w:lineRule="auto"/>
        <w:ind w:left="547"/>
        <w:jc w:val="both"/>
      </w:pPr>
      <w:r>
        <w:t>This document is Level 400+ technical migration guide primarily intended for Azure Specialists, Cloud Solution Architects, Migration experts, System Administrators &amp; anyone else who are going to be hands-on in executing the on-premise to Azure migrations. It is assumed that the audience has deep insights into their on-premise workload architectures, storage &amp;</w:t>
      </w:r>
      <w:r w:rsidR="008F7DC4">
        <w:t xml:space="preserve"> </w:t>
      </w:r>
      <w:r>
        <w:t>networking capabilities along with the interdependencies across multiple services/components involved like Active Directory, RDS deployments, Microsoft Azure and its core services (compute, storage &amp; Network).</w:t>
      </w:r>
    </w:p>
    <w:p w14:paraId="334B12C0" w14:textId="77777777" w:rsidR="00DE16B0" w:rsidRDefault="00DE16B0" w:rsidP="008F7DC4">
      <w:pPr>
        <w:spacing w:line="360" w:lineRule="auto"/>
        <w:ind w:left="547"/>
        <w:jc w:val="both"/>
      </w:pPr>
      <w:r>
        <w:t>Please note that this document will primarily focus on the detailed migration process and is NOT a primer for the technologies afore mentioned.</w:t>
      </w:r>
    </w:p>
    <w:p w14:paraId="621B2817" w14:textId="77777777" w:rsidR="00DE16B0" w:rsidRPr="007D53BF" w:rsidRDefault="00DE16B0" w:rsidP="00DE16B0">
      <w:pPr>
        <w:pStyle w:val="Heading1"/>
        <w:spacing w:before="240"/>
        <w:ind w:left="547" w:hanging="547"/>
        <w:rPr>
          <w:color w:val="00B0F0"/>
        </w:rPr>
      </w:pPr>
      <w:bookmarkStart w:id="8" w:name="_Toc42624005"/>
      <w:bookmarkStart w:id="9" w:name="_Toc42625061"/>
      <w:r>
        <w:rPr>
          <w:color w:val="00B0F0"/>
        </w:rPr>
        <w:t>Azure Server Migration Scenarios</w:t>
      </w:r>
      <w:bookmarkEnd w:id="8"/>
      <w:bookmarkEnd w:id="9"/>
    </w:p>
    <w:p w14:paraId="46DDDA1D" w14:textId="77777777" w:rsidR="00DE16B0" w:rsidRDefault="00DE16B0" w:rsidP="00DE16B0">
      <w:pPr>
        <w:pStyle w:val="BodyText"/>
        <w:keepNext/>
        <w:ind w:left="259" w:firstLine="288"/>
      </w:pPr>
      <w:r>
        <w:t xml:space="preserve">Server migration to Azure covers the below 3 major </w:t>
      </w:r>
      <w:r w:rsidR="008F7DC4">
        <w:t>scenarios</w:t>
      </w:r>
      <w:r>
        <w:t>.</w:t>
      </w:r>
    </w:p>
    <w:tbl>
      <w:tblPr>
        <w:tblStyle w:val="MediumShading1-Accent13"/>
        <w:tblW w:w="9995" w:type="dxa"/>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5"/>
        <w:gridCol w:w="2340"/>
        <w:gridCol w:w="5940"/>
      </w:tblGrid>
      <w:tr w:rsidR="00DE16B0" w14:paraId="16B11FAC" w14:textId="77777777" w:rsidTr="008F7DC4">
        <w:trPr>
          <w:cnfStyle w:val="100000000000" w:firstRow="1" w:lastRow="0" w:firstColumn="0" w:lastColumn="0" w:oddVBand="0" w:evenVBand="0" w:oddHBand="0" w:evenHBand="0" w:firstRowFirstColumn="0" w:firstRowLastColumn="0" w:lastRowFirstColumn="0" w:lastRowLastColumn="0"/>
          <w:trHeight w:val="340"/>
          <w:tblHeader/>
        </w:trPr>
        <w:tc>
          <w:tcPr>
            <w:cnfStyle w:val="001000000000" w:firstRow="0" w:lastRow="0" w:firstColumn="1" w:lastColumn="0" w:oddVBand="0" w:evenVBand="0" w:oddHBand="0" w:evenHBand="0" w:firstRowFirstColumn="0" w:firstRowLastColumn="0" w:lastRowFirstColumn="0" w:lastRowLastColumn="0"/>
            <w:tcW w:w="1715" w:type="dxa"/>
            <w:tcBorders>
              <w:top w:val="none" w:sz="0" w:space="0" w:color="auto"/>
              <w:left w:val="none" w:sz="0" w:space="0" w:color="auto"/>
              <w:bottom w:val="none" w:sz="0" w:space="0" w:color="auto"/>
              <w:right w:val="none" w:sz="0" w:space="0" w:color="auto"/>
            </w:tcBorders>
            <w:vAlign w:val="center"/>
          </w:tcPr>
          <w:p w14:paraId="4805699E" w14:textId="77777777" w:rsidR="00DE16B0" w:rsidRDefault="00DE16B0" w:rsidP="008F7DC4">
            <w:pPr>
              <w:spacing w:before="0"/>
            </w:pPr>
            <w:r>
              <w:t>Scenarios</w:t>
            </w:r>
          </w:p>
        </w:tc>
        <w:tc>
          <w:tcPr>
            <w:tcW w:w="2340" w:type="dxa"/>
            <w:tcBorders>
              <w:top w:val="none" w:sz="0" w:space="0" w:color="auto"/>
              <w:left w:val="none" w:sz="0" w:space="0" w:color="auto"/>
              <w:bottom w:val="none" w:sz="0" w:space="0" w:color="auto"/>
              <w:right w:val="none" w:sz="0" w:space="0" w:color="auto"/>
            </w:tcBorders>
            <w:vAlign w:val="center"/>
          </w:tcPr>
          <w:p w14:paraId="12B1BF7F" w14:textId="77777777" w:rsidR="00DE16B0" w:rsidRDefault="00DE16B0" w:rsidP="008F7DC4">
            <w:pPr>
              <w:spacing w:before="0"/>
              <w:cnfStyle w:val="100000000000" w:firstRow="1" w:lastRow="0" w:firstColumn="0" w:lastColumn="0" w:oddVBand="0" w:evenVBand="0" w:oddHBand="0" w:evenHBand="0" w:firstRowFirstColumn="0" w:firstRowLastColumn="0" w:lastRowFirstColumn="0" w:lastRowLastColumn="0"/>
            </w:pPr>
            <w:r>
              <w:t>Tools</w:t>
            </w:r>
          </w:p>
        </w:tc>
        <w:tc>
          <w:tcPr>
            <w:tcW w:w="5940" w:type="dxa"/>
            <w:tcBorders>
              <w:top w:val="none" w:sz="0" w:space="0" w:color="auto"/>
              <w:left w:val="none" w:sz="0" w:space="0" w:color="auto"/>
              <w:bottom w:val="none" w:sz="0" w:space="0" w:color="auto"/>
              <w:right w:val="none" w:sz="0" w:space="0" w:color="auto"/>
            </w:tcBorders>
            <w:vAlign w:val="center"/>
          </w:tcPr>
          <w:p w14:paraId="480C3098" w14:textId="77777777" w:rsidR="00DE16B0" w:rsidRDefault="00DE16B0" w:rsidP="008F7DC4">
            <w:pPr>
              <w:spacing w:before="0"/>
              <w:cnfStyle w:val="100000000000" w:firstRow="1" w:lastRow="0" w:firstColumn="0" w:lastColumn="0" w:oddVBand="0" w:evenVBand="0" w:oddHBand="0" w:evenHBand="0" w:firstRowFirstColumn="0" w:firstRowLastColumn="0" w:lastRowFirstColumn="0" w:lastRowLastColumn="0"/>
            </w:pPr>
            <w:r>
              <w:t>Notes</w:t>
            </w:r>
          </w:p>
        </w:tc>
      </w:tr>
      <w:tr w:rsidR="00DE16B0" w14:paraId="74E6BAA5" w14:textId="77777777" w:rsidTr="008F7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Borders>
              <w:right w:val="none" w:sz="0" w:space="0" w:color="auto"/>
            </w:tcBorders>
            <w:vAlign w:val="center"/>
          </w:tcPr>
          <w:p w14:paraId="2418C4E8" w14:textId="77777777" w:rsidR="00DE16B0" w:rsidRDefault="00DE16B0" w:rsidP="008F7DC4">
            <w:pPr>
              <w:spacing w:before="0"/>
              <w:rPr>
                <w:sz w:val="20"/>
              </w:rPr>
            </w:pPr>
            <w:r>
              <w:t>Physical Servers</w:t>
            </w:r>
          </w:p>
        </w:tc>
        <w:tc>
          <w:tcPr>
            <w:tcW w:w="2340" w:type="dxa"/>
            <w:tcBorders>
              <w:left w:val="none" w:sz="0" w:space="0" w:color="auto"/>
              <w:right w:val="none" w:sz="0" w:space="0" w:color="auto"/>
            </w:tcBorders>
            <w:vAlign w:val="center"/>
          </w:tcPr>
          <w:p w14:paraId="6546AD54" w14:textId="77777777" w:rsidR="00DE16B0" w:rsidRDefault="00DE16B0" w:rsidP="008F7DC4">
            <w:pPr>
              <w:spacing w:before="0"/>
              <w:cnfStyle w:val="000000100000" w:firstRow="0" w:lastRow="0" w:firstColumn="0" w:lastColumn="0" w:oddVBand="0" w:evenVBand="0" w:oddHBand="1" w:evenHBand="0" w:firstRowFirstColumn="0" w:firstRowLastColumn="0" w:lastRowFirstColumn="0" w:lastRowLastColumn="0"/>
            </w:pPr>
            <w:r>
              <w:t>Azure Migrate: Server Assessment Tool</w:t>
            </w:r>
          </w:p>
        </w:tc>
        <w:tc>
          <w:tcPr>
            <w:tcW w:w="5940" w:type="dxa"/>
            <w:tcBorders>
              <w:left w:val="none" w:sz="0" w:space="0" w:color="auto"/>
            </w:tcBorders>
            <w:vAlign w:val="center"/>
          </w:tcPr>
          <w:p w14:paraId="6374606E" w14:textId="77777777" w:rsidR="00DE16B0" w:rsidRDefault="00DE16B0" w:rsidP="008F7DC4">
            <w:pPr>
              <w:spacing w:before="0"/>
              <w:cnfStyle w:val="000000100000" w:firstRow="0" w:lastRow="0" w:firstColumn="0" w:lastColumn="0" w:oddVBand="0" w:evenVBand="0" w:oddHBand="1" w:evenHBand="0" w:firstRowFirstColumn="0" w:firstRowLastColumn="0" w:lastRowFirstColumn="0" w:lastRowLastColumn="0"/>
            </w:pPr>
            <w:r>
              <w:t>Discover Physical Server</w:t>
            </w:r>
          </w:p>
          <w:p w14:paraId="02A451E7" w14:textId="77777777" w:rsidR="00DE16B0" w:rsidRDefault="00DE16B0" w:rsidP="008F7DC4">
            <w:pPr>
              <w:spacing w:before="0"/>
              <w:cnfStyle w:val="000000100000" w:firstRow="0" w:lastRow="0" w:firstColumn="0" w:lastColumn="0" w:oddVBand="0" w:evenVBand="0" w:oddHBand="1" w:evenHBand="0" w:firstRowFirstColumn="0" w:firstRowLastColumn="0" w:lastRowFirstColumn="0" w:lastRowLastColumn="0"/>
            </w:pPr>
            <w:r>
              <w:t>Collect machine metadata and performance metadata and migrate to Azure</w:t>
            </w:r>
          </w:p>
        </w:tc>
      </w:tr>
      <w:tr w:rsidR="00DE16B0" w14:paraId="6C4F9174" w14:textId="77777777" w:rsidTr="008F7DC4">
        <w:trPr>
          <w:cnfStyle w:val="000000010000" w:firstRow="0" w:lastRow="0" w:firstColumn="0" w:lastColumn="0" w:oddVBand="0" w:evenVBand="0" w:oddHBand="0" w:evenHBand="1" w:firstRowFirstColumn="0" w:firstRowLastColumn="0" w:lastRowFirstColumn="0" w:lastRowLastColumn="0"/>
          <w:trHeight w:val="763"/>
        </w:trPr>
        <w:tc>
          <w:tcPr>
            <w:cnfStyle w:val="001000000000" w:firstRow="0" w:lastRow="0" w:firstColumn="1" w:lastColumn="0" w:oddVBand="0" w:evenVBand="0" w:oddHBand="0" w:evenHBand="0" w:firstRowFirstColumn="0" w:firstRowLastColumn="0" w:lastRowFirstColumn="0" w:lastRowLastColumn="0"/>
            <w:tcW w:w="1715" w:type="dxa"/>
            <w:tcBorders>
              <w:right w:val="none" w:sz="0" w:space="0" w:color="auto"/>
            </w:tcBorders>
            <w:vAlign w:val="center"/>
          </w:tcPr>
          <w:p w14:paraId="529340D5" w14:textId="77777777" w:rsidR="00DE16B0" w:rsidRDefault="00DE16B0" w:rsidP="008F7DC4">
            <w:pPr>
              <w:spacing w:before="0"/>
            </w:pPr>
            <w:r>
              <w:t>Hyper-V VMs</w:t>
            </w:r>
          </w:p>
        </w:tc>
        <w:tc>
          <w:tcPr>
            <w:tcW w:w="2340" w:type="dxa"/>
            <w:tcBorders>
              <w:left w:val="none" w:sz="0" w:space="0" w:color="auto"/>
              <w:right w:val="none" w:sz="0" w:space="0" w:color="auto"/>
            </w:tcBorders>
            <w:vAlign w:val="center"/>
          </w:tcPr>
          <w:p w14:paraId="762B03B7" w14:textId="77777777" w:rsidR="00DE16B0" w:rsidRDefault="00DE16B0" w:rsidP="008F7DC4">
            <w:pPr>
              <w:spacing w:before="0"/>
              <w:cnfStyle w:val="000000010000" w:firstRow="0" w:lastRow="0" w:firstColumn="0" w:lastColumn="0" w:oddVBand="0" w:evenVBand="0" w:oddHBand="0" w:evenHBand="1" w:firstRowFirstColumn="0" w:firstRowLastColumn="0" w:lastRowFirstColumn="0" w:lastRowLastColumn="0"/>
            </w:pPr>
            <w:r>
              <w:t>Azure Migrate: Server Assessment Tool</w:t>
            </w:r>
          </w:p>
        </w:tc>
        <w:tc>
          <w:tcPr>
            <w:tcW w:w="5940" w:type="dxa"/>
            <w:tcBorders>
              <w:left w:val="none" w:sz="0" w:space="0" w:color="auto"/>
            </w:tcBorders>
            <w:vAlign w:val="center"/>
          </w:tcPr>
          <w:p w14:paraId="6B3A899A" w14:textId="77777777" w:rsidR="00DE16B0" w:rsidRDefault="00DE16B0" w:rsidP="008F7DC4">
            <w:pPr>
              <w:spacing w:before="0"/>
              <w:cnfStyle w:val="000000010000" w:firstRow="0" w:lastRow="0" w:firstColumn="0" w:lastColumn="0" w:oddVBand="0" w:evenVBand="0" w:oddHBand="0" w:evenHBand="1" w:firstRowFirstColumn="0" w:firstRowLastColumn="0" w:lastRowFirstColumn="0" w:lastRowLastColumn="0"/>
            </w:pPr>
            <w:r>
              <w:t>Discover Hyper-V Vms</w:t>
            </w:r>
          </w:p>
          <w:p w14:paraId="3FBDB82E" w14:textId="77777777" w:rsidR="00DE16B0" w:rsidRDefault="00DE16B0" w:rsidP="008F7DC4">
            <w:pPr>
              <w:spacing w:before="0"/>
              <w:cnfStyle w:val="000000010000" w:firstRow="0" w:lastRow="0" w:firstColumn="0" w:lastColumn="0" w:oddVBand="0" w:evenVBand="0" w:oddHBand="0" w:evenHBand="1" w:firstRowFirstColumn="0" w:firstRowLastColumn="0" w:lastRowFirstColumn="0" w:lastRowLastColumn="0"/>
            </w:pPr>
            <w:r>
              <w:t>Collect Machine metadata and performance metadata and migrate</w:t>
            </w:r>
          </w:p>
        </w:tc>
      </w:tr>
      <w:tr w:rsidR="00DE16B0" w14:paraId="01E47C21" w14:textId="77777777" w:rsidTr="008F7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Borders>
              <w:right w:val="none" w:sz="0" w:space="0" w:color="auto"/>
            </w:tcBorders>
            <w:vAlign w:val="center"/>
          </w:tcPr>
          <w:p w14:paraId="438BF9B0" w14:textId="77777777" w:rsidR="00DE16B0" w:rsidRDefault="00DE16B0" w:rsidP="008F7DC4">
            <w:pPr>
              <w:spacing w:before="0"/>
            </w:pPr>
            <w:r>
              <w:t>VMWare VMs</w:t>
            </w:r>
          </w:p>
        </w:tc>
        <w:tc>
          <w:tcPr>
            <w:tcW w:w="2340" w:type="dxa"/>
            <w:tcBorders>
              <w:left w:val="none" w:sz="0" w:space="0" w:color="auto"/>
              <w:right w:val="none" w:sz="0" w:space="0" w:color="auto"/>
            </w:tcBorders>
            <w:vAlign w:val="center"/>
          </w:tcPr>
          <w:p w14:paraId="6BF6BA2A" w14:textId="77777777" w:rsidR="00DE16B0" w:rsidRDefault="00DE16B0" w:rsidP="008F7DC4">
            <w:pPr>
              <w:spacing w:before="0"/>
              <w:cnfStyle w:val="000000100000" w:firstRow="0" w:lastRow="0" w:firstColumn="0" w:lastColumn="0" w:oddVBand="0" w:evenVBand="0" w:oddHBand="1" w:evenHBand="0" w:firstRowFirstColumn="0" w:firstRowLastColumn="0" w:lastRowFirstColumn="0" w:lastRowLastColumn="0"/>
            </w:pPr>
            <w:r>
              <w:t>Azure Migrate: Server Assessment Tool</w:t>
            </w:r>
          </w:p>
        </w:tc>
        <w:tc>
          <w:tcPr>
            <w:tcW w:w="5940" w:type="dxa"/>
            <w:tcBorders>
              <w:left w:val="none" w:sz="0" w:space="0" w:color="auto"/>
            </w:tcBorders>
            <w:vAlign w:val="center"/>
          </w:tcPr>
          <w:p w14:paraId="7350C64E" w14:textId="77777777" w:rsidR="00DE16B0" w:rsidRDefault="00DE16B0" w:rsidP="008F7DC4">
            <w:pPr>
              <w:spacing w:before="0"/>
              <w:cnfStyle w:val="000000100000" w:firstRow="0" w:lastRow="0" w:firstColumn="0" w:lastColumn="0" w:oddVBand="0" w:evenVBand="0" w:oddHBand="1" w:evenHBand="0" w:firstRowFirstColumn="0" w:firstRowLastColumn="0" w:lastRowFirstColumn="0" w:lastRowLastColumn="0"/>
            </w:pPr>
            <w:r>
              <w:t>Discover VMWare Vms</w:t>
            </w:r>
          </w:p>
          <w:p w14:paraId="7CD491A6" w14:textId="77777777" w:rsidR="00DE16B0" w:rsidRDefault="00DE16B0" w:rsidP="008F7DC4">
            <w:pPr>
              <w:spacing w:before="0"/>
              <w:cnfStyle w:val="000000100000" w:firstRow="0" w:lastRow="0" w:firstColumn="0" w:lastColumn="0" w:oddVBand="0" w:evenVBand="0" w:oddHBand="1" w:evenHBand="0" w:firstRowFirstColumn="0" w:firstRowLastColumn="0" w:lastRowFirstColumn="0" w:lastRowLastColumn="0"/>
            </w:pPr>
            <w:r>
              <w:t>Collect Machine metadata and performance metadata and migrate</w:t>
            </w:r>
          </w:p>
        </w:tc>
      </w:tr>
    </w:tbl>
    <w:p w14:paraId="357AA3FA" w14:textId="77777777" w:rsidR="00DE16B0" w:rsidRDefault="00DE16B0" w:rsidP="00DE16B0">
      <w:pPr>
        <w:pStyle w:val="Heading1"/>
        <w:ind w:left="547" w:hanging="547"/>
        <w:rPr>
          <w:color w:val="00B0F0"/>
        </w:rPr>
      </w:pPr>
      <w:bookmarkStart w:id="10" w:name="_Toc42624006"/>
      <w:bookmarkStart w:id="11" w:name="_Toc42625062"/>
      <w:r>
        <w:rPr>
          <w:color w:val="00B0F0"/>
        </w:rPr>
        <w:t>Azure Server Migration Architecture</w:t>
      </w:r>
      <w:bookmarkEnd w:id="10"/>
      <w:bookmarkEnd w:id="11"/>
    </w:p>
    <w:p w14:paraId="3CF18B2F" w14:textId="77777777" w:rsidR="00DE16B0" w:rsidRDefault="00DE16B0" w:rsidP="008F7DC4">
      <w:pPr>
        <w:spacing w:line="360" w:lineRule="auto"/>
        <w:ind w:left="540"/>
        <w:jc w:val="both"/>
      </w:pPr>
      <w:r>
        <w:t xml:space="preserve">Below architecture diagram defines 3 </w:t>
      </w:r>
      <w:r w:rsidR="008F7DC4">
        <w:t>scenarios</w:t>
      </w:r>
      <w:r>
        <w:t xml:space="preserve"> that cover</w:t>
      </w:r>
      <w:r w:rsidR="000F7E59">
        <w:t>s</w:t>
      </w:r>
      <w:r>
        <w:t xml:space="preserve"> the Physical to Azure Migration, Hyper-V to Azure Migration and VMWare to Azure Migration also includes Windows and Linux Operating System.</w:t>
      </w:r>
    </w:p>
    <w:p w14:paraId="197560FE" w14:textId="77777777" w:rsidR="00DE16B0" w:rsidRPr="003C4B05" w:rsidRDefault="00DE16B0" w:rsidP="00DE16B0"/>
    <w:p w14:paraId="4716BEB9" w14:textId="77777777" w:rsidR="00DE16B0" w:rsidRDefault="00DE16B0" w:rsidP="00DE16B0">
      <w:pPr>
        <w:ind w:firstLine="547"/>
        <w:rPr>
          <w:rFonts w:asciiTheme="majorHAnsi" w:hAnsiTheme="majorHAnsi" w:cs="Arial"/>
          <w:b/>
          <w:bCs/>
          <w:color w:val="00B0F0"/>
          <w:kern w:val="32"/>
          <w:sz w:val="28"/>
          <w:szCs w:val="32"/>
        </w:rPr>
      </w:pPr>
      <w:r>
        <w:rPr>
          <w:noProof/>
        </w:rPr>
        <w:drawing>
          <wp:anchor distT="0" distB="0" distL="114300" distR="114300" simplePos="0" relativeHeight="251659264" behindDoc="0" locked="0" layoutInCell="1" allowOverlap="1" wp14:anchorId="7AF2C610" wp14:editId="4EA54A6C">
            <wp:simplePos x="0" y="0"/>
            <wp:positionH relativeFrom="column">
              <wp:posOffset>171450</wp:posOffset>
            </wp:positionH>
            <wp:positionV relativeFrom="paragraph">
              <wp:posOffset>0</wp:posOffset>
            </wp:positionV>
            <wp:extent cx="5979160" cy="3775710"/>
            <wp:effectExtent l="0" t="0" r="254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79160" cy="3775710"/>
                    </a:xfrm>
                    <a:prstGeom prst="rect">
                      <a:avLst/>
                    </a:prstGeom>
                  </pic:spPr>
                </pic:pic>
              </a:graphicData>
            </a:graphic>
            <wp14:sizeRelH relativeFrom="margin">
              <wp14:pctWidth>0</wp14:pctWidth>
            </wp14:sizeRelH>
            <wp14:sizeRelV relativeFrom="margin">
              <wp14:pctHeight>0</wp14:pctHeight>
            </wp14:sizeRelV>
          </wp:anchor>
        </w:drawing>
      </w:r>
      <w:bookmarkEnd w:id="5"/>
    </w:p>
    <w:p w14:paraId="4E9F9FDD" w14:textId="77777777" w:rsidR="00DE16B0" w:rsidRDefault="00DE16B0" w:rsidP="00DE16B0">
      <w:pPr>
        <w:pStyle w:val="Heading1"/>
        <w:spacing w:before="0" w:after="0"/>
        <w:ind w:left="547" w:hanging="547"/>
        <w:rPr>
          <w:color w:val="00B0F0"/>
        </w:rPr>
      </w:pPr>
      <w:bookmarkStart w:id="12" w:name="_Toc42624007"/>
      <w:bookmarkStart w:id="13" w:name="_Toc42625063"/>
      <w:r>
        <w:rPr>
          <w:color w:val="00B0F0"/>
        </w:rPr>
        <w:t>Requirements</w:t>
      </w:r>
      <w:bookmarkEnd w:id="12"/>
      <w:bookmarkEnd w:id="13"/>
    </w:p>
    <w:bookmarkEnd w:id="6"/>
    <w:bookmarkEnd w:id="7"/>
    <w:p w14:paraId="5CC4C743" w14:textId="77777777" w:rsidR="00DE16B0" w:rsidRDefault="00DE16B0" w:rsidP="008F7DC4">
      <w:pPr>
        <w:spacing w:line="360" w:lineRule="auto"/>
        <w:ind w:left="540" w:firstLine="7"/>
        <w:jc w:val="both"/>
      </w:pPr>
      <w:r>
        <w:t>Below is a list of requirements for various configurations needed for the deployment of the Migration Process.</w:t>
      </w:r>
    </w:p>
    <w:p w14:paraId="041D375A" w14:textId="77777777" w:rsidR="00DE16B0" w:rsidRDefault="00DE16B0" w:rsidP="008F7DC4">
      <w:pPr>
        <w:pStyle w:val="ListParagraph"/>
        <w:numPr>
          <w:ilvl w:val="0"/>
          <w:numId w:val="2"/>
        </w:numPr>
        <w:spacing w:before="0" w:after="0" w:line="360" w:lineRule="auto"/>
      </w:pPr>
      <w:r>
        <w:t>Physical Servers and VMs: List any VMs or servers included in the Assessment workload.</w:t>
      </w:r>
    </w:p>
    <w:p w14:paraId="6FE11B49" w14:textId="77777777" w:rsidR="00DE16B0" w:rsidRDefault="00DE16B0" w:rsidP="008F7DC4">
      <w:pPr>
        <w:pStyle w:val="ListParagraph"/>
        <w:numPr>
          <w:ilvl w:val="0"/>
          <w:numId w:val="2"/>
        </w:numPr>
        <w:spacing w:before="0" w:after="0" w:line="360" w:lineRule="auto"/>
      </w:pPr>
      <w:r>
        <w:t>Storage: List of all the storage configured for servers and capacity included in the workload</w:t>
      </w:r>
    </w:p>
    <w:p w14:paraId="29E0A413" w14:textId="77777777" w:rsidR="00DE16B0" w:rsidRDefault="00DE16B0" w:rsidP="008F7DC4">
      <w:pPr>
        <w:pStyle w:val="ListParagraph"/>
        <w:numPr>
          <w:ilvl w:val="0"/>
          <w:numId w:val="2"/>
        </w:numPr>
        <w:spacing w:before="0" w:after="0" w:line="360" w:lineRule="auto"/>
      </w:pPr>
      <w:r>
        <w:t>Applications: List any applications included in this Assessment workload.</w:t>
      </w:r>
    </w:p>
    <w:p w14:paraId="2A033DC0" w14:textId="77777777" w:rsidR="00DE16B0" w:rsidRDefault="00DE16B0" w:rsidP="008F7DC4">
      <w:pPr>
        <w:pStyle w:val="ListParagraph"/>
        <w:numPr>
          <w:ilvl w:val="0"/>
          <w:numId w:val="2"/>
        </w:numPr>
        <w:spacing w:before="0" w:after="0" w:line="360" w:lineRule="auto"/>
      </w:pPr>
      <w:r>
        <w:t xml:space="preserve">Operating Systems: List of any operating systems </w:t>
      </w:r>
      <w:r w:rsidR="008F7DC4">
        <w:t>included</w:t>
      </w:r>
      <w:r>
        <w:t xml:space="preserve"> in the </w:t>
      </w:r>
      <w:r w:rsidR="008F7DC4">
        <w:t>Assessment</w:t>
      </w:r>
      <w:r>
        <w:t xml:space="preserve"> workload.</w:t>
      </w:r>
    </w:p>
    <w:p w14:paraId="5964C837" w14:textId="77777777" w:rsidR="00DE16B0" w:rsidRDefault="00DE16B0" w:rsidP="008F7DC4">
      <w:pPr>
        <w:pStyle w:val="ListParagraph"/>
        <w:numPr>
          <w:ilvl w:val="0"/>
          <w:numId w:val="2"/>
        </w:numPr>
        <w:spacing w:before="0" w:after="0" w:line="360" w:lineRule="auto"/>
      </w:pPr>
      <w:r>
        <w:t xml:space="preserve">Dependencies: List any asset dependencies not included in the </w:t>
      </w:r>
      <w:r w:rsidR="008F7DC4">
        <w:t>Assessment</w:t>
      </w:r>
      <w:r>
        <w:t xml:space="preserve"> workload.</w:t>
      </w:r>
      <w:bookmarkStart w:id="14" w:name="_Toc411839366"/>
      <w:bookmarkStart w:id="15" w:name="_Toc412029997"/>
    </w:p>
    <w:p w14:paraId="0A61BB2D" w14:textId="77777777" w:rsidR="00DE16B0" w:rsidRPr="008F7DC4" w:rsidRDefault="00DE16B0" w:rsidP="008F7DC4">
      <w:pPr>
        <w:pStyle w:val="Heading2"/>
        <w:tabs>
          <w:tab w:val="clear" w:pos="360"/>
          <w:tab w:val="left" w:pos="540"/>
        </w:tabs>
        <w:jc w:val="both"/>
        <w:rPr>
          <w:rFonts w:cs="Calibri"/>
        </w:rPr>
      </w:pPr>
      <w:bookmarkStart w:id="16" w:name="_Toc42624008"/>
      <w:bookmarkStart w:id="17" w:name="_Toc42625064"/>
      <w:r w:rsidRPr="008F7DC4">
        <w:rPr>
          <w:rFonts w:cs="Calibri"/>
        </w:rPr>
        <w:t>Operational Requirements</w:t>
      </w:r>
      <w:bookmarkEnd w:id="14"/>
      <w:bookmarkEnd w:id="15"/>
      <w:bookmarkEnd w:id="16"/>
      <w:bookmarkEnd w:id="17"/>
    </w:p>
    <w:p w14:paraId="625674FA" w14:textId="77777777" w:rsidR="00DE16B0" w:rsidRDefault="00DE16B0" w:rsidP="008F7DC4">
      <w:pPr>
        <w:pStyle w:val="BodyText"/>
        <w:keepNext/>
        <w:ind w:left="720"/>
      </w:pPr>
      <w:r>
        <w:t>The following is a list of operational requirements:</w:t>
      </w:r>
    </w:p>
    <w:p w14:paraId="29D28D8A" w14:textId="77777777" w:rsidR="00DE16B0" w:rsidRDefault="00DE16B0" w:rsidP="008F7DC4">
      <w:pPr>
        <w:pStyle w:val="ListParagraph"/>
        <w:numPr>
          <w:ilvl w:val="0"/>
          <w:numId w:val="2"/>
        </w:numPr>
        <w:spacing w:before="0" w:after="0" w:line="360" w:lineRule="auto"/>
      </w:pPr>
      <w:r>
        <w:t>The Servers to be migrated are Supported by the deployment method and Healthy</w:t>
      </w:r>
    </w:p>
    <w:p w14:paraId="0D8C9E22" w14:textId="77777777" w:rsidR="00DE16B0" w:rsidRDefault="00DE16B0" w:rsidP="008F7DC4">
      <w:pPr>
        <w:pStyle w:val="ListParagraph"/>
        <w:numPr>
          <w:ilvl w:val="0"/>
          <w:numId w:val="2"/>
        </w:numPr>
        <w:spacing w:before="0" w:after="0" w:line="360" w:lineRule="auto"/>
      </w:pPr>
      <w:r>
        <w:t>Active Directory installed and healthy</w:t>
      </w:r>
    </w:p>
    <w:p w14:paraId="669B3E43" w14:textId="77777777" w:rsidR="00DE16B0" w:rsidRDefault="00DE16B0" w:rsidP="008F7DC4">
      <w:pPr>
        <w:pStyle w:val="ListParagraph"/>
        <w:numPr>
          <w:ilvl w:val="0"/>
          <w:numId w:val="2"/>
        </w:numPr>
        <w:spacing w:before="0" w:after="0" w:line="360" w:lineRule="auto"/>
      </w:pPr>
      <w:r>
        <w:t>ExpressRoute S2S connectivity from On-premises to Azure</w:t>
      </w:r>
    </w:p>
    <w:p w14:paraId="6CB08E38" w14:textId="77777777" w:rsidR="00DE16B0" w:rsidRDefault="00DE16B0" w:rsidP="008F7DC4">
      <w:pPr>
        <w:pStyle w:val="ListParagraph"/>
        <w:numPr>
          <w:ilvl w:val="0"/>
          <w:numId w:val="2"/>
        </w:numPr>
        <w:spacing w:before="0" w:after="0" w:line="360" w:lineRule="auto"/>
      </w:pPr>
      <w:r>
        <w:t>Coordination with Customer on outage is necessary</w:t>
      </w:r>
    </w:p>
    <w:p w14:paraId="4C4CDA2D" w14:textId="77777777" w:rsidR="00DE16B0" w:rsidRDefault="00DE16B0" w:rsidP="008F7DC4">
      <w:pPr>
        <w:pStyle w:val="ListParagraph"/>
        <w:numPr>
          <w:ilvl w:val="0"/>
          <w:numId w:val="2"/>
        </w:numPr>
        <w:spacing w:before="0" w:after="0" w:line="360" w:lineRule="auto"/>
      </w:pPr>
      <w:r>
        <w:t>Each Application is tested and certified on the utilized resources (Azure)</w:t>
      </w:r>
    </w:p>
    <w:p w14:paraId="3B5AD67A" w14:textId="77777777" w:rsidR="00DE16B0" w:rsidRDefault="00DE16B0" w:rsidP="00194ECC">
      <w:bookmarkStart w:id="18" w:name="_Toc411839384"/>
      <w:bookmarkStart w:id="19" w:name="_Toc412030015"/>
      <w:bookmarkEnd w:id="0"/>
    </w:p>
    <w:p w14:paraId="26E2CFE7" w14:textId="77777777" w:rsidR="00DE16B0" w:rsidRDefault="00DE16B0" w:rsidP="00DE16B0">
      <w:pPr>
        <w:tabs>
          <w:tab w:val="left" w:pos="2400"/>
        </w:tabs>
      </w:pPr>
      <w:r>
        <w:tab/>
      </w:r>
    </w:p>
    <w:p w14:paraId="664E92A1" w14:textId="77777777" w:rsidR="00DE16B0" w:rsidRPr="00DD7394" w:rsidRDefault="00DE16B0" w:rsidP="00DE16B0"/>
    <w:p w14:paraId="6F5C0FCA" w14:textId="77777777" w:rsidR="00DE16B0" w:rsidRDefault="00DE16B0" w:rsidP="00DE16B0">
      <w:pPr>
        <w:pStyle w:val="Heading1"/>
        <w:spacing w:before="0" w:after="0"/>
        <w:ind w:left="547" w:hanging="547"/>
        <w:rPr>
          <w:color w:val="00B0F0"/>
        </w:rPr>
      </w:pPr>
      <w:bookmarkStart w:id="20" w:name="_Toc42624009"/>
      <w:bookmarkStart w:id="21" w:name="_Toc42625065"/>
      <w:r>
        <w:rPr>
          <w:color w:val="00B0F0"/>
        </w:rPr>
        <w:t>Azure Security Policy</w:t>
      </w:r>
      <w:bookmarkEnd w:id="20"/>
      <w:bookmarkEnd w:id="21"/>
      <w:r>
        <w:rPr>
          <w:color w:val="00B0F0"/>
        </w:rPr>
        <w:t xml:space="preserve"> </w:t>
      </w:r>
    </w:p>
    <w:p w14:paraId="39D6A867" w14:textId="77777777" w:rsidR="00DE16B0" w:rsidRDefault="00DE16B0" w:rsidP="008F7DC4">
      <w:pPr>
        <w:spacing w:line="360" w:lineRule="auto"/>
        <w:jc w:val="both"/>
      </w:pPr>
      <w:r>
        <w:t>Azure Security policy can be configured in 2 way</w:t>
      </w:r>
      <w:r w:rsidR="000F7E59">
        <w:t>s</w:t>
      </w:r>
      <w:r>
        <w:t xml:space="preserve">, one is </w:t>
      </w:r>
      <w:r w:rsidR="000F7E59">
        <w:t xml:space="preserve">by </w:t>
      </w:r>
      <w:r>
        <w:t>deploying the build-in migration security policy and another way is to configure customized policy based on the Infrastructure requirement.</w:t>
      </w:r>
    </w:p>
    <w:p w14:paraId="7B07402C" w14:textId="77777777" w:rsidR="00DE16B0" w:rsidRDefault="00DE16B0" w:rsidP="008F7DC4">
      <w:pPr>
        <w:spacing w:line="360" w:lineRule="auto"/>
        <w:jc w:val="both"/>
      </w:pPr>
      <w:r>
        <w:t>Below is a list of various configurations needed for the deployment of the Security Policy Process.</w:t>
      </w:r>
    </w:p>
    <w:p w14:paraId="6035C022" w14:textId="77777777" w:rsidR="00DE16B0" w:rsidRDefault="00DE16B0" w:rsidP="008F7DC4">
      <w:pPr>
        <w:pStyle w:val="ListParagraph"/>
        <w:numPr>
          <w:ilvl w:val="0"/>
          <w:numId w:val="2"/>
        </w:numPr>
        <w:spacing w:before="0" w:after="0" w:line="360" w:lineRule="auto"/>
      </w:pPr>
      <w:r>
        <w:t>Physical Servers and VMs: List any VMs or servers included in the Assessment workload.</w:t>
      </w:r>
    </w:p>
    <w:p w14:paraId="0918C4C7" w14:textId="77777777" w:rsidR="00DE16B0" w:rsidRDefault="00DE16B0" w:rsidP="008F7DC4">
      <w:pPr>
        <w:pStyle w:val="ListParagraph"/>
        <w:numPr>
          <w:ilvl w:val="0"/>
          <w:numId w:val="2"/>
        </w:numPr>
        <w:spacing w:before="0" w:after="0" w:line="360" w:lineRule="auto"/>
      </w:pPr>
      <w:r>
        <w:t>Storage: List of all the storage configured for servers and capacity included in the workload</w:t>
      </w:r>
    </w:p>
    <w:p w14:paraId="1641B367" w14:textId="77777777" w:rsidR="00DE16B0" w:rsidRDefault="00DE16B0" w:rsidP="008F7DC4">
      <w:pPr>
        <w:pStyle w:val="ListParagraph"/>
        <w:numPr>
          <w:ilvl w:val="0"/>
          <w:numId w:val="2"/>
        </w:numPr>
        <w:spacing w:before="0" w:after="0" w:line="360" w:lineRule="auto"/>
      </w:pPr>
      <w:r>
        <w:t>Applications: List any applications included in this Assessment workload.</w:t>
      </w:r>
    </w:p>
    <w:p w14:paraId="718C373A" w14:textId="77777777" w:rsidR="00DE16B0" w:rsidRDefault="00DE16B0" w:rsidP="008F7DC4">
      <w:pPr>
        <w:spacing w:after="120" w:line="360" w:lineRule="auto"/>
        <w:jc w:val="both"/>
      </w:pPr>
      <w:r>
        <w:t xml:space="preserve">Azure policy reduces the time needed to audit your environments by maintaining all your compliance data in a centralized place. Set guardrails throughout your resources to help ensure </w:t>
      </w:r>
      <w:r w:rsidR="008F7DC4">
        <w:t>cloud</w:t>
      </w:r>
      <w:r>
        <w:t xml:space="preserve"> compliance and avoid misconfigurations. The security policy implementation helps to automate the external approval process and maintain in core of the Azure Platform. </w:t>
      </w:r>
      <w:r w:rsidR="008F7DC4">
        <w:t>Also,</w:t>
      </w:r>
      <w:r>
        <w:t xml:space="preserve"> it </w:t>
      </w:r>
      <w:r w:rsidR="008F7DC4">
        <w:t>maintains</w:t>
      </w:r>
      <w:r>
        <w:t xml:space="preserve"> the cloud spending cost and provide high </w:t>
      </w:r>
      <w:r w:rsidR="008F7DC4">
        <w:t>valuable</w:t>
      </w:r>
      <w:r>
        <w:t xml:space="preserve"> for </w:t>
      </w:r>
      <w:r w:rsidR="008F7DC4">
        <w:t>investment</w:t>
      </w:r>
      <w:r>
        <w:t>.</w:t>
      </w:r>
    </w:p>
    <w:p w14:paraId="2B2FB0D8" w14:textId="77777777" w:rsidR="00DE16B0" w:rsidRDefault="00DE16B0" w:rsidP="008F7DC4">
      <w:pPr>
        <w:spacing w:before="0" w:line="360" w:lineRule="auto"/>
        <w:jc w:val="both"/>
      </w:pPr>
      <w:r w:rsidRPr="005448A9">
        <w:rPr>
          <w:b/>
          <w:bCs/>
        </w:rPr>
        <w:t>Security Baseline Policy</w:t>
      </w:r>
      <w:r w:rsidR="008F7DC4">
        <w:rPr>
          <w:b/>
          <w:bCs/>
        </w:rPr>
        <w:t xml:space="preserve">: </w:t>
      </w:r>
      <w:r>
        <w:t xml:space="preserve">Security Baseline policy should support the cloud </w:t>
      </w:r>
      <w:r w:rsidR="000F7E59">
        <w:t>adoption</w:t>
      </w:r>
      <w:r>
        <w:t xml:space="preserve"> design decisions to ensure compliance with governance efforts. </w:t>
      </w:r>
    </w:p>
    <w:p w14:paraId="5FA02336" w14:textId="77777777" w:rsidR="00DE16B0" w:rsidRDefault="00DE16B0" w:rsidP="008F7DC4">
      <w:pPr>
        <w:spacing w:line="360" w:lineRule="auto"/>
        <w:jc w:val="both"/>
      </w:pPr>
      <w:r w:rsidRPr="00456BF7">
        <w:rPr>
          <w:b/>
          <w:bCs/>
        </w:rPr>
        <w:t>Asset classification</w:t>
      </w:r>
      <w:r>
        <w:t>: All deployed assets must be categorized by criticality and data classification. Classifications must be reviewed by the Cloud Governance team and the application owner before deployment to the cloud.</w:t>
      </w:r>
    </w:p>
    <w:p w14:paraId="1D73B92B" w14:textId="77777777" w:rsidR="00DE16B0" w:rsidRDefault="00DE16B0" w:rsidP="008F7DC4">
      <w:pPr>
        <w:spacing w:line="360" w:lineRule="auto"/>
        <w:jc w:val="both"/>
      </w:pPr>
      <w:r w:rsidRPr="00456BF7">
        <w:rPr>
          <w:b/>
          <w:bCs/>
        </w:rPr>
        <w:t>Network isolation</w:t>
      </w:r>
      <w:r>
        <w:t>: Network subnets containing protected data must be isolated from any other subnets. Network traffic between protected data subnets is to be audited regularly.</w:t>
      </w:r>
    </w:p>
    <w:p w14:paraId="7B936555" w14:textId="77777777" w:rsidR="00DE16B0" w:rsidRDefault="00DE16B0" w:rsidP="008F7DC4">
      <w:pPr>
        <w:spacing w:line="360" w:lineRule="auto"/>
        <w:jc w:val="both"/>
      </w:pPr>
      <w:r w:rsidRPr="00456BF7">
        <w:rPr>
          <w:b/>
          <w:bCs/>
        </w:rPr>
        <w:t>Secure on-premises connectivity</w:t>
      </w:r>
      <w:r>
        <w:t>: All connections between the on-premises and cloud networks must take place either through a secure encrypted VPN connection or a dedicated private WAN link.</w:t>
      </w:r>
    </w:p>
    <w:p w14:paraId="60A36F5A" w14:textId="77777777" w:rsidR="00DE16B0" w:rsidRDefault="00DE16B0" w:rsidP="00DE16B0">
      <w:pPr>
        <w:ind w:left="288"/>
        <w:rPr>
          <w:b/>
          <w:bCs/>
        </w:rPr>
      </w:pPr>
    </w:p>
    <w:p w14:paraId="78F3CB19" w14:textId="77777777" w:rsidR="00DE16B0" w:rsidRDefault="00DE16B0" w:rsidP="008F7DC4">
      <w:pPr>
        <w:pStyle w:val="Heading2"/>
        <w:tabs>
          <w:tab w:val="clear" w:pos="360"/>
          <w:tab w:val="left" w:pos="450"/>
        </w:tabs>
      </w:pPr>
      <w:bookmarkStart w:id="22" w:name="_Toc42624010"/>
      <w:bookmarkStart w:id="23" w:name="_Toc42625066"/>
      <w:r>
        <w:t xml:space="preserve">How </w:t>
      </w:r>
      <w:r w:rsidR="008F7DC4">
        <w:t>to run</w:t>
      </w:r>
      <w:r>
        <w:t xml:space="preserve"> JSON Policy Script</w:t>
      </w:r>
      <w:bookmarkEnd w:id="22"/>
      <w:bookmarkEnd w:id="23"/>
    </w:p>
    <w:p w14:paraId="3BC38481" w14:textId="77777777" w:rsidR="00DE16B0" w:rsidRDefault="00DE16B0" w:rsidP="008F7DC4">
      <w:pPr>
        <w:pStyle w:val="BodyText"/>
        <w:spacing w:line="360" w:lineRule="auto"/>
      </w:pPr>
      <w:r>
        <w:t xml:space="preserve">The custom script executes on </w:t>
      </w:r>
      <w:r w:rsidR="008F7DC4">
        <w:t>Azure</w:t>
      </w:r>
      <w:r>
        <w:t xml:space="preserve"> Virtual machines can be used post deployment and it require custom script extension. Scripts can be downloaded from Azure Storage or GitHub or provided to the Azure portal at extension run time.</w:t>
      </w:r>
    </w:p>
    <w:p w14:paraId="56BF1D9B" w14:textId="77777777" w:rsidR="00DE16B0" w:rsidRDefault="00DE16B0" w:rsidP="008F7DC4">
      <w:pPr>
        <w:pStyle w:val="BodyText"/>
        <w:spacing w:line="360" w:lineRule="auto"/>
      </w:pPr>
      <w:r>
        <w:t>The custom script extension integrates with Azure resources manager templates, and can be run using the Azure CLI, Powershell, Azure Portal, or the Azure Virtual Machine REST API.</w:t>
      </w:r>
    </w:p>
    <w:p w14:paraId="7CDFADDA" w14:textId="77777777" w:rsidR="00DE16B0" w:rsidRDefault="00DE16B0" w:rsidP="008F7DC4">
      <w:pPr>
        <w:pStyle w:val="BodyText"/>
        <w:spacing w:line="360" w:lineRule="auto"/>
      </w:pPr>
      <w:r>
        <w:t>Policy can be used from the Built-In policy that was already defined in the Azure portal or can be customized by using the existing JSON policy.</w:t>
      </w:r>
    </w:p>
    <w:p w14:paraId="2C1D8FA3" w14:textId="77777777" w:rsidR="00DE16B0" w:rsidRPr="00AD07B1" w:rsidRDefault="00DE16B0" w:rsidP="008F7DC4">
      <w:pPr>
        <w:pStyle w:val="BodyText"/>
        <w:spacing w:line="360" w:lineRule="auto"/>
      </w:pPr>
      <w:r>
        <w:t xml:space="preserve">Below </w:t>
      </w:r>
      <w:proofErr w:type="gramStart"/>
      <w:r>
        <w:t>is</w:t>
      </w:r>
      <w:proofErr w:type="gramEnd"/>
      <w:r>
        <w:t xml:space="preserve"> the steps to apply the customized policy in Azure Portal,</w:t>
      </w:r>
    </w:p>
    <w:p w14:paraId="051C3B68" w14:textId="77777777" w:rsidR="00DE16B0" w:rsidRDefault="00DE16B0" w:rsidP="00DE16B0">
      <w:pPr>
        <w:ind w:left="288" w:firstLine="288"/>
        <w:rPr>
          <w:b/>
          <w:bCs/>
        </w:rPr>
      </w:pPr>
      <w:r>
        <w:rPr>
          <w:noProof/>
        </w:rPr>
        <w:drawing>
          <wp:anchor distT="0" distB="0" distL="114300" distR="114300" simplePos="0" relativeHeight="251662336" behindDoc="0" locked="0" layoutInCell="1" allowOverlap="1" wp14:anchorId="3624FFC1" wp14:editId="447465E1">
            <wp:simplePos x="0" y="0"/>
            <wp:positionH relativeFrom="column">
              <wp:posOffset>95250</wp:posOffset>
            </wp:positionH>
            <wp:positionV relativeFrom="paragraph">
              <wp:posOffset>0</wp:posOffset>
            </wp:positionV>
            <wp:extent cx="5113020" cy="262001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13020" cy="2620010"/>
                    </a:xfrm>
                    <a:prstGeom prst="rect">
                      <a:avLst/>
                    </a:prstGeom>
                  </pic:spPr>
                </pic:pic>
              </a:graphicData>
            </a:graphic>
            <wp14:sizeRelH relativeFrom="margin">
              <wp14:pctWidth>0</wp14:pctWidth>
            </wp14:sizeRelH>
            <wp14:sizeRelV relativeFrom="margin">
              <wp14:pctHeight>0</wp14:pctHeight>
            </wp14:sizeRelV>
          </wp:anchor>
        </w:drawing>
      </w:r>
    </w:p>
    <w:p w14:paraId="271FBA6F" w14:textId="77777777" w:rsidR="00DE16B0" w:rsidRPr="00F52657" w:rsidRDefault="008F7DC4" w:rsidP="008F7DC4">
      <w:pPr>
        <w:spacing w:before="0"/>
      </w:pPr>
      <w:r>
        <w:rPr>
          <w:noProof/>
        </w:rPr>
        <w:drawing>
          <wp:anchor distT="0" distB="0" distL="114300" distR="114300" simplePos="0" relativeHeight="251664384" behindDoc="0" locked="0" layoutInCell="1" allowOverlap="1" wp14:anchorId="40754F9D" wp14:editId="6F7C22EF">
            <wp:simplePos x="0" y="0"/>
            <wp:positionH relativeFrom="column">
              <wp:posOffset>445770</wp:posOffset>
            </wp:positionH>
            <wp:positionV relativeFrom="paragraph">
              <wp:posOffset>200025</wp:posOffset>
            </wp:positionV>
            <wp:extent cx="4305300" cy="573468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305300" cy="5734685"/>
                    </a:xfrm>
                    <a:prstGeom prst="rect">
                      <a:avLst/>
                    </a:prstGeom>
                  </pic:spPr>
                </pic:pic>
              </a:graphicData>
            </a:graphic>
            <wp14:sizeRelH relativeFrom="margin">
              <wp14:pctWidth>0</wp14:pctWidth>
            </wp14:sizeRelH>
            <wp14:sizeRelV relativeFrom="margin">
              <wp14:pctHeight>0</wp14:pctHeight>
            </wp14:sizeRelV>
          </wp:anchor>
        </w:drawing>
      </w:r>
      <w:r w:rsidR="00DE16B0" w:rsidRPr="00F52657">
        <w:t>Go to the Policy Definitions and click the policy definition</w:t>
      </w:r>
    </w:p>
    <w:p w14:paraId="073FE9E7" w14:textId="77777777" w:rsidR="00DE16B0" w:rsidRDefault="00DE16B0" w:rsidP="008F7DC4">
      <w:pPr>
        <w:rPr>
          <w:b/>
          <w:bCs/>
        </w:rPr>
      </w:pPr>
      <w:r>
        <w:rPr>
          <w:noProof/>
        </w:rPr>
        <w:t xml:space="preserve"> </w:t>
      </w:r>
    </w:p>
    <w:p w14:paraId="39FCF186" w14:textId="77777777" w:rsidR="00DE16B0" w:rsidRDefault="00DE16B0" w:rsidP="008F7DC4">
      <w:pPr>
        <w:spacing w:line="360" w:lineRule="auto"/>
        <w:jc w:val="both"/>
      </w:pPr>
      <w:r w:rsidRPr="00F52657">
        <w:t xml:space="preserve">Define the customized </w:t>
      </w:r>
      <w:r w:rsidR="008F7DC4" w:rsidRPr="00F52657">
        <w:t>policy,</w:t>
      </w:r>
      <w:r>
        <w:t xml:space="preserve"> Type the Name of the Policy and the Category </w:t>
      </w:r>
      <w:r w:rsidRPr="00F52657">
        <w:t>and click Save. You can also import the policy from GitHub by clicking the Import policy option shown in the above screen.</w:t>
      </w:r>
    </w:p>
    <w:p w14:paraId="37CA7AC5" w14:textId="77777777" w:rsidR="00DE16B0" w:rsidRDefault="008F7DC4" w:rsidP="008F7DC4">
      <w:pPr>
        <w:spacing w:line="360" w:lineRule="auto"/>
        <w:jc w:val="both"/>
      </w:pPr>
      <w:r>
        <w:t>Assigning</w:t>
      </w:r>
      <w:r w:rsidR="00DE16B0">
        <w:t xml:space="preserve"> the customized policy to the Compute category /Deployed VMs.</w:t>
      </w:r>
    </w:p>
    <w:p w14:paraId="6DD4B047" w14:textId="77777777" w:rsidR="00DE16B0" w:rsidRDefault="008F7DC4" w:rsidP="00DE16B0">
      <w:pPr>
        <w:ind w:left="288" w:firstLine="288"/>
      </w:pPr>
      <w:r>
        <w:rPr>
          <w:noProof/>
        </w:rPr>
        <w:drawing>
          <wp:anchor distT="0" distB="0" distL="114300" distR="114300" simplePos="0" relativeHeight="251666432" behindDoc="0" locked="0" layoutInCell="1" allowOverlap="1" wp14:anchorId="0855100E" wp14:editId="4255ABD9">
            <wp:simplePos x="0" y="0"/>
            <wp:positionH relativeFrom="column">
              <wp:posOffset>361950</wp:posOffset>
            </wp:positionH>
            <wp:positionV relativeFrom="paragraph">
              <wp:posOffset>4878070</wp:posOffset>
            </wp:positionV>
            <wp:extent cx="3743326" cy="2551884"/>
            <wp:effectExtent l="0" t="0" r="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43326" cy="2551884"/>
                    </a:xfrm>
                    <a:prstGeom prst="rect">
                      <a:avLst/>
                    </a:prstGeom>
                  </pic:spPr>
                </pic:pic>
              </a:graphicData>
            </a:graphic>
          </wp:anchor>
        </w:drawing>
      </w:r>
      <w:r w:rsidR="00DE16B0">
        <w:rPr>
          <w:noProof/>
        </w:rPr>
        <w:drawing>
          <wp:anchor distT="0" distB="0" distL="114300" distR="114300" simplePos="0" relativeHeight="251665408" behindDoc="0" locked="0" layoutInCell="1" allowOverlap="1" wp14:anchorId="6BAE7799" wp14:editId="1F2F2BA2">
            <wp:simplePos x="0" y="0"/>
            <wp:positionH relativeFrom="column">
              <wp:posOffset>361950</wp:posOffset>
            </wp:positionH>
            <wp:positionV relativeFrom="paragraph">
              <wp:posOffset>75565</wp:posOffset>
            </wp:positionV>
            <wp:extent cx="4124326" cy="4497878"/>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24326" cy="4497878"/>
                    </a:xfrm>
                    <a:prstGeom prst="rect">
                      <a:avLst/>
                    </a:prstGeom>
                  </pic:spPr>
                </pic:pic>
              </a:graphicData>
            </a:graphic>
          </wp:anchor>
        </w:drawing>
      </w:r>
    </w:p>
    <w:p w14:paraId="137B9665" w14:textId="77777777" w:rsidR="00DE16B0" w:rsidRDefault="00DE16B0" w:rsidP="00DE16B0">
      <w:pPr>
        <w:ind w:left="288"/>
      </w:pPr>
    </w:p>
    <w:p w14:paraId="07456B40" w14:textId="77777777" w:rsidR="00DE16B0" w:rsidRDefault="00DE16B0" w:rsidP="00194ECC">
      <w:r>
        <w:t>Once the Customized policy is assigned, the policy will be enforced.</w:t>
      </w:r>
    </w:p>
    <w:p w14:paraId="0D301F77" w14:textId="77777777" w:rsidR="00DE16B0" w:rsidRDefault="00DE16B0" w:rsidP="00DE16B0">
      <w:pPr>
        <w:ind w:left="288" w:firstLine="288"/>
      </w:pPr>
    </w:p>
    <w:p w14:paraId="0A33C7F7" w14:textId="77777777" w:rsidR="00DE16B0" w:rsidRDefault="00DE16B0" w:rsidP="00194ECC">
      <w:pPr>
        <w:pStyle w:val="Heading2"/>
        <w:spacing w:before="120" w:after="120"/>
      </w:pPr>
      <w:bookmarkStart w:id="24" w:name="_Toc42624011"/>
      <w:bookmarkStart w:id="25" w:name="_Toc42625067"/>
      <w:r>
        <w:t>Major Azure Policy for security</w:t>
      </w:r>
      <w:bookmarkEnd w:id="24"/>
      <w:bookmarkEnd w:id="25"/>
    </w:p>
    <w:p w14:paraId="7F8AF6E3" w14:textId="77777777" w:rsidR="00DE16B0" w:rsidRDefault="00DE16B0" w:rsidP="00194ECC">
      <w:pPr>
        <w:spacing w:before="0" w:line="360" w:lineRule="auto"/>
        <w:jc w:val="both"/>
      </w:pPr>
      <w:r>
        <w:t xml:space="preserve">Microsoft provides security </w:t>
      </w:r>
      <w:r w:rsidR="00194ECC">
        <w:t>capabilities</w:t>
      </w:r>
      <w:r>
        <w:t xml:space="preserve"> to protect enterprise Azure subscriptions,</w:t>
      </w:r>
      <w:r w:rsidR="00194ECC">
        <w:t xml:space="preserve"> </w:t>
      </w:r>
      <w:r>
        <w:t xml:space="preserve">Cloud Security’s shared </w:t>
      </w:r>
      <w:r w:rsidR="00194ECC">
        <w:t>responsibilities</w:t>
      </w:r>
      <w:r>
        <w:t xml:space="preserve"> model require Azure </w:t>
      </w:r>
      <w:r w:rsidR="00194ECC">
        <w:t>customers</w:t>
      </w:r>
      <w:r>
        <w:t xml:space="preserve"> to deliver security in Azure Server Migration. There are 7 major critical areas of security in Azure that customers must follow to ensure their Azure workloads are secure: </w:t>
      </w:r>
    </w:p>
    <w:p w14:paraId="112E7075" w14:textId="77777777" w:rsidR="00DE16B0" w:rsidRDefault="00DE16B0" w:rsidP="00194ECC">
      <w:pPr>
        <w:spacing w:line="276" w:lineRule="auto"/>
        <w:ind w:left="576"/>
        <w:jc w:val="both"/>
      </w:pPr>
      <w:r>
        <w:t xml:space="preserve">1. Security Policy </w:t>
      </w:r>
    </w:p>
    <w:p w14:paraId="3D9CF413" w14:textId="77777777" w:rsidR="00DE16B0" w:rsidRDefault="00DE16B0" w:rsidP="00194ECC">
      <w:pPr>
        <w:spacing w:line="276" w:lineRule="auto"/>
        <w:ind w:left="576"/>
        <w:jc w:val="both"/>
      </w:pPr>
      <w:r>
        <w:t xml:space="preserve">2. Identify and Access Management </w:t>
      </w:r>
    </w:p>
    <w:p w14:paraId="494C3FE3" w14:textId="77777777" w:rsidR="00DE16B0" w:rsidRDefault="00DE16B0" w:rsidP="00194ECC">
      <w:pPr>
        <w:spacing w:line="276" w:lineRule="auto"/>
        <w:ind w:left="576"/>
        <w:jc w:val="both"/>
      </w:pPr>
      <w:r>
        <w:t xml:space="preserve">3. Storage Accounts </w:t>
      </w:r>
    </w:p>
    <w:p w14:paraId="0D3BD025" w14:textId="77777777" w:rsidR="00DE16B0" w:rsidRDefault="00DE16B0" w:rsidP="00194ECC">
      <w:pPr>
        <w:spacing w:line="276" w:lineRule="auto"/>
        <w:ind w:left="576"/>
        <w:jc w:val="both"/>
      </w:pPr>
      <w:r>
        <w:t xml:space="preserve">4. SQL Services </w:t>
      </w:r>
    </w:p>
    <w:p w14:paraId="4AACC567" w14:textId="77777777" w:rsidR="00DE16B0" w:rsidRDefault="00DE16B0" w:rsidP="00194ECC">
      <w:pPr>
        <w:spacing w:line="276" w:lineRule="auto"/>
        <w:ind w:left="576"/>
        <w:jc w:val="both"/>
      </w:pPr>
      <w:r>
        <w:t xml:space="preserve">5. Networking </w:t>
      </w:r>
    </w:p>
    <w:p w14:paraId="611DCF77" w14:textId="77777777" w:rsidR="00DE16B0" w:rsidRDefault="00DE16B0" w:rsidP="00194ECC">
      <w:pPr>
        <w:spacing w:line="276" w:lineRule="auto"/>
        <w:ind w:left="576"/>
        <w:jc w:val="both"/>
      </w:pPr>
      <w:r>
        <w:t xml:space="preserve">6. Virtual Machines </w:t>
      </w:r>
    </w:p>
    <w:p w14:paraId="4FACFA45" w14:textId="77777777" w:rsidR="00DE16B0" w:rsidRDefault="00DE16B0" w:rsidP="00194ECC">
      <w:pPr>
        <w:spacing w:line="276" w:lineRule="auto"/>
        <w:ind w:left="576"/>
        <w:jc w:val="both"/>
      </w:pPr>
      <w:r>
        <w:t xml:space="preserve">7. Miscellaneous </w:t>
      </w:r>
    </w:p>
    <w:p w14:paraId="3A0A1470" w14:textId="77777777" w:rsidR="00DE16B0" w:rsidRDefault="00DE16B0" w:rsidP="00DE16B0"/>
    <w:p w14:paraId="2FBEF1B1" w14:textId="77777777" w:rsidR="00DE16B0" w:rsidRPr="009C533D" w:rsidRDefault="00DE16B0" w:rsidP="00DE16B0">
      <w:pPr>
        <w:pStyle w:val="ListParagraph"/>
        <w:numPr>
          <w:ilvl w:val="0"/>
          <w:numId w:val="3"/>
        </w:numPr>
        <w:rPr>
          <w:b/>
          <w:bCs/>
        </w:rPr>
      </w:pPr>
      <w:r w:rsidRPr="009C533D">
        <w:rPr>
          <w:b/>
          <w:bCs/>
        </w:rPr>
        <w:t>Security Policy</w:t>
      </w:r>
    </w:p>
    <w:p w14:paraId="4B4AE772" w14:textId="77777777" w:rsidR="00DE16B0" w:rsidRDefault="00DE16B0" w:rsidP="00DE16B0"/>
    <w:tbl>
      <w:tblPr>
        <w:tblStyle w:val="GridTable5Dark-Accent1"/>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4"/>
        <w:gridCol w:w="5196"/>
        <w:gridCol w:w="2340"/>
      </w:tblGrid>
      <w:tr w:rsidR="000F7E59" w:rsidRPr="00194ECC" w14:paraId="5CA9750B" w14:textId="77777777" w:rsidTr="000F7E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top w:val="none" w:sz="0" w:space="0" w:color="auto"/>
              <w:left w:val="none" w:sz="0" w:space="0" w:color="auto"/>
              <w:right w:val="none" w:sz="0" w:space="0" w:color="auto"/>
            </w:tcBorders>
          </w:tcPr>
          <w:p w14:paraId="139DD995" w14:textId="77777777" w:rsidR="00DE16B0" w:rsidRPr="00194ECC" w:rsidRDefault="00DE16B0" w:rsidP="00194ECC">
            <w:pPr>
              <w:spacing w:before="0" w:line="276" w:lineRule="auto"/>
              <w:rPr>
                <w:rFonts w:ascii="Calibri" w:hAnsi="Calibri" w:cs="Calibri"/>
                <w:b w:val="0"/>
                <w:bCs w:val="0"/>
              </w:rPr>
            </w:pPr>
            <w:r w:rsidRPr="00194ECC">
              <w:rPr>
                <w:rFonts w:ascii="Calibri" w:hAnsi="Calibri" w:cs="Calibri"/>
              </w:rPr>
              <w:t>Policy Name</w:t>
            </w:r>
          </w:p>
        </w:tc>
        <w:tc>
          <w:tcPr>
            <w:tcW w:w="5196" w:type="dxa"/>
            <w:tcBorders>
              <w:top w:val="none" w:sz="0" w:space="0" w:color="auto"/>
              <w:left w:val="none" w:sz="0" w:space="0" w:color="auto"/>
              <w:right w:val="none" w:sz="0" w:space="0" w:color="auto"/>
            </w:tcBorders>
          </w:tcPr>
          <w:p w14:paraId="29B0E273" w14:textId="77777777" w:rsidR="00DE16B0" w:rsidRPr="00194ECC" w:rsidRDefault="00DE16B0" w:rsidP="00194ECC">
            <w:pPr>
              <w:spacing w:before="0"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194ECC">
              <w:rPr>
                <w:rFonts w:ascii="Calibri" w:hAnsi="Calibri" w:cs="Calibri"/>
              </w:rPr>
              <w:t>Description</w:t>
            </w:r>
          </w:p>
        </w:tc>
        <w:tc>
          <w:tcPr>
            <w:tcW w:w="2340" w:type="dxa"/>
            <w:tcBorders>
              <w:top w:val="none" w:sz="0" w:space="0" w:color="auto"/>
              <w:left w:val="none" w:sz="0" w:space="0" w:color="auto"/>
              <w:right w:val="none" w:sz="0" w:space="0" w:color="auto"/>
            </w:tcBorders>
          </w:tcPr>
          <w:p w14:paraId="01EC2DE6" w14:textId="77777777" w:rsidR="00DE16B0" w:rsidRPr="00194ECC" w:rsidRDefault="00DE16B0" w:rsidP="00194ECC">
            <w:pPr>
              <w:spacing w:before="0"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194ECC">
              <w:rPr>
                <w:rFonts w:ascii="Calibri" w:hAnsi="Calibri" w:cs="Calibri"/>
              </w:rPr>
              <w:t>Future Policy</w:t>
            </w:r>
          </w:p>
        </w:tc>
      </w:tr>
      <w:tr w:rsidR="000F7E59" w:rsidRPr="00194ECC" w14:paraId="50A10BDD" w14:textId="77777777" w:rsidTr="000F7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6BFC1271" w14:textId="77777777" w:rsidR="00DE16B0" w:rsidRPr="00194ECC" w:rsidRDefault="00DE16B0" w:rsidP="00194ECC">
            <w:pPr>
              <w:spacing w:before="0" w:line="276" w:lineRule="auto"/>
              <w:rPr>
                <w:rFonts w:ascii="Calibri" w:hAnsi="Calibri" w:cs="Calibri"/>
              </w:rPr>
            </w:pPr>
            <w:r w:rsidRPr="00194ECC">
              <w:rPr>
                <w:rFonts w:ascii="Calibri" w:hAnsi="Calibri" w:cs="Calibri"/>
              </w:rPr>
              <w:t>OS Vulnerabilities is set to ON</w:t>
            </w:r>
          </w:p>
        </w:tc>
        <w:tc>
          <w:tcPr>
            <w:tcW w:w="5196" w:type="dxa"/>
          </w:tcPr>
          <w:p w14:paraId="405C7C07" w14:textId="77777777" w:rsidR="00DE16B0" w:rsidRPr="00194ECC" w:rsidRDefault="00DE16B0" w:rsidP="00194ECC">
            <w:pPr>
              <w:spacing w:before="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4ECC">
              <w:rPr>
                <w:rFonts w:ascii="Calibri" w:hAnsi="Calibri" w:cs="Calibri"/>
              </w:rPr>
              <w:t>Enable OS vulnerabilities recommendations for virtual machines. When this setting is enabled, it analyzes operating system configurations daily to determine issues that could make the virtual machine vulnerable to attack. The policy also recommends configuration changes to correct these vulnerabilities.</w:t>
            </w:r>
          </w:p>
        </w:tc>
        <w:tc>
          <w:tcPr>
            <w:tcW w:w="2340" w:type="dxa"/>
          </w:tcPr>
          <w:p w14:paraId="370EDF80" w14:textId="77777777" w:rsidR="00DE16B0" w:rsidRPr="00194ECC" w:rsidRDefault="001A03B1" w:rsidP="00194ECC">
            <w:pPr>
              <w:spacing w:before="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u w:val="single"/>
              </w:rPr>
            </w:pPr>
            <w:hyperlink r:id="rId17" w:history="1">
              <w:r w:rsidR="00DE16B0" w:rsidRPr="00194ECC">
                <w:rPr>
                  <w:rStyle w:val="Hyperlink"/>
                  <w:rFonts w:ascii="Calibri" w:hAnsi="Calibri" w:cs="Calibri"/>
                </w:rPr>
                <w:t>Inbuilt_OS Vulnerability set to ON Script</w:t>
              </w:r>
            </w:hyperlink>
          </w:p>
        </w:tc>
      </w:tr>
      <w:tr w:rsidR="000F7E59" w:rsidRPr="00194ECC" w14:paraId="2C24754F" w14:textId="77777777" w:rsidTr="000F7E59">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D50F95F" w14:textId="77777777" w:rsidR="00DE16B0" w:rsidRPr="00194ECC" w:rsidRDefault="00DE16B0" w:rsidP="00194ECC">
            <w:pPr>
              <w:spacing w:before="0" w:line="276" w:lineRule="auto"/>
              <w:rPr>
                <w:rFonts w:ascii="Calibri" w:hAnsi="Calibri" w:cs="Calibri"/>
              </w:rPr>
            </w:pPr>
            <w:r w:rsidRPr="00194ECC">
              <w:rPr>
                <w:rFonts w:ascii="Calibri" w:hAnsi="Calibri" w:cs="Calibri"/>
              </w:rPr>
              <w:t>Endpoint Protection is set to ON</w:t>
            </w:r>
          </w:p>
        </w:tc>
        <w:tc>
          <w:tcPr>
            <w:tcW w:w="5196" w:type="dxa"/>
          </w:tcPr>
          <w:p w14:paraId="367B946B" w14:textId="77777777" w:rsidR="00DE16B0" w:rsidRPr="00194ECC" w:rsidRDefault="00DE16B0" w:rsidP="00194ECC">
            <w:pPr>
              <w:spacing w:before="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4ECC">
              <w:rPr>
                <w:rFonts w:ascii="Calibri" w:hAnsi="Calibri" w:cs="Calibri"/>
              </w:rPr>
              <w:t>Enable endpoint protection recommendations for virtual machines. When this setting is enabled, Azure Security Center recommends endpoint protection be provisioned for all Windows virtual machines to help identify and remove viruses, spyware, and other malicious software.</w:t>
            </w:r>
          </w:p>
        </w:tc>
        <w:tc>
          <w:tcPr>
            <w:tcW w:w="2340" w:type="dxa"/>
          </w:tcPr>
          <w:p w14:paraId="3DF99DB8" w14:textId="77777777" w:rsidR="00DE16B0" w:rsidRPr="00194ECC" w:rsidRDefault="001A03B1" w:rsidP="00194ECC">
            <w:pPr>
              <w:spacing w:before="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18" w:history="1">
              <w:r w:rsidR="00DE16B0" w:rsidRPr="00194ECC">
                <w:rPr>
                  <w:rStyle w:val="Hyperlink"/>
                  <w:rFonts w:ascii="Calibri" w:hAnsi="Calibri" w:cs="Calibri"/>
                </w:rPr>
                <w:t>Inbuilt_Endpoint Protection Set to ON Script</w:t>
              </w:r>
            </w:hyperlink>
          </w:p>
        </w:tc>
      </w:tr>
      <w:tr w:rsidR="000F7E59" w:rsidRPr="00194ECC" w14:paraId="29AD96CD" w14:textId="77777777" w:rsidTr="000F7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bottom w:val="none" w:sz="0" w:space="0" w:color="auto"/>
            </w:tcBorders>
          </w:tcPr>
          <w:p w14:paraId="0DB52CE5" w14:textId="77777777" w:rsidR="00DE16B0" w:rsidRPr="00194ECC" w:rsidRDefault="00DE16B0" w:rsidP="00194ECC">
            <w:pPr>
              <w:spacing w:before="0" w:line="276" w:lineRule="auto"/>
              <w:rPr>
                <w:rFonts w:ascii="Calibri" w:hAnsi="Calibri" w:cs="Calibri"/>
              </w:rPr>
            </w:pPr>
            <w:r w:rsidRPr="00194ECC">
              <w:rPr>
                <w:rFonts w:ascii="Calibri" w:hAnsi="Calibri" w:cs="Calibri"/>
              </w:rPr>
              <w:t>JIT network access is set to ON</w:t>
            </w:r>
          </w:p>
        </w:tc>
        <w:tc>
          <w:tcPr>
            <w:tcW w:w="5196" w:type="dxa"/>
          </w:tcPr>
          <w:p w14:paraId="7A8814D2" w14:textId="77777777" w:rsidR="00DE16B0" w:rsidRPr="00194ECC" w:rsidRDefault="00DE16B0" w:rsidP="00194ECC">
            <w:pPr>
              <w:spacing w:before="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4ECC">
              <w:rPr>
                <w:rFonts w:ascii="Calibri" w:hAnsi="Calibri" w:cs="Calibri"/>
              </w:rPr>
              <w:t>Enable JIT network access for virtual machines. When this setting is enabled, the Security Center locks down inbound traffic to your Azure VMs by creating an NSG rule. You select the ports on the VM to which inbound traffic should be locked down. Just-in-time VM access can be used to lock down inbound traffic to your Azure VMs, reducing exposure to attacks while providing easy access to connect to VMs when needed.</w:t>
            </w:r>
          </w:p>
        </w:tc>
        <w:tc>
          <w:tcPr>
            <w:tcW w:w="2340" w:type="dxa"/>
          </w:tcPr>
          <w:p w14:paraId="5193AF01" w14:textId="77777777" w:rsidR="00DE16B0" w:rsidRPr="00194ECC" w:rsidRDefault="001A03B1" w:rsidP="00194ECC">
            <w:pPr>
              <w:spacing w:before="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19" w:history="1">
              <w:r w:rsidR="00DE16B0" w:rsidRPr="00194ECC">
                <w:rPr>
                  <w:rStyle w:val="Hyperlink"/>
                  <w:rFonts w:ascii="Calibri" w:hAnsi="Calibri" w:cs="Calibri"/>
                </w:rPr>
                <w:t>JIT Network Access Set to ON</w:t>
              </w:r>
            </w:hyperlink>
          </w:p>
        </w:tc>
      </w:tr>
    </w:tbl>
    <w:p w14:paraId="037EFD5C" w14:textId="77777777" w:rsidR="00DE16B0" w:rsidRDefault="00DE16B0" w:rsidP="00194ECC">
      <w:pPr>
        <w:spacing w:before="240" w:after="120"/>
        <w:ind w:firstLine="288"/>
      </w:pPr>
      <w:r>
        <w:t>Business Risk for Security Baseline Policy:</w:t>
      </w:r>
    </w:p>
    <w:tbl>
      <w:tblPr>
        <w:tblStyle w:val="GridTable5Dark-Accent1"/>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3150"/>
        <w:gridCol w:w="1585"/>
        <w:gridCol w:w="1925"/>
      </w:tblGrid>
      <w:tr w:rsidR="00DE16B0" w14:paraId="4348AFBD" w14:textId="77777777" w:rsidTr="00194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top w:val="none" w:sz="0" w:space="0" w:color="auto"/>
              <w:left w:val="none" w:sz="0" w:space="0" w:color="auto"/>
              <w:right w:val="none" w:sz="0" w:space="0" w:color="auto"/>
            </w:tcBorders>
            <w:vAlign w:val="center"/>
          </w:tcPr>
          <w:p w14:paraId="39CA5F74" w14:textId="77777777" w:rsidR="00DE16B0" w:rsidRPr="00456BF7" w:rsidRDefault="00DE16B0" w:rsidP="00194ECC">
            <w:pPr>
              <w:spacing w:before="0" w:line="276" w:lineRule="auto"/>
              <w:jc w:val="center"/>
            </w:pPr>
            <w:r w:rsidRPr="00456BF7">
              <w:t>Risk</w:t>
            </w:r>
          </w:p>
        </w:tc>
        <w:tc>
          <w:tcPr>
            <w:tcW w:w="3150" w:type="dxa"/>
            <w:tcBorders>
              <w:top w:val="none" w:sz="0" w:space="0" w:color="auto"/>
              <w:left w:val="none" w:sz="0" w:space="0" w:color="auto"/>
              <w:right w:val="none" w:sz="0" w:space="0" w:color="auto"/>
            </w:tcBorders>
            <w:vAlign w:val="center"/>
          </w:tcPr>
          <w:p w14:paraId="23BCC55A" w14:textId="77777777" w:rsidR="00DE16B0" w:rsidRPr="00456BF7" w:rsidRDefault="00DE16B0" w:rsidP="00194ECC">
            <w:pPr>
              <w:spacing w:before="0" w:line="276" w:lineRule="auto"/>
              <w:jc w:val="center"/>
              <w:cnfStyle w:val="100000000000" w:firstRow="1" w:lastRow="0" w:firstColumn="0" w:lastColumn="0" w:oddVBand="0" w:evenVBand="0" w:oddHBand="0" w:evenHBand="0" w:firstRowFirstColumn="0" w:firstRowLastColumn="0" w:lastRowFirstColumn="0" w:lastRowLastColumn="0"/>
            </w:pPr>
            <w:r w:rsidRPr="00456BF7">
              <w:t>Description</w:t>
            </w:r>
          </w:p>
        </w:tc>
        <w:tc>
          <w:tcPr>
            <w:tcW w:w="1585" w:type="dxa"/>
            <w:tcBorders>
              <w:top w:val="none" w:sz="0" w:space="0" w:color="auto"/>
              <w:left w:val="none" w:sz="0" w:space="0" w:color="auto"/>
              <w:right w:val="none" w:sz="0" w:space="0" w:color="auto"/>
            </w:tcBorders>
            <w:vAlign w:val="center"/>
          </w:tcPr>
          <w:p w14:paraId="1BEBC9DE" w14:textId="77777777" w:rsidR="00DE16B0" w:rsidRPr="00456BF7" w:rsidRDefault="00DE16B0" w:rsidP="00194ECC">
            <w:pPr>
              <w:spacing w:before="0" w:line="276" w:lineRule="auto"/>
              <w:jc w:val="center"/>
              <w:cnfStyle w:val="100000000000" w:firstRow="1" w:lastRow="0" w:firstColumn="0" w:lastColumn="0" w:oddVBand="0" w:evenVBand="0" w:oddHBand="0" w:evenHBand="0" w:firstRowFirstColumn="0" w:firstRowLastColumn="0" w:lastRowFirstColumn="0" w:lastRowLastColumn="0"/>
            </w:pPr>
            <w:r w:rsidRPr="00456BF7">
              <w:t>Indicators</w:t>
            </w:r>
          </w:p>
        </w:tc>
        <w:tc>
          <w:tcPr>
            <w:tcW w:w="1925" w:type="dxa"/>
            <w:tcBorders>
              <w:top w:val="none" w:sz="0" w:space="0" w:color="auto"/>
              <w:left w:val="none" w:sz="0" w:space="0" w:color="auto"/>
              <w:right w:val="none" w:sz="0" w:space="0" w:color="auto"/>
            </w:tcBorders>
            <w:vAlign w:val="center"/>
          </w:tcPr>
          <w:p w14:paraId="3FABF7A8" w14:textId="77777777" w:rsidR="00DE16B0" w:rsidRPr="00456BF7" w:rsidRDefault="00DE16B0" w:rsidP="00194ECC">
            <w:pPr>
              <w:spacing w:before="0" w:line="276" w:lineRule="auto"/>
              <w:jc w:val="center"/>
              <w:cnfStyle w:val="100000000000" w:firstRow="1" w:lastRow="0" w:firstColumn="0" w:lastColumn="0" w:oddVBand="0" w:evenVBand="0" w:oddHBand="0" w:evenHBand="0" w:firstRowFirstColumn="0" w:firstRowLastColumn="0" w:lastRowFirstColumn="0" w:lastRowLastColumn="0"/>
            </w:pPr>
            <w:r w:rsidRPr="00456BF7">
              <w:t>Resolution</w:t>
            </w:r>
          </w:p>
        </w:tc>
      </w:tr>
      <w:tr w:rsidR="00DE16B0" w14:paraId="09FDF519" w14:textId="77777777" w:rsidTr="00194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left w:val="none" w:sz="0" w:space="0" w:color="auto"/>
            </w:tcBorders>
          </w:tcPr>
          <w:p w14:paraId="568AB8FB" w14:textId="77777777" w:rsidR="00DE16B0" w:rsidRPr="00456BF7" w:rsidRDefault="00DE16B0" w:rsidP="00194ECC">
            <w:pPr>
              <w:spacing w:before="0" w:line="276" w:lineRule="auto"/>
              <w:rPr>
                <w:b w:val="0"/>
                <w:bCs w:val="0"/>
              </w:rPr>
            </w:pPr>
            <w:r w:rsidRPr="00456BF7">
              <w:rPr>
                <w:b w:val="0"/>
                <w:bCs w:val="0"/>
              </w:rPr>
              <w:t>Data breach</w:t>
            </w:r>
          </w:p>
        </w:tc>
        <w:tc>
          <w:tcPr>
            <w:tcW w:w="3150" w:type="dxa"/>
          </w:tcPr>
          <w:p w14:paraId="22E74E6D" w14:textId="77777777" w:rsidR="00DE16B0" w:rsidRPr="00456BF7" w:rsidRDefault="00DE16B0" w:rsidP="00194ECC">
            <w:pPr>
              <w:spacing w:before="0" w:line="276" w:lineRule="auto"/>
              <w:cnfStyle w:val="000000100000" w:firstRow="0" w:lastRow="0" w:firstColumn="0" w:lastColumn="0" w:oddVBand="0" w:evenVBand="0" w:oddHBand="1" w:evenHBand="0" w:firstRowFirstColumn="0" w:firstRowLastColumn="0" w:lastRowFirstColumn="0" w:lastRowLastColumn="0"/>
            </w:pPr>
            <w:r w:rsidRPr="00456BF7">
              <w:t>Inadvertent exposure or loss of sensitive cloud-hosted data can lead to losing customers, contractual issues, or legal consequences.</w:t>
            </w:r>
          </w:p>
        </w:tc>
        <w:tc>
          <w:tcPr>
            <w:tcW w:w="1585" w:type="dxa"/>
          </w:tcPr>
          <w:p w14:paraId="1EB86BE3" w14:textId="77777777" w:rsidR="00DE16B0" w:rsidRPr="00456BF7" w:rsidRDefault="00DE16B0" w:rsidP="00194ECC">
            <w:pPr>
              <w:spacing w:before="0" w:line="276" w:lineRule="auto"/>
              <w:cnfStyle w:val="000000100000" w:firstRow="0" w:lastRow="0" w:firstColumn="0" w:lastColumn="0" w:oddVBand="0" w:evenVBand="0" w:oddHBand="1" w:evenHBand="0" w:firstRowFirstColumn="0" w:firstRowLastColumn="0" w:lastRowFirstColumn="0" w:lastRowLastColumn="0"/>
            </w:pPr>
            <w:r w:rsidRPr="00456BF7">
              <w:t>Current</w:t>
            </w:r>
          </w:p>
        </w:tc>
        <w:tc>
          <w:tcPr>
            <w:tcW w:w="1925" w:type="dxa"/>
          </w:tcPr>
          <w:p w14:paraId="240FB776" w14:textId="77777777" w:rsidR="00DE16B0" w:rsidRPr="00456BF7" w:rsidRDefault="00DE16B0" w:rsidP="00194ECC">
            <w:pPr>
              <w:spacing w:before="0" w:line="276" w:lineRule="auto"/>
              <w:cnfStyle w:val="000000100000" w:firstRow="0" w:lastRow="0" w:firstColumn="0" w:lastColumn="0" w:oddVBand="0" w:evenVBand="0" w:oddHBand="1" w:evenHBand="0" w:firstRowFirstColumn="0" w:firstRowLastColumn="0" w:lastRowFirstColumn="0" w:lastRowLastColumn="0"/>
            </w:pPr>
            <w:r w:rsidRPr="00456BF7">
              <w:t>Policy statements enforced</w:t>
            </w:r>
          </w:p>
        </w:tc>
      </w:tr>
      <w:tr w:rsidR="00DE16B0" w14:paraId="58EC2C99" w14:textId="77777777" w:rsidTr="00194ECC">
        <w:tc>
          <w:tcPr>
            <w:cnfStyle w:val="001000000000" w:firstRow="0" w:lastRow="0" w:firstColumn="1" w:lastColumn="0" w:oddVBand="0" w:evenVBand="0" w:oddHBand="0" w:evenHBand="0" w:firstRowFirstColumn="0" w:firstRowLastColumn="0" w:lastRowFirstColumn="0" w:lastRowLastColumn="0"/>
            <w:tcW w:w="1890" w:type="dxa"/>
            <w:tcBorders>
              <w:left w:val="none" w:sz="0" w:space="0" w:color="auto"/>
              <w:bottom w:val="none" w:sz="0" w:space="0" w:color="auto"/>
            </w:tcBorders>
          </w:tcPr>
          <w:p w14:paraId="6EB081A4" w14:textId="77777777" w:rsidR="00DE16B0" w:rsidRPr="00456BF7" w:rsidRDefault="00DE16B0" w:rsidP="00194ECC">
            <w:pPr>
              <w:spacing w:before="0" w:line="276" w:lineRule="auto"/>
              <w:rPr>
                <w:b w:val="0"/>
                <w:bCs w:val="0"/>
              </w:rPr>
            </w:pPr>
            <w:r w:rsidRPr="00456BF7">
              <w:rPr>
                <w:b w:val="0"/>
                <w:bCs w:val="0"/>
              </w:rPr>
              <w:t>Service disruption</w:t>
            </w:r>
          </w:p>
        </w:tc>
        <w:tc>
          <w:tcPr>
            <w:tcW w:w="3150" w:type="dxa"/>
          </w:tcPr>
          <w:p w14:paraId="046A6E50" w14:textId="77777777" w:rsidR="00DE16B0" w:rsidRPr="00456BF7" w:rsidRDefault="00DE16B0" w:rsidP="00194ECC">
            <w:pPr>
              <w:spacing w:before="0" w:line="276" w:lineRule="auto"/>
              <w:cnfStyle w:val="000000000000" w:firstRow="0" w:lastRow="0" w:firstColumn="0" w:lastColumn="0" w:oddVBand="0" w:evenVBand="0" w:oddHBand="0" w:evenHBand="0" w:firstRowFirstColumn="0" w:firstRowLastColumn="0" w:lastRowFirstColumn="0" w:lastRowLastColumn="0"/>
            </w:pPr>
            <w:r w:rsidRPr="00456BF7">
              <w:t>Outages and other performance issues due to insecure infrastructure interrupts normal operations and can result in lost productivity or lost business.</w:t>
            </w:r>
          </w:p>
        </w:tc>
        <w:tc>
          <w:tcPr>
            <w:tcW w:w="1585" w:type="dxa"/>
          </w:tcPr>
          <w:p w14:paraId="02169EC0" w14:textId="77777777" w:rsidR="00DE16B0" w:rsidRPr="00456BF7" w:rsidRDefault="00DE16B0" w:rsidP="00194ECC">
            <w:pPr>
              <w:spacing w:before="0" w:line="276" w:lineRule="auto"/>
              <w:cnfStyle w:val="000000000000" w:firstRow="0" w:lastRow="0" w:firstColumn="0" w:lastColumn="0" w:oddVBand="0" w:evenVBand="0" w:oddHBand="0" w:evenHBand="0" w:firstRowFirstColumn="0" w:firstRowLastColumn="0" w:lastRowFirstColumn="0" w:lastRowLastColumn="0"/>
            </w:pPr>
            <w:r w:rsidRPr="00456BF7">
              <w:t>Mission-critical workloads deployed</w:t>
            </w:r>
          </w:p>
        </w:tc>
        <w:tc>
          <w:tcPr>
            <w:tcW w:w="1925" w:type="dxa"/>
          </w:tcPr>
          <w:p w14:paraId="38D4DB41" w14:textId="77777777" w:rsidR="00DE16B0" w:rsidRPr="00456BF7" w:rsidRDefault="00DE16B0" w:rsidP="00194ECC">
            <w:pPr>
              <w:spacing w:before="0" w:line="276" w:lineRule="auto"/>
              <w:cnfStyle w:val="000000000000" w:firstRow="0" w:lastRow="0" w:firstColumn="0" w:lastColumn="0" w:oddVBand="0" w:evenVBand="0" w:oddHBand="0" w:evenHBand="0" w:firstRowFirstColumn="0" w:firstRowLastColumn="0" w:lastRowFirstColumn="0" w:lastRowLastColumn="0"/>
            </w:pPr>
            <w:r w:rsidRPr="00456BF7">
              <w:t>Policy statements drafted but not enforced</w:t>
            </w:r>
          </w:p>
        </w:tc>
      </w:tr>
    </w:tbl>
    <w:p w14:paraId="7777CE35" w14:textId="77777777" w:rsidR="00DE16B0" w:rsidRDefault="00DE16B0" w:rsidP="00DE16B0"/>
    <w:p w14:paraId="4A2EC548" w14:textId="77777777" w:rsidR="00DE16B0" w:rsidRPr="00456BF7" w:rsidRDefault="00DE16B0" w:rsidP="00DE16B0">
      <w:pPr>
        <w:pStyle w:val="ListParagraph"/>
        <w:numPr>
          <w:ilvl w:val="0"/>
          <w:numId w:val="3"/>
        </w:numPr>
        <w:rPr>
          <w:b/>
          <w:bCs/>
        </w:rPr>
      </w:pPr>
      <w:r w:rsidRPr="00456BF7">
        <w:rPr>
          <w:b/>
          <w:bCs/>
        </w:rPr>
        <w:t>Identity</w:t>
      </w:r>
      <w:r>
        <w:rPr>
          <w:b/>
          <w:bCs/>
        </w:rPr>
        <w:t xml:space="preserve"> &amp; Asset management</w:t>
      </w:r>
      <w:r w:rsidRPr="00456BF7">
        <w:rPr>
          <w:b/>
          <w:bCs/>
        </w:rPr>
        <w:t xml:space="preserve"> Baseline Policy</w:t>
      </w:r>
    </w:p>
    <w:p w14:paraId="7F534913" w14:textId="77777777" w:rsidR="00DE16B0" w:rsidRDefault="00DE16B0" w:rsidP="00DE16B0"/>
    <w:tbl>
      <w:tblPr>
        <w:tblStyle w:val="GridTable5Dark-Accent1"/>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6"/>
        <w:gridCol w:w="5779"/>
        <w:gridCol w:w="2070"/>
      </w:tblGrid>
      <w:tr w:rsidR="00DE16B0" w:rsidRPr="000D7DC3" w14:paraId="61E3768D" w14:textId="77777777" w:rsidTr="000F7E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6" w:type="dxa"/>
            <w:tcBorders>
              <w:top w:val="none" w:sz="0" w:space="0" w:color="auto"/>
              <w:left w:val="none" w:sz="0" w:space="0" w:color="auto"/>
              <w:right w:val="none" w:sz="0" w:space="0" w:color="auto"/>
            </w:tcBorders>
          </w:tcPr>
          <w:p w14:paraId="392749A6" w14:textId="77777777" w:rsidR="00DE16B0" w:rsidRPr="000D7DC3" w:rsidRDefault="00DE16B0" w:rsidP="00194ECC">
            <w:pPr>
              <w:spacing w:before="0" w:line="276" w:lineRule="auto"/>
              <w:jc w:val="center"/>
              <w:rPr>
                <w:b w:val="0"/>
                <w:bCs w:val="0"/>
              </w:rPr>
            </w:pPr>
            <w:r w:rsidRPr="000D7DC3">
              <w:t>Policy Name</w:t>
            </w:r>
          </w:p>
        </w:tc>
        <w:tc>
          <w:tcPr>
            <w:tcW w:w="5779" w:type="dxa"/>
            <w:tcBorders>
              <w:top w:val="none" w:sz="0" w:space="0" w:color="auto"/>
              <w:left w:val="none" w:sz="0" w:space="0" w:color="auto"/>
              <w:right w:val="none" w:sz="0" w:space="0" w:color="auto"/>
            </w:tcBorders>
          </w:tcPr>
          <w:p w14:paraId="334146F0" w14:textId="77777777" w:rsidR="00DE16B0" w:rsidRPr="000D7DC3" w:rsidRDefault="00DE16B0" w:rsidP="00194ECC">
            <w:pPr>
              <w:spacing w:before="0" w:line="276" w:lineRule="auto"/>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c>
          <w:tcPr>
            <w:tcW w:w="2070" w:type="dxa"/>
            <w:tcBorders>
              <w:top w:val="none" w:sz="0" w:space="0" w:color="auto"/>
              <w:left w:val="none" w:sz="0" w:space="0" w:color="auto"/>
              <w:right w:val="none" w:sz="0" w:space="0" w:color="auto"/>
            </w:tcBorders>
          </w:tcPr>
          <w:p w14:paraId="6A4B32A9" w14:textId="77777777" w:rsidR="00DE16B0" w:rsidRPr="000D7DC3" w:rsidRDefault="00DE16B0" w:rsidP="00194ECC">
            <w:pPr>
              <w:spacing w:before="0" w:line="276"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0D7DC3">
              <w:t>Future Policy</w:t>
            </w:r>
          </w:p>
        </w:tc>
      </w:tr>
      <w:tr w:rsidR="00DE16B0" w14:paraId="7B2A32CA" w14:textId="77777777" w:rsidTr="000F7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6" w:type="dxa"/>
            <w:tcBorders>
              <w:left w:val="none" w:sz="0" w:space="0" w:color="auto"/>
            </w:tcBorders>
          </w:tcPr>
          <w:p w14:paraId="6E47F468" w14:textId="77777777" w:rsidR="00DE16B0" w:rsidRDefault="00DE16B0" w:rsidP="00194ECC">
            <w:pPr>
              <w:spacing w:before="0" w:line="276" w:lineRule="auto"/>
            </w:pPr>
            <w:r>
              <w:t>Ensure that for all users, MFA is enabled</w:t>
            </w:r>
          </w:p>
        </w:tc>
        <w:tc>
          <w:tcPr>
            <w:tcW w:w="5779" w:type="dxa"/>
          </w:tcPr>
          <w:p w14:paraId="59783D47" w14:textId="77777777" w:rsidR="00DE16B0" w:rsidRDefault="00DE16B0" w:rsidP="00194ECC">
            <w:pPr>
              <w:spacing w:before="0" w:line="276" w:lineRule="auto"/>
              <w:cnfStyle w:val="000000100000" w:firstRow="0" w:lastRow="0" w:firstColumn="0" w:lastColumn="0" w:oddVBand="0" w:evenVBand="0" w:oddHBand="1" w:evenHBand="0" w:firstRowFirstColumn="0" w:firstRowLastColumn="0" w:lastRowFirstColumn="0" w:lastRowLastColumn="0"/>
            </w:pPr>
            <w:r w:rsidRPr="00012EAB">
              <w:t>Enable multi-factor authentication for all user credentials who have write access to Azure resources. Multi-factor authentication requires an individual to present a minimum of two separate forms of authentication before access is granted. Multi-factor authentication provides additional assurance that the individual attempting to gain access is who they claim to be. With multi-factor authentication, an attacker would need to compromise at least two different authentication mechanisms, increasing the difficulty of compromise and thus reducing the risk.</w:t>
            </w:r>
          </w:p>
        </w:tc>
        <w:tc>
          <w:tcPr>
            <w:tcW w:w="2070" w:type="dxa"/>
          </w:tcPr>
          <w:p w14:paraId="74D3C49A" w14:textId="77777777" w:rsidR="00DE16B0" w:rsidRDefault="001A03B1" w:rsidP="00194ECC">
            <w:pPr>
              <w:spacing w:before="0" w:line="276" w:lineRule="auto"/>
              <w:cnfStyle w:val="000000100000" w:firstRow="0" w:lastRow="0" w:firstColumn="0" w:lastColumn="0" w:oddVBand="0" w:evenVBand="0" w:oddHBand="1" w:evenHBand="0" w:firstRowFirstColumn="0" w:firstRowLastColumn="0" w:lastRowFirstColumn="0" w:lastRowLastColumn="0"/>
            </w:pPr>
            <w:hyperlink r:id="rId20" w:history="1">
              <w:r w:rsidR="00DE16B0">
                <w:rPr>
                  <w:rStyle w:val="Hyperlink"/>
                </w:rPr>
                <w:t>Inbuilt_Ensure all user MFA enabled Script</w:t>
              </w:r>
            </w:hyperlink>
          </w:p>
        </w:tc>
      </w:tr>
      <w:tr w:rsidR="00DE16B0" w14:paraId="6C6FC5DA" w14:textId="77777777" w:rsidTr="000F7E59">
        <w:tc>
          <w:tcPr>
            <w:cnfStyle w:val="001000000000" w:firstRow="0" w:lastRow="0" w:firstColumn="1" w:lastColumn="0" w:oddVBand="0" w:evenVBand="0" w:oddHBand="0" w:evenHBand="0" w:firstRowFirstColumn="0" w:firstRowLastColumn="0" w:lastRowFirstColumn="0" w:lastRowLastColumn="0"/>
            <w:tcW w:w="2226" w:type="dxa"/>
            <w:tcBorders>
              <w:left w:val="none" w:sz="0" w:space="0" w:color="auto"/>
              <w:bottom w:val="none" w:sz="0" w:space="0" w:color="auto"/>
            </w:tcBorders>
          </w:tcPr>
          <w:p w14:paraId="1CEB707D" w14:textId="77777777" w:rsidR="00DE16B0" w:rsidRDefault="00DE16B0" w:rsidP="00194ECC">
            <w:pPr>
              <w:spacing w:before="0" w:line="276" w:lineRule="auto"/>
            </w:pPr>
            <w:r>
              <w:t>Ensure that restrict access to Azure AD administration portal is set to yes</w:t>
            </w:r>
          </w:p>
        </w:tc>
        <w:tc>
          <w:tcPr>
            <w:tcW w:w="5779" w:type="dxa"/>
          </w:tcPr>
          <w:p w14:paraId="0F471DB1" w14:textId="77777777" w:rsidR="00DE16B0" w:rsidRDefault="00DE16B0" w:rsidP="00194ECC">
            <w:pPr>
              <w:spacing w:before="0" w:line="276" w:lineRule="auto"/>
              <w:cnfStyle w:val="000000000000" w:firstRow="0" w:lastRow="0" w:firstColumn="0" w:lastColumn="0" w:oddVBand="0" w:evenVBand="0" w:oddHBand="0" w:evenHBand="0" w:firstRowFirstColumn="0" w:firstRowLastColumn="0" w:lastRowFirstColumn="0" w:lastRowLastColumn="0"/>
            </w:pPr>
            <w:r w:rsidRPr="00012EAB">
              <w:t>Restrict access to Azure AD administration portal to administrators only. Azure AD administrative portal has sensitive data. You should restrict all non-administrators from accessing any Azure AD data in the administration portal to avoid exposure.</w:t>
            </w:r>
          </w:p>
        </w:tc>
        <w:tc>
          <w:tcPr>
            <w:tcW w:w="2070" w:type="dxa"/>
          </w:tcPr>
          <w:p w14:paraId="364ABE35" w14:textId="77777777" w:rsidR="00DE16B0" w:rsidRDefault="001A03B1" w:rsidP="00194ECC">
            <w:pPr>
              <w:spacing w:before="0" w:line="276" w:lineRule="auto"/>
              <w:cnfStyle w:val="000000000000" w:firstRow="0" w:lastRow="0" w:firstColumn="0" w:lastColumn="0" w:oddVBand="0" w:evenVBand="0" w:oddHBand="0" w:evenHBand="0" w:firstRowFirstColumn="0" w:firstRowLastColumn="0" w:lastRowFirstColumn="0" w:lastRowLastColumn="0"/>
            </w:pPr>
            <w:hyperlink r:id="rId21" w:history="1">
              <w:r w:rsidR="00DE16B0">
                <w:rPr>
                  <w:rStyle w:val="Hyperlink"/>
                </w:rPr>
                <w:t>BuiltIn_Access to Azure AD Script</w:t>
              </w:r>
            </w:hyperlink>
          </w:p>
        </w:tc>
      </w:tr>
    </w:tbl>
    <w:p w14:paraId="17062ACB" w14:textId="77777777" w:rsidR="00DE16B0" w:rsidRDefault="00DE16B0" w:rsidP="00DE16B0"/>
    <w:p w14:paraId="62A4651E" w14:textId="77777777" w:rsidR="00DE16B0" w:rsidRPr="00456BF7" w:rsidRDefault="00DE16B0" w:rsidP="00194ECC">
      <w:pPr>
        <w:pStyle w:val="ListParagraph"/>
        <w:numPr>
          <w:ilvl w:val="0"/>
          <w:numId w:val="3"/>
        </w:numPr>
        <w:spacing w:after="240" w:line="240" w:lineRule="auto"/>
        <w:rPr>
          <w:b/>
          <w:bCs/>
        </w:rPr>
      </w:pPr>
      <w:r>
        <w:rPr>
          <w:b/>
          <w:bCs/>
        </w:rPr>
        <w:t>Storage Account</w:t>
      </w:r>
      <w:r w:rsidRPr="00456BF7">
        <w:rPr>
          <w:b/>
          <w:bCs/>
        </w:rPr>
        <w:t xml:space="preserve"> Policy</w:t>
      </w:r>
    </w:p>
    <w:tbl>
      <w:tblPr>
        <w:tblStyle w:val="GridTable5Dark-Accent1"/>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2"/>
        <w:gridCol w:w="5683"/>
        <w:gridCol w:w="2070"/>
      </w:tblGrid>
      <w:tr w:rsidR="000F7E59" w:rsidRPr="000D7DC3" w14:paraId="3FF15C6C" w14:textId="77777777" w:rsidTr="000F7E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14:paraId="57C812A7" w14:textId="77777777" w:rsidR="00DE16B0" w:rsidRPr="000D7DC3" w:rsidRDefault="00DE16B0" w:rsidP="00194ECC">
            <w:pPr>
              <w:spacing w:before="0"/>
              <w:jc w:val="center"/>
              <w:rPr>
                <w:b w:val="0"/>
                <w:bCs w:val="0"/>
              </w:rPr>
            </w:pPr>
            <w:r w:rsidRPr="000D7DC3">
              <w:t>Policy Name</w:t>
            </w:r>
          </w:p>
        </w:tc>
        <w:tc>
          <w:tcPr>
            <w:tcW w:w="5683" w:type="dxa"/>
          </w:tcPr>
          <w:p w14:paraId="318079F2" w14:textId="77777777" w:rsidR="00DE16B0" w:rsidRPr="000D7DC3" w:rsidRDefault="00DE16B0" w:rsidP="00194ECC">
            <w:pPr>
              <w:spacing w:before="0"/>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c>
          <w:tcPr>
            <w:tcW w:w="2070" w:type="dxa"/>
          </w:tcPr>
          <w:p w14:paraId="28D2F442" w14:textId="77777777" w:rsidR="00DE16B0" w:rsidRPr="000D7DC3" w:rsidRDefault="00DE16B0" w:rsidP="00194ECC">
            <w:pPr>
              <w:spacing w:before="0"/>
              <w:jc w:val="center"/>
              <w:cnfStyle w:val="100000000000" w:firstRow="1" w:lastRow="0" w:firstColumn="0" w:lastColumn="0" w:oddVBand="0" w:evenVBand="0" w:oddHBand="0" w:evenHBand="0" w:firstRowFirstColumn="0" w:firstRowLastColumn="0" w:lastRowFirstColumn="0" w:lastRowLastColumn="0"/>
              <w:rPr>
                <w:b w:val="0"/>
                <w:bCs w:val="0"/>
              </w:rPr>
            </w:pPr>
            <w:r w:rsidRPr="000D7DC3">
              <w:t>Future Policy</w:t>
            </w:r>
          </w:p>
        </w:tc>
      </w:tr>
      <w:tr w:rsidR="00DE16B0" w14:paraId="5023AEC2" w14:textId="77777777" w:rsidTr="000F7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left w:val="none" w:sz="0" w:space="0" w:color="auto"/>
            </w:tcBorders>
          </w:tcPr>
          <w:p w14:paraId="297369E9" w14:textId="77777777" w:rsidR="00DE16B0" w:rsidRDefault="00DE16B0" w:rsidP="00194ECC">
            <w:pPr>
              <w:spacing w:before="0"/>
            </w:pPr>
            <w:r>
              <w:t>Secure transfer required is set to enabled</w:t>
            </w:r>
          </w:p>
        </w:tc>
        <w:tc>
          <w:tcPr>
            <w:tcW w:w="5683" w:type="dxa"/>
          </w:tcPr>
          <w:p w14:paraId="4BB2DED8" w14:textId="77777777" w:rsidR="00DE16B0" w:rsidRDefault="00DE16B0" w:rsidP="00194ECC">
            <w:pPr>
              <w:spacing w:before="0"/>
              <w:cnfStyle w:val="000000100000" w:firstRow="0" w:lastRow="0" w:firstColumn="0" w:lastColumn="0" w:oddVBand="0" w:evenVBand="0" w:oddHBand="1" w:evenHBand="0" w:firstRowFirstColumn="0" w:firstRowLastColumn="0" w:lastRowFirstColumn="0" w:lastRowLastColumn="0"/>
            </w:pPr>
            <w:r w:rsidRPr="00012EAB">
              <w:t>Enable data encryption is transit. The secure transfer option enhances the security of your storage account by only allowing requests to the storage account by a secure connection. For example, when calling REST APIs to access your storage accounts, you must connect using HTTPS. Any requests using HTTP will be rejected when ‘secure transfer required’ is enabled. When you are using the Azure files service, connection without encryption will fail, including scenarios using SMB 2.1, SMB 3.0 without encryption, and some flavors of the Linux SMB client.</w:t>
            </w:r>
          </w:p>
        </w:tc>
        <w:tc>
          <w:tcPr>
            <w:tcW w:w="2070" w:type="dxa"/>
          </w:tcPr>
          <w:p w14:paraId="281BDE16" w14:textId="77777777" w:rsidR="00DE16B0" w:rsidRDefault="001A03B1" w:rsidP="00194ECC">
            <w:pPr>
              <w:spacing w:before="0"/>
              <w:cnfStyle w:val="000000100000" w:firstRow="0" w:lastRow="0" w:firstColumn="0" w:lastColumn="0" w:oddVBand="0" w:evenVBand="0" w:oddHBand="1" w:evenHBand="0" w:firstRowFirstColumn="0" w:firstRowLastColumn="0" w:lastRowFirstColumn="0" w:lastRowLastColumn="0"/>
            </w:pPr>
            <w:hyperlink r:id="rId22" w:history="1">
              <w:r w:rsidR="00DE16B0">
                <w:rPr>
                  <w:rStyle w:val="Hyperlink"/>
                </w:rPr>
                <w:t>BuiltIn_Secure Data Transfer Enable Script</w:t>
              </w:r>
            </w:hyperlink>
          </w:p>
        </w:tc>
      </w:tr>
      <w:tr w:rsidR="00DE16B0" w14:paraId="45E9FF6C" w14:textId="77777777" w:rsidTr="000F7E59">
        <w:tc>
          <w:tcPr>
            <w:cnfStyle w:val="001000000000" w:firstRow="0" w:lastRow="0" w:firstColumn="1" w:lastColumn="0" w:oddVBand="0" w:evenVBand="0" w:oddHBand="0" w:evenHBand="0" w:firstRowFirstColumn="0" w:firstRowLastColumn="0" w:lastRowFirstColumn="0" w:lastRowLastColumn="0"/>
            <w:tcW w:w="2322" w:type="dxa"/>
            <w:tcBorders>
              <w:left w:val="none" w:sz="0" w:space="0" w:color="auto"/>
              <w:bottom w:val="none" w:sz="0" w:space="0" w:color="auto"/>
            </w:tcBorders>
          </w:tcPr>
          <w:p w14:paraId="03F42E3C" w14:textId="77777777" w:rsidR="00DE16B0" w:rsidRDefault="00DE16B0" w:rsidP="00194ECC">
            <w:pPr>
              <w:spacing w:before="0"/>
            </w:pPr>
            <w:r>
              <w:t>Storage service encryption is set to enabled</w:t>
            </w:r>
          </w:p>
        </w:tc>
        <w:tc>
          <w:tcPr>
            <w:tcW w:w="5683" w:type="dxa"/>
          </w:tcPr>
          <w:p w14:paraId="499E5A89" w14:textId="77777777" w:rsidR="00DE16B0" w:rsidRDefault="00DE16B0" w:rsidP="00194ECC">
            <w:pPr>
              <w:spacing w:before="0"/>
              <w:cnfStyle w:val="000000000000" w:firstRow="0" w:lastRow="0" w:firstColumn="0" w:lastColumn="0" w:oddVBand="0" w:evenVBand="0" w:oddHBand="0" w:evenHBand="0" w:firstRowFirstColumn="0" w:firstRowLastColumn="0" w:lastRowFirstColumn="0" w:lastRowLastColumn="0"/>
            </w:pPr>
            <w:r w:rsidRPr="00012EAB">
              <w:t>Enable data encryption at rest for blobs. Storage service encryption protects your data at rest. Azure storage encrypts your data as it’s written in its data centers, and automatically decrypts it for you as you access it.</w:t>
            </w:r>
          </w:p>
        </w:tc>
        <w:tc>
          <w:tcPr>
            <w:tcW w:w="2070" w:type="dxa"/>
          </w:tcPr>
          <w:p w14:paraId="5B041016" w14:textId="77777777" w:rsidR="00DE16B0" w:rsidRDefault="001A03B1" w:rsidP="00194ECC">
            <w:pPr>
              <w:spacing w:before="0"/>
              <w:cnfStyle w:val="000000000000" w:firstRow="0" w:lastRow="0" w:firstColumn="0" w:lastColumn="0" w:oddVBand="0" w:evenVBand="0" w:oddHBand="0" w:evenHBand="0" w:firstRowFirstColumn="0" w:firstRowLastColumn="0" w:lastRowFirstColumn="0" w:lastRowLastColumn="0"/>
            </w:pPr>
            <w:hyperlink r:id="rId23" w:history="1">
              <w:r w:rsidR="00DE16B0">
                <w:rPr>
                  <w:rStyle w:val="Hyperlink"/>
                </w:rPr>
                <w:t>BuiltIn_Storage Service Encryption Script</w:t>
              </w:r>
            </w:hyperlink>
          </w:p>
        </w:tc>
      </w:tr>
    </w:tbl>
    <w:p w14:paraId="3CF8AD7F" w14:textId="77777777" w:rsidR="00DE16B0" w:rsidRDefault="00DE16B0" w:rsidP="00DE16B0"/>
    <w:p w14:paraId="2B24C41E" w14:textId="77777777" w:rsidR="00DE16B0" w:rsidRPr="00456BF7" w:rsidRDefault="00DE16B0" w:rsidP="00DE16B0">
      <w:pPr>
        <w:pStyle w:val="ListParagraph"/>
        <w:numPr>
          <w:ilvl w:val="0"/>
          <w:numId w:val="3"/>
        </w:numPr>
        <w:rPr>
          <w:b/>
          <w:bCs/>
        </w:rPr>
      </w:pPr>
      <w:r>
        <w:rPr>
          <w:b/>
          <w:bCs/>
        </w:rPr>
        <w:t>Application and SQL Services</w:t>
      </w:r>
    </w:p>
    <w:p w14:paraId="3C848AB7" w14:textId="77777777" w:rsidR="00DE16B0" w:rsidRDefault="00DE16B0" w:rsidP="00DE16B0"/>
    <w:tbl>
      <w:tblPr>
        <w:tblStyle w:val="TableGrid"/>
        <w:tblW w:w="0" w:type="auto"/>
        <w:tblInd w:w="853" w:type="dxa"/>
        <w:tblLook w:val="04A0" w:firstRow="1" w:lastRow="0" w:firstColumn="1" w:lastColumn="0" w:noHBand="0" w:noVBand="1"/>
      </w:tblPr>
      <w:tblGrid>
        <w:gridCol w:w="3116"/>
        <w:gridCol w:w="3117"/>
      </w:tblGrid>
      <w:tr w:rsidR="00DE16B0" w:rsidRPr="00194ECC" w14:paraId="15722DD2" w14:textId="77777777" w:rsidTr="006518A9">
        <w:tc>
          <w:tcPr>
            <w:tcW w:w="3116" w:type="dxa"/>
            <w:shd w:val="clear" w:color="auto" w:fill="BDD6EE" w:themeFill="accent5" w:themeFillTint="66"/>
          </w:tcPr>
          <w:p w14:paraId="43CA63D3" w14:textId="77777777" w:rsidR="00DE16B0" w:rsidRPr="00194ECC" w:rsidRDefault="00DE16B0" w:rsidP="00194ECC">
            <w:pPr>
              <w:spacing w:before="0" w:line="360" w:lineRule="auto"/>
              <w:rPr>
                <w:rFonts w:ascii="Calibri" w:hAnsi="Calibri" w:cs="Calibri"/>
                <w:b/>
                <w:bCs/>
                <w:sz w:val="22"/>
              </w:rPr>
            </w:pPr>
            <w:r w:rsidRPr="00194ECC">
              <w:rPr>
                <w:rFonts w:ascii="Calibri" w:hAnsi="Calibri" w:cs="Calibri"/>
                <w:b/>
                <w:bCs/>
                <w:sz w:val="22"/>
              </w:rPr>
              <w:t>Policy Name</w:t>
            </w:r>
          </w:p>
        </w:tc>
        <w:tc>
          <w:tcPr>
            <w:tcW w:w="3117" w:type="dxa"/>
            <w:shd w:val="clear" w:color="auto" w:fill="BDD6EE" w:themeFill="accent5" w:themeFillTint="66"/>
          </w:tcPr>
          <w:p w14:paraId="46646B38" w14:textId="77777777" w:rsidR="00DE16B0" w:rsidRPr="00194ECC" w:rsidRDefault="00DE16B0" w:rsidP="00194ECC">
            <w:pPr>
              <w:spacing w:before="0" w:line="360" w:lineRule="auto"/>
              <w:rPr>
                <w:rFonts w:ascii="Calibri" w:hAnsi="Calibri" w:cs="Calibri"/>
                <w:b/>
                <w:bCs/>
                <w:sz w:val="22"/>
              </w:rPr>
            </w:pPr>
            <w:r w:rsidRPr="00194ECC">
              <w:rPr>
                <w:rFonts w:ascii="Calibri" w:hAnsi="Calibri" w:cs="Calibri"/>
                <w:b/>
                <w:bCs/>
                <w:sz w:val="22"/>
              </w:rPr>
              <w:t>Future Policy</w:t>
            </w:r>
          </w:p>
        </w:tc>
      </w:tr>
      <w:tr w:rsidR="00DE16B0" w:rsidRPr="00194ECC" w14:paraId="061F1289" w14:textId="77777777" w:rsidTr="006518A9">
        <w:tc>
          <w:tcPr>
            <w:tcW w:w="3116" w:type="dxa"/>
          </w:tcPr>
          <w:p w14:paraId="58548909" w14:textId="77777777" w:rsidR="00DE16B0" w:rsidRPr="00194ECC" w:rsidRDefault="00DE16B0" w:rsidP="00194ECC">
            <w:pPr>
              <w:spacing w:before="0" w:line="360" w:lineRule="auto"/>
              <w:rPr>
                <w:rFonts w:ascii="Calibri" w:hAnsi="Calibri" w:cs="Calibri"/>
                <w:sz w:val="22"/>
              </w:rPr>
            </w:pPr>
            <w:r w:rsidRPr="00194ECC">
              <w:rPr>
                <w:rFonts w:ascii="Calibri" w:hAnsi="Calibri" w:cs="Calibri"/>
                <w:sz w:val="22"/>
              </w:rPr>
              <w:t>Auditing is set to ON</w:t>
            </w:r>
          </w:p>
        </w:tc>
        <w:tc>
          <w:tcPr>
            <w:tcW w:w="3117" w:type="dxa"/>
          </w:tcPr>
          <w:p w14:paraId="3E19FD81" w14:textId="77777777" w:rsidR="00DE16B0" w:rsidRPr="00194ECC" w:rsidRDefault="001A03B1" w:rsidP="00194ECC">
            <w:pPr>
              <w:spacing w:before="0" w:line="360" w:lineRule="auto"/>
              <w:rPr>
                <w:rFonts w:ascii="Calibri" w:hAnsi="Calibri" w:cs="Calibri"/>
                <w:sz w:val="22"/>
              </w:rPr>
            </w:pPr>
            <w:hyperlink r:id="rId24" w:history="1">
              <w:r w:rsidR="00DE16B0" w:rsidRPr="00194ECC">
                <w:rPr>
                  <w:rStyle w:val="Hyperlink"/>
                  <w:rFonts w:ascii="Calibri" w:hAnsi="Calibri" w:cs="Calibri"/>
                  <w:sz w:val="22"/>
                </w:rPr>
                <w:t>BuiltIn_Audit ON Script</w:t>
              </w:r>
            </w:hyperlink>
          </w:p>
        </w:tc>
      </w:tr>
      <w:tr w:rsidR="00DE16B0" w:rsidRPr="00194ECC" w14:paraId="5517B420" w14:textId="77777777" w:rsidTr="006518A9">
        <w:tc>
          <w:tcPr>
            <w:tcW w:w="3116" w:type="dxa"/>
          </w:tcPr>
          <w:p w14:paraId="7116CEFC" w14:textId="77777777" w:rsidR="00DE16B0" w:rsidRPr="00194ECC" w:rsidRDefault="00DE16B0" w:rsidP="00194ECC">
            <w:pPr>
              <w:spacing w:before="0" w:line="360" w:lineRule="auto"/>
              <w:rPr>
                <w:rFonts w:ascii="Calibri" w:hAnsi="Calibri" w:cs="Calibri"/>
                <w:sz w:val="22"/>
              </w:rPr>
            </w:pPr>
            <w:r w:rsidRPr="00194ECC">
              <w:rPr>
                <w:rFonts w:ascii="Calibri" w:hAnsi="Calibri" w:cs="Calibri"/>
                <w:sz w:val="22"/>
              </w:rPr>
              <w:t>Thread detection is set to ON</w:t>
            </w:r>
          </w:p>
        </w:tc>
        <w:tc>
          <w:tcPr>
            <w:tcW w:w="3117" w:type="dxa"/>
          </w:tcPr>
          <w:p w14:paraId="130F82C0" w14:textId="77777777" w:rsidR="00DE16B0" w:rsidRPr="00194ECC" w:rsidRDefault="001A03B1" w:rsidP="00194ECC">
            <w:pPr>
              <w:spacing w:before="0" w:line="360" w:lineRule="auto"/>
              <w:rPr>
                <w:rFonts w:ascii="Calibri" w:hAnsi="Calibri" w:cs="Calibri"/>
                <w:sz w:val="22"/>
              </w:rPr>
            </w:pPr>
            <w:hyperlink r:id="rId25" w:history="1">
              <w:r w:rsidR="00DE16B0" w:rsidRPr="00194ECC">
                <w:rPr>
                  <w:rStyle w:val="Hyperlink"/>
                  <w:rFonts w:ascii="Calibri" w:hAnsi="Calibri" w:cs="Calibri"/>
                  <w:sz w:val="22"/>
                </w:rPr>
                <w:t>BuiltIn_Thread Detection Script</w:t>
              </w:r>
            </w:hyperlink>
          </w:p>
        </w:tc>
      </w:tr>
      <w:tr w:rsidR="00DE16B0" w:rsidRPr="00194ECC" w14:paraId="1C0ACE2B" w14:textId="77777777" w:rsidTr="006518A9">
        <w:tc>
          <w:tcPr>
            <w:tcW w:w="3116" w:type="dxa"/>
          </w:tcPr>
          <w:p w14:paraId="09660832" w14:textId="77777777" w:rsidR="00DE16B0" w:rsidRPr="00194ECC" w:rsidRDefault="00DE16B0" w:rsidP="00194ECC">
            <w:pPr>
              <w:spacing w:before="0" w:line="360" w:lineRule="auto"/>
              <w:rPr>
                <w:rFonts w:ascii="Calibri" w:hAnsi="Calibri" w:cs="Calibri"/>
                <w:sz w:val="22"/>
              </w:rPr>
            </w:pPr>
            <w:r w:rsidRPr="00194ECC">
              <w:rPr>
                <w:rFonts w:ascii="Calibri" w:hAnsi="Calibri" w:cs="Calibri"/>
                <w:sz w:val="22"/>
              </w:rPr>
              <w:t>Data Encryption is set to ON</w:t>
            </w:r>
          </w:p>
        </w:tc>
        <w:tc>
          <w:tcPr>
            <w:tcW w:w="3117" w:type="dxa"/>
          </w:tcPr>
          <w:p w14:paraId="2A550E1A" w14:textId="77777777" w:rsidR="00DE16B0" w:rsidRPr="00194ECC" w:rsidRDefault="001A03B1" w:rsidP="00194ECC">
            <w:pPr>
              <w:spacing w:before="0" w:line="360" w:lineRule="auto"/>
              <w:rPr>
                <w:rFonts w:ascii="Calibri" w:hAnsi="Calibri" w:cs="Calibri"/>
                <w:sz w:val="22"/>
              </w:rPr>
            </w:pPr>
            <w:hyperlink r:id="rId26" w:history="1">
              <w:r w:rsidR="00DE16B0" w:rsidRPr="00194ECC">
                <w:rPr>
                  <w:rStyle w:val="Hyperlink"/>
                  <w:rFonts w:ascii="Calibri" w:hAnsi="Calibri" w:cs="Calibri"/>
                  <w:sz w:val="22"/>
                </w:rPr>
                <w:t>BuiltIn_Data Encryption Script</w:t>
              </w:r>
            </w:hyperlink>
          </w:p>
        </w:tc>
      </w:tr>
    </w:tbl>
    <w:p w14:paraId="65940F7A" w14:textId="77777777" w:rsidR="00DE16B0" w:rsidRDefault="00DE16B0" w:rsidP="00DE16B0"/>
    <w:p w14:paraId="7C229C93" w14:textId="77777777" w:rsidR="00DE16B0" w:rsidRPr="00456BF7" w:rsidRDefault="00DE16B0" w:rsidP="00DE16B0">
      <w:pPr>
        <w:pStyle w:val="ListParagraph"/>
        <w:numPr>
          <w:ilvl w:val="0"/>
          <w:numId w:val="3"/>
        </w:numPr>
        <w:rPr>
          <w:b/>
          <w:bCs/>
        </w:rPr>
      </w:pPr>
      <w:r>
        <w:rPr>
          <w:b/>
          <w:bCs/>
        </w:rPr>
        <w:t>Network</w:t>
      </w:r>
    </w:p>
    <w:p w14:paraId="56DDAAC3" w14:textId="77777777" w:rsidR="00DE16B0" w:rsidRDefault="00DE16B0" w:rsidP="00DE16B0"/>
    <w:tbl>
      <w:tblPr>
        <w:tblStyle w:val="GridTable5Dark-Accent1"/>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5670"/>
        <w:gridCol w:w="2070"/>
      </w:tblGrid>
      <w:tr w:rsidR="000F7E59" w:rsidRPr="000D7DC3" w14:paraId="7CA057E6" w14:textId="77777777" w:rsidTr="000F7E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top w:val="none" w:sz="0" w:space="0" w:color="auto"/>
              <w:left w:val="none" w:sz="0" w:space="0" w:color="auto"/>
              <w:right w:val="none" w:sz="0" w:space="0" w:color="auto"/>
            </w:tcBorders>
            <w:vAlign w:val="center"/>
          </w:tcPr>
          <w:p w14:paraId="10ECE252" w14:textId="77777777" w:rsidR="00DE16B0" w:rsidRPr="000D7DC3" w:rsidRDefault="00DE16B0" w:rsidP="00194ECC">
            <w:pPr>
              <w:spacing w:before="0" w:line="276" w:lineRule="auto"/>
              <w:jc w:val="center"/>
              <w:rPr>
                <w:b w:val="0"/>
                <w:bCs w:val="0"/>
              </w:rPr>
            </w:pPr>
            <w:r w:rsidRPr="000D7DC3">
              <w:t>Policy Name</w:t>
            </w:r>
          </w:p>
        </w:tc>
        <w:tc>
          <w:tcPr>
            <w:tcW w:w="5670" w:type="dxa"/>
            <w:tcBorders>
              <w:top w:val="none" w:sz="0" w:space="0" w:color="auto"/>
              <w:left w:val="none" w:sz="0" w:space="0" w:color="auto"/>
              <w:right w:val="none" w:sz="0" w:space="0" w:color="auto"/>
            </w:tcBorders>
            <w:vAlign w:val="center"/>
          </w:tcPr>
          <w:p w14:paraId="6AB31158" w14:textId="77777777" w:rsidR="00DE16B0" w:rsidRPr="000D7DC3" w:rsidRDefault="00DE16B0" w:rsidP="00194ECC">
            <w:pPr>
              <w:spacing w:before="0" w:line="276" w:lineRule="auto"/>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c>
          <w:tcPr>
            <w:tcW w:w="2070" w:type="dxa"/>
            <w:tcBorders>
              <w:top w:val="none" w:sz="0" w:space="0" w:color="auto"/>
              <w:left w:val="none" w:sz="0" w:space="0" w:color="auto"/>
              <w:right w:val="none" w:sz="0" w:space="0" w:color="auto"/>
            </w:tcBorders>
            <w:vAlign w:val="center"/>
          </w:tcPr>
          <w:p w14:paraId="72AD4797" w14:textId="77777777" w:rsidR="00DE16B0" w:rsidRPr="000D7DC3" w:rsidRDefault="00DE16B0" w:rsidP="00194ECC">
            <w:pPr>
              <w:spacing w:before="0" w:line="276"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0D7DC3">
              <w:t>Future Policy</w:t>
            </w:r>
          </w:p>
        </w:tc>
      </w:tr>
      <w:tr w:rsidR="000F7E59" w14:paraId="5A034BFB" w14:textId="77777777" w:rsidTr="000F7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left w:val="none" w:sz="0" w:space="0" w:color="auto"/>
            </w:tcBorders>
          </w:tcPr>
          <w:p w14:paraId="2E591010" w14:textId="77777777" w:rsidR="00DE16B0" w:rsidRDefault="00DE16B0" w:rsidP="00194ECC">
            <w:pPr>
              <w:spacing w:before="0" w:line="276" w:lineRule="auto"/>
            </w:pPr>
            <w:r>
              <w:t>Disable RDP</w:t>
            </w:r>
          </w:p>
        </w:tc>
        <w:tc>
          <w:tcPr>
            <w:tcW w:w="5670" w:type="dxa"/>
          </w:tcPr>
          <w:p w14:paraId="29C9F2E1" w14:textId="77777777" w:rsidR="00DE16B0" w:rsidRDefault="00DE16B0" w:rsidP="00194ECC">
            <w:pPr>
              <w:spacing w:before="0" w:line="276" w:lineRule="auto"/>
              <w:cnfStyle w:val="000000100000" w:firstRow="0" w:lastRow="0" w:firstColumn="0" w:lastColumn="0" w:oddVBand="0" w:evenVBand="0" w:oddHBand="1" w:evenHBand="0" w:firstRowFirstColumn="0" w:firstRowLastColumn="0" w:lastRowFirstColumn="0" w:lastRowLastColumn="0"/>
            </w:pPr>
            <w:r w:rsidRPr="00012EAB">
              <w:t>The potential security problem with using RDP over the Internet is that attackers can use various brute-force techniques to gain access to Azure Virtual Machines. Once the attackers gain access, they can use your virtual machine as a launch point for compromising other machines on your Azure Virtual Network or even attack networked devices outside of Azure.</w:t>
            </w:r>
          </w:p>
        </w:tc>
        <w:tc>
          <w:tcPr>
            <w:tcW w:w="2070" w:type="dxa"/>
          </w:tcPr>
          <w:p w14:paraId="43777D00" w14:textId="77777777" w:rsidR="00DE16B0" w:rsidRDefault="001A03B1" w:rsidP="00194ECC">
            <w:pPr>
              <w:spacing w:before="0" w:line="276" w:lineRule="auto"/>
              <w:cnfStyle w:val="000000100000" w:firstRow="0" w:lastRow="0" w:firstColumn="0" w:lastColumn="0" w:oddVBand="0" w:evenVBand="0" w:oddHBand="1" w:evenHBand="0" w:firstRowFirstColumn="0" w:firstRowLastColumn="0" w:lastRowFirstColumn="0" w:lastRowLastColumn="0"/>
            </w:pPr>
            <w:hyperlink r:id="rId27" w:history="1">
              <w:r w:rsidR="00DE16B0">
                <w:rPr>
                  <w:rStyle w:val="Hyperlink"/>
                </w:rPr>
                <w:t>BuiltIn_NSG_RDPAccess_Audit Script</w:t>
              </w:r>
            </w:hyperlink>
          </w:p>
        </w:tc>
      </w:tr>
      <w:tr w:rsidR="000F7E59" w14:paraId="03E9043F" w14:textId="77777777" w:rsidTr="000F7E59">
        <w:tc>
          <w:tcPr>
            <w:cnfStyle w:val="001000000000" w:firstRow="0" w:lastRow="0" w:firstColumn="1" w:lastColumn="0" w:oddVBand="0" w:evenVBand="0" w:oddHBand="0" w:evenHBand="0" w:firstRowFirstColumn="0" w:firstRowLastColumn="0" w:lastRowFirstColumn="0" w:lastRowLastColumn="0"/>
            <w:tcW w:w="2335" w:type="dxa"/>
            <w:tcBorders>
              <w:left w:val="none" w:sz="0" w:space="0" w:color="auto"/>
              <w:bottom w:val="none" w:sz="0" w:space="0" w:color="auto"/>
            </w:tcBorders>
          </w:tcPr>
          <w:p w14:paraId="4B86B400" w14:textId="77777777" w:rsidR="00DE16B0" w:rsidRDefault="00DE16B0" w:rsidP="00194ECC">
            <w:pPr>
              <w:spacing w:before="0" w:line="276" w:lineRule="auto"/>
            </w:pPr>
            <w:r>
              <w:t>Disable SSH</w:t>
            </w:r>
          </w:p>
        </w:tc>
        <w:tc>
          <w:tcPr>
            <w:tcW w:w="5670" w:type="dxa"/>
          </w:tcPr>
          <w:p w14:paraId="09B43959" w14:textId="77777777" w:rsidR="00DE16B0" w:rsidRDefault="00DE16B0" w:rsidP="00194ECC">
            <w:pPr>
              <w:spacing w:before="0" w:line="276" w:lineRule="auto"/>
              <w:cnfStyle w:val="000000000000" w:firstRow="0" w:lastRow="0" w:firstColumn="0" w:lastColumn="0" w:oddVBand="0" w:evenVBand="0" w:oddHBand="0" w:evenHBand="0" w:firstRowFirstColumn="0" w:firstRowLastColumn="0" w:lastRowFirstColumn="0" w:lastRowLastColumn="0"/>
            </w:pPr>
            <w:r w:rsidRPr="00012EAB">
              <w:t>The potential security problem with using SSH over the Internet is that attackers can use various brute force techniques to gain access to Azure Virtual Machines. Once the attackers gain access, they can use your virtual machine as a launch point for compromising other machines on your Azure Virtual Network or even attack networked devices outside of Azure.</w:t>
            </w:r>
          </w:p>
        </w:tc>
        <w:tc>
          <w:tcPr>
            <w:tcW w:w="2070" w:type="dxa"/>
          </w:tcPr>
          <w:p w14:paraId="6208BA89" w14:textId="77777777" w:rsidR="00DE16B0" w:rsidRDefault="001A03B1" w:rsidP="00194ECC">
            <w:pPr>
              <w:spacing w:before="0" w:line="276" w:lineRule="auto"/>
              <w:cnfStyle w:val="000000000000" w:firstRow="0" w:lastRow="0" w:firstColumn="0" w:lastColumn="0" w:oddVBand="0" w:evenVBand="0" w:oddHBand="0" w:evenHBand="0" w:firstRowFirstColumn="0" w:firstRowLastColumn="0" w:lastRowFirstColumn="0" w:lastRowLastColumn="0"/>
            </w:pPr>
            <w:hyperlink r:id="rId28" w:history="1">
              <w:r w:rsidR="00DE16B0">
                <w:rPr>
                  <w:rStyle w:val="Hyperlink"/>
                </w:rPr>
                <w:t>BuiltIn_NSG_SSHAccess Script</w:t>
              </w:r>
            </w:hyperlink>
          </w:p>
        </w:tc>
      </w:tr>
    </w:tbl>
    <w:p w14:paraId="1D549CA3" w14:textId="77777777" w:rsidR="00DE16B0" w:rsidRDefault="00DE16B0" w:rsidP="00DE16B0"/>
    <w:p w14:paraId="5209D216" w14:textId="77777777" w:rsidR="00DE16B0" w:rsidRPr="00456BF7" w:rsidRDefault="00DE16B0" w:rsidP="00DE16B0">
      <w:pPr>
        <w:pStyle w:val="ListParagraph"/>
        <w:numPr>
          <w:ilvl w:val="0"/>
          <w:numId w:val="3"/>
        </w:numPr>
        <w:rPr>
          <w:b/>
          <w:bCs/>
        </w:rPr>
      </w:pPr>
      <w:r>
        <w:rPr>
          <w:b/>
          <w:bCs/>
        </w:rPr>
        <w:t>Compute (Virtual Machine)</w:t>
      </w:r>
    </w:p>
    <w:p w14:paraId="5DCD6AA9" w14:textId="77777777" w:rsidR="00DE16B0" w:rsidRDefault="00DE16B0" w:rsidP="00DE16B0"/>
    <w:tbl>
      <w:tblPr>
        <w:tblStyle w:val="GridTable5Dark-Accent1"/>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5670"/>
        <w:gridCol w:w="2070"/>
      </w:tblGrid>
      <w:tr w:rsidR="000F7E59" w:rsidRPr="000D7DC3" w14:paraId="70D14221" w14:textId="77777777" w:rsidTr="000F7E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top w:val="none" w:sz="0" w:space="0" w:color="auto"/>
              <w:left w:val="none" w:sz="0" w:space="0" w:color="auto"/>
              <w:right w:val="none" w:sz="0" w:space="0" w:color="auto"/>
            </w:tcBorders>
          </w:tcPr>
          <w:p w14:paraId="2C81B8FA" w14:textId="77777777" w:rsidR="00DE16B0" w:rsidRPr="000D7DC3" w:rsidRDefault="00DE16B0" w:rsidP="00194ECC">
            <w:pPr>
              <w:spacing w:before="0" w:line="276" w:lineRule="auto"/>
              <w:rPr>
                <w:b w:val="0"/>
                <w:bCs w:val="0"/>
              </w:rPr>
            </w:pPr>
            <w:r w:rsidRPr="000D7DC3">
              <w:t>Policy Name</w:t>
            </w:r>
          </w:p>
        </w:tc>
        <w:tc>
          <w:tcPr>
            <w:tcW w:w="5670" w:type="dxa"/>
            <w:tcBorders>
              <w:top w:val="none" w:sz="0" w:space="0" w:color="auto"/>
              <w:left w:val="none" w:sz="0" w:space="0" w:color="auto"/>
              <w:right w:val="none" w:sz="0" w:space="0" w:color="auto"/>
            </w:tcBorders>
          </w:tcPr>
          <w:p w14:paraId="07A211A9" w14:textId="77777777" w:rsidR="00DE16B0" w:rsidRPr="000D7DC3" w:rsidRDefault="00DE16B0" w:rsidP="00194ECC">
            <w:pPr>
              <w:spacing w:before="0" w:line="276" w:lineRule="auto"/>
              <w:cnfStyle w:val="100000000000" w:firstRow="1" w:lastRow="0" w:firstColumn="0" w:lastColumn="0" w:oddVBand="0" w:evenVBand="0" w:oddHBand="0" w:evenHBand="0" w:firstRowFirstColumn="0" w:firstRowLastColumn="0" w:lastRowFirstColumn="0" w:lastRowLastColumn="0"/>
              <w:rPr>
                <w:b w:val="0"/>
                <w:bCs w:val="0"/>
              </w:rPr>
            </w:pPr>
            <w:r>
              <w:t>Description</w:t>
            </w:r>
          </w:p>
        </w:tc>
        <w:tc>
          <w:tcPr>
            <w:tcW w:w="2070" w:type="dxa"/>
            <w:tcBorders>
              <w:top w:val="none" w:sz="0" w:space="0" w:color="auto"/>
              <w:left w:val="none" w:sz="0" w:space="0" w:color="auto"/>
              <w:right w:val="none" w:sz="0" w:space="0" w:color="auto"/>
            </w:tcBorders>
          </w:tcPr>
          <w:p w14:paraId="6F8C34C4" w14:textId="77777777" w:rsidR="00DE16B0" w:rsidRPr="000D7DC3" w:rsidRDefault="00DE16B0" w:rsidP="00194ECC">
            <w:pPr>
              <w:spacing w:before="0" w:line="276" w:lineRule="auto"/>
              <w:cnfStyle w:val="100000000000" w:firstRow="1" w:lastRow="0" w:firstColumn="0" w:lastColumn="0" w:oddVBand="0" w:evenVBand="0" w:oddHBand="0" w:evenHBand="0" w:firstRowFirstColumn="0" w:firstRowLastColumn="0" w:lastRowFirstColumn="0" w:lastRowLastColumn="0"/>
              <w:rPr>
                <w:b w:val="0"/>
                <w:bCs w:val="0"/>
              </w:rPr>
            </w:pPr>
            <w:r w:rsidRPr="000D7DC3">
              <w:t>Future Policy</w:t>
            </w:r>
          </w:p>
        </w:tc>
      </w:tr>
      <w:tr w:rsidR="00DE16B0" w14:paraId="527BEBA0" w14:textId="77777777" w:rsidTr="000F7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left w:val="none" w:sz="0" w:space="0" w:color="auto"/>
            </w:tcBorders>
          </w:tcPr>
          <w:p w14:paraId="26E2E0CE" w14:textId="77777777" w:rsidR="00DE16B0" w:rsidRDefault="00DE16B0" w:rsidP="00194ECC">
            <w:pPr>
              <w:spacing w:before="0" w:line="276" w:lineRule="auto"/>
            </w:pPr>
            <w:r>
              <w:t>Identify Missing Endpoint protection and Install for Virtual machines</w:t>
            </w:r>
          </w:p>
        </w:tc>
        <w:tc>
          <w:tcPr>
            <w:tcW w:w="5670" w:type="dxa"/>
          </w:tcPr>
          <w:p w14:paraId="68D6F934" w14:textId="77777777" w:rsidR="00DE16B0" w:rsidRDefault="00DE16B0" w:rsidP="00194ECC">
            <w:pPr>
              <w:spacing w:before="0" w:line="276" w:lineRule="auto"/>
              <w:cnfStyle w:val="000000100000" w:firstRow="0" w:lastRow="0" w:firstColumn="0" w:lastColumn="0" w:oddVBand="0" w:evenVBand="0" w:oddHBand="1" w:evenHBand="0" w:firstRowFirstColumn="0" w:firstRowLastColumn="0" w:lastRowFirstColumn="0" w:lastRowLastColumn="0"/>
            </w:pPr>
            <w:r w:rsidRPr="00012EAB">
              <w:t>Installing endpoint protection systems (antivirus/anti-malware) provides real-time protection capability that helps identify and remove viruses, spyware, and other malicious software, with configurable alerts when known malicious or unwanted software attempts to install itself or run on your Azure systems.</w:t>
            </w:r>
          </w:p>
        </w:tc>
        <w:tc>
          <w:tcPr>
            <w:tcW w:w="2070" w:type="dxa"/>
          </w:tcPr>
          <w:p w14:paraId="1A232CD7" w14:textId="77777777" w:rsidR="00DE16B0" w:rsidRDefault="001A03B1" w:rsidP="00194ECC">
            <w:pPr>
              <w:spacing w:before="0" w:line="276" w:lineRule="auto"/>
              <w:cnfStyle w:val="000000100000" w:firstRow="0" w:lastRow="0" w:firstColumn="0" w:lastColumn="0" w:oddVBand="0" w:evenVBand="0" w:oddHBand="1" w:evenHBand="0" w:firstRowFirstColumn="0" w:firstRowLastColumn="0" w:lastRowFirstColumn="0" w:lastRowLastColumn="0"/>
            </w:pPr>
            <w:hyperlink r:id="rId29" w:history="1">
              <w:r w:rsidR="00DE16B0">
                <w:rPr>
                  <w:rStyle w:val="Hyperlink"/>
                </w:rPr>
                <w:t>BuiltIn_Missing Endpoint Protection Script</w:t>
              </w:r>
            </w:hyperlink>
          </w:p>
        </w:tc>
      </w:tr>
      <w:tr w:rsidR="00DE16B0" w14:paraId="5E0358B7" w14:textId="77777777" w:rsidTr="000F7E59">
        <w:tc>
          <w:tcPr>
            <w:cnfStyle w:val="001000000000" w:firstRow="0" w:lastRow="0" w:firstColumn="1" w:lastColumn="0" w:oddVBand="0" w:evenVBand="0" w:oddHBand="0" w:evenHBand="0" w:firstRowFirstColumn="0" w:firstRowLastColumn="0" w:lastRowFirstColumn="0" w:lastRowLastColumn="0"/>
            <w:tcW w:w="2335" w:type="dxa"/>
            <w:tcBorders>
              <w:left w:val="none" w:sz="0" w:space="0" w:color="auto"/>
            </w:tcBorders>
          </w:tcPr>
          <w:p w14:paraId="770B49D0" w14:textId="77777777" w:rsidR="00DE16B0" w:rsidRDefault="00DE16B0" w:rsidP="00194ECC">
            <w:pPr>
              <w:spacing w:before="0" w:line="276" w:lineRule="auto"/>
            </w:pPr>
            <w:r>
              <w:t>Enable latest OS patch updates for Virtual Machines</w:t>
            </w:r>
          </w:p>
        </w:tc>
        <w:tc>
          <w:tcPr>
            <w:tcW w:w="5670" w:type="dxa"/>
          </w:tcPr>
          <w:p w14:paraId="071BB7F6" w14:textId="77777777" w:rsidR="00DE16B0" w:rsidRDefault="00DE16B0" w:rsidP="00194ECC">
            <w:pPr>
              <w:spacing w:before="0" w:line="276" w:lineRule="auto"/>
              <w:cnfStyle w:val="000000000000" w:firstRow="0" w:lastRow="0" w:firstColumn="0" w:lastColumn="0" w:oddVBand="0" w:evenVBand="0" w:oddHBand="0" w:evenHBand="0" w:firstRowFirstColumn="0" w:firstRowLastColumn="0" w:lastRowFirstColumn="0" w:lastRowLastColumn="0"/>
            </w:pPr>
            <w:r>
              <w:t>Ensure Latest OS Patches for virtual machines. Windows and Linux virtual machines should be kept updated to:</w:t>
            </w:r>
          </w:p>
          <w:p w14:paraId="4D6D1489" w14:textId="77777777" w:rsidR="00DE16B0" w:rsidRDefault="00DE16B0" w:rsidP="00194ECC">
            <w:pPr>
              <w:spacing w:before="0" w:line="276" w:lineRule="auto"/>
              <w:cnfStyle w:val="000000000000" w:firstRow="0" w:lastRow="0" w:firstColumn="0" w:lastColumn="0" w:oddVBand="0" w:evenVBand="0" w:oddHBand="0" w:evenHBand="0" w:firstRowFirstColumn="0" w:firstRowLastColumn="0" w:lastRowFirstColumn="0" w:lastRowLastColumn="0"/>
            </w:pPr>
            <w:r>
              <w:t>Address a specific bug or flaw</w:t>
            </w:r>
          </w:p>
          <w:p w14:paraId="6CB9A023" w14:textId="77777777" w:rsidR="00DE16B0" w:rsidRDefault="00DE16B0" w:rsidP="00194ECC">
            <w:pPr>
              <w:spacing w:before="0" w:line="276" w:lineRule="auto"/>
              <w:cnfStyle w:val="000000000000" w:firstRow="0" w:lastRow="0" w:firstColumn="0" w:lastColumn="0" w:oddVBand="0" w:evenVBand="0" w:oddHBand="0" w:evenHBand="0" w:firstRowFirstColumn="0" w:firstRowLastColumn="0" w:lastRowFirstColumn="0" w:lastRowLastColumn="0"/>
            </w:pPr>
            <w:r>
              <w:t>Improve an OS or application’s general stability</w:t>
            </w:r>
          </w:p>
          <w:p w14:paraId="28414CC9" w14:textId="77777777" w:rsidR="00DE16B0" w:rsidRDefault="00DE16B0" w:rsidP="00194ECC">
            <w:pPr>
              <w:spacing w:before="0" w:line="276" w:lineRule="auto"/>
              <w:cnfStyle w:val="000000000000" w:firstRow="0" w:lastRow="0" w:firstColumn="0" w:lastColumn="0" w:oddVBand="0" w:evenVBand="0" w:oddHBand="0" w:evenHBand="0" w:firstRowFirstColumn="0" w:firstRowLastColumn="0" w:lastRowFirstColumn="0" w:lastRowLastColumn="0"/>
            </w:pPr>
            <w:r>
              <w:t>Fix a security vulnerability</w:t>
            </w:r>
          </w:p>
        </w:tc>
        <w:tc>
          <w:tcPr>
            <w:tcW w:w="2070" w:type="dxa"/>
          </w:tcPr>
          <w:p w14:paraId="6C2B8E6A" w14:textId="77777777" w:rsidR="00DE16B0" w:rsidRDefault="001A03B1" w:rsidP="00194ECC">
            <w:pPr>
              <w:spacing w:before="0" w:line="276" w:lineRule="auto"/>
              <w:cnfStyle w:val="000000000000" w:firstRow="0" w:lastRow="0" w:firstColumn="0" w:lastColumn="0" w:oddVBand="0" w:evenVBand="0" w:oddHBand="0" w:evenHBand="0" w:firstRowFirstColumn="0" w:firstRowLastColumn="0" w:lastRowFirstColumn="0" w:lastRowLastColumn="0"/>
            </w:pPr>
            <w:hyperlink r:id="rId30" w:history="1">
              <w:r w:rsidR="00DE16B0">
                <w:rPr>
                  <w:rStyle w:val="Hyperlink"/>
                </w:rPr>
                <w:t>BuiltIn_Automatic OS Patching on Virtual Machine Script</w:t>
              </w:r>
            </w:hyperlink>
          </w:p>
        </w:tc>
      </w:tr>
      <w:tr w:rsidR="00DE16B0" w14:paraId="3A33DAB9" w14:textId="77777777" w:rsidTr="000F7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left w:val="none" w:sz="0" w:space="0" w:color="auto"/>
            </w:tcBorders>
          </w:tcPr>
          <w:p w14:paraId="416F4703" w14:textId="77777777" w:rsidR="00DE16B0" w:rsidRDefault="00DE16B0" w:rsidP="00194ECC">
            <w:pPr>
              <w:spacing w:before="0" w:line="276" w:lineRule="auto"/>
            </w:pPr>
            <w:r>
              <w:t>Enforce disk encryption on Virtual machines</w:t>
            </w:r>
          </w:p>
        </w:tc>
        <w:tc>
          <w:tcPr>
            <w:tcW w:w="5670" w:type="dxa"/>
          </w:tcPr>
          <w:p w14:paraId="65041275" w14:textId="77777777" w:rsidR="00DE16B0" w:rsidRDefault="00DE16B0" w:rsidP="00194ECC">
            <w:pPr>
              <w:spacing w:before="0" w:line="276" w:lineRule="auto"/>
              <w:cnfStyle w:val="000000100000" w:firstRow="0" w:lastRow="0" w:firstColumn="0" w:lastColumn="0" w:oddVBand="0" w:evenVBand="0" w:oddHBand="1" w:evenHBand="0" w:firstRowFirstColumn="0" w:firstRowLastColumn="0" w:lastRowFirstColumn="0" w:lastRowLastColumn="0"/>
            </w:pPr>
            <w:r w:rsidRPr="00012EAB">
              <w:t>Ensure that data disks (non-boot volumes) are encrypted, where possible. Encrypting your IaaS VM’s data disks (non-boot volume) ensures that its entire content is fully unrecoverable without a key and protects the volume from unwarranted reads.</w:t>
            </w:r>
          </w:p>
        </w:tc>
        <w:tc>
          <w:tcPr>
            <w:tcW w:w="2070" w:type="dxa"/>
          </w:tcPr>
          <w:p w14:paraId="68450092" w14:textId="77777777" w:rsidR="00DE16B0" w:rsidRDefault="001A03B1" w:rsidP="00194ECC">
            <w:pPr>
              <w:spacing w:before="0" w:line="276" w:lineRule="auto"/>
              <w:cnfStyle w:val="000000100000" w:firstRow="0" w:lastRow="0" w:firstColumn="0" w:lastColumn="0" w:oddVBand="0" w:evenVBand="0" w:oddHBand="1" w:evenHBand="0" w:firstRowFirstColumn="0" w:firstRowLastColumn="0" w:lastRowFirstColumn="0" w:lastRowLastColumn="0"/>
            </w:pPr>
            <w:hyperlink r:id="rId31" w:history="1">
              <w:r w:rsidR="00DE16B0">
                <w:rPr>
                  <w:rStyle w:val="Hyperlink"/>
                </w:rPr>
                <w:t>BuiltIn_Enforce Disk Encryption Script</w:t>
              </w:r>
            </w:hyperlink>
          </w:p>
        </w:tc>
      </w:tr>
      <w:tr w:rsidR="00DE16B0" w14:paraId="5A6BB2F4" w14:textId="77777777" w:rsidTr="000F7E59">
        <w:tc>
          <w:tcPr>
            <w:cnfStyle w:val="001000000000" w:firstRow="0" w:lastRow="0" w:firstColumn="1" w:lastColumn="0" w:oddVBand="0" w:evenVBand="0" w:oddHBand="0" w:evenHBand="0" w:firstRowFirstColumn="0" w:firstRowLastColumn="0" w:lastRowFirstColumn="0" w:lastRowLastColumn="0"/>
            <w:tcW w:w="2335" w:type="dxa"/>
            <w:tcBorders>
              <w:left w:val="none" w:sz="0" w:space="0" w:color="auto"/>
              <w:bottom w:val="none" w:sz="0" w:space="0" w:color="auto"/>
            </w:tcBorders>
          </w:tcPr>
          <w:p w14:paraId="725AC472" w14:textId="77777777" w:rsidR="00DE16B0" w:rsidRDefault="00DE16B0" w:rsidP="00194ECC">
            <w:pPr>
              <w:spacing w:before="0" w:line="276" w:lineRule="auto"/>
            </w:pPr>
            <w:r w:rsidRPr="00B062B8">
              <w:t>Enable VM agent on virtual machines.</w:t>
            </w:r>
          </w:p>
        </w:tc>
        <w:tc>
          <w:tcPr>
            <w:tcW w:w="5670" w:type="dxa"/>
          </w:tcPr>
          <w:p w14:paraId="1F2F3011" w14:textId="77777777" w:rsidR="00DE16B0" w:rsidRPr="00012EAB" w:rsidRDefault="00DE16B0" w:rsidP="00194ECC">
            <w:pPr>
              <w:spacing w:before="0" w:line="276" w:lineRule="auto"/>
              <w:cnfStyle w:val="000000000000" w:firstRow="0" w:lastRow="0" w:firstColumn="0" w:lastColumn="0" w:oddVBand="0" w:evenVBand="0" w:oddHBand="0" w:evenHBand="0" w:firstRowFirstColumn="0" w:firstRowLastColumn="0" w:lastRowFirstColumn="0" w:lastRowLastColumn="0"/>
            </w:pPr>
            <w:r>
              <w:t xml:space="preserve">Install VM agent on virtual machines. The VM agent must be installed on Azure virtual machines (VMs) </w:t>
            </w:r>
            <w:proofErr w:type="gramStart"/>
            <w:r>
              <w:t>in order to</w:t>
            </w:r>
            <w:proofErr w:type="gramEnd"/>
            <w:r>
              <w:t xml:space="preserve"> enable Azure Security Center for data collection. Security Center collects data from your VMs to assess their security state, provide security recommendations, and alert you to threats.</w:t>
            </w:r>
          </w:p>
        </w:tc>
        <w:tc>
          <w:tcPr>
            <w:tcW w:w="2070" w:type="dxa"/>
          </w:tcPr>
          <w:p w14:paraId="7053D051" w14:textId="77777777" w:rsidR="00DE16B0" w:rsidRDefault="001A03B1" w:rsidP="00194ECC">
            <w:pPr>
              <w:spacing w:before="0" w:line="276" w:lineRule="auto"/>
              <w:cnfStyle w:val="000000000000" w:firstRow="0" w:lastRow="0" w:firstColumn="0" w:lastColumn="0" w:oddVBand="0" w:evenVBand="0" w:oddHBand="0" w:evenHBand="0" w:firstRowFirstColumn="0" w:firstRowLastColumn="0" w:lastRowFirstColumn="0" w:lastRowLastColumn="0"/>
            </w:pPr>
            <w:hyperlink r:id="rId32" w:history="1">
              <w:r w:rsidR="00DE16B0">
                <w:rPr>
                  <w:rStyle w:val="Hyperlink"/>
                </w:rPr>
                <w:t>BuiltIn_Azure monitor VM Script</w:t>
              </w:r>
            </w:hyperlink>
          </w:p>
        </w:tc>
      </w:tr>
    </w:tbl>
    <w:p w14:paraId="70BD1A79" w14:textId="77777777" w:rsidR="00DE16B0" w:rsidRDefault="00DE16B0" w:rsidP="00DE16B0"/>
    <w:p w14:paraId="21AD7A03" w14:textId="77777777" w:rsidR="00DE16B0" w:rsidRPr="00456BF7" w:rsidRDefault="00DE16B0" w:rsidP="00DE16B0">
      <w:pPr>
        <w:pStyle w:val="ListParagraph"/>
        <w:numPr>
          <w:ilvl w:val="0"/>
          <w:numId w:val="3"/>
        </w:numPr>
        <w:rPr>
          <w:b/>
          <w:bCs/>
        </w:rPr>
      </w:pPr>
      <w:r>
        <w:rPr>
          <w:b/>
          <w:bCs/>
        </w:rPr>
        <w:t>Miscellaneous (Other Services)</w:t>
      </w:r>
      <w:r>
        <w:rPr>
          <w:b/>
          <w:bCs/>
        </w:rPr>
        <w:tab/>
      </w:r>
      <w:r>
        <w:rPr>
          <w:b/>
          <w:bCs/>
        </w:rPr>
        <w:tab/>
      </w:r>
    </w:p>
    <w:p w14:paraId="172E87DB" w14:textId="77777777" w:rsidR="00DE16B0" w:rsidRDefault="00DE16B0" w:rsidP="00DE16B0"/>
    <w:tbl>
      <w:tblPr>
        <w:tblStyle w:val="GridTable5Dark-Accent1"/>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5670"/>
        <w:gridCol w:w="2070"/>
      </w:tblGrid>
      <w:tr w:rsidR="00DE16B0" w:rsidRPr="000D7DC3" w14:paraId="7A959338" w14:textId="77777777" w:rsidTr="000F7E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top w:val="none" w:sz="0" w:space="0" w:color="auto"/>
              <w:left w:val="none" w:sz="0" w:space="0" w:color="auto"/>
              <w:right w:val="none" w:sz="0" w:space="0" w:color="auto"/>
            </w:tcBorders>
          </w:tcPr>
          <w:p w14:paraId="6F1E89F6" w14:textId="77777777" w:rsidR="00DE16B0" w:rsidRPr="000D7DC3" w:rsidRDefault="00DE16B0" w:rsidP="00194ECC">
            <w:pPr>
              <w:spacing w:before="0" w:line="276" w:lineRule="auto"/>
              <w:rPr>
                <w:b w:val="0"/>
                <w:bCs w:val="0"/>
              </w:rPr>
            </w:pPr>
            <w:r w:rsidRPr="000D7DC3">
              <w:t>Policy Name</w:t>
            </w:r>
          </w:p>
        </w:tc>
        <w:tc>
          <w:tcPr>
            <w:tcW w:w="5670" w:type="dxa"/>
            <w:tcBorders>
              <w:top w:val="none" w:sz="0" w:space="0" w:color="auto"/>
              <w:left w:val="none" w:sz="0" w:space="0" w:color="auto"/>
              <w:right w:val="none" w:sz="0" w:space="0" w:color="auto"/>
            </w:tcBorders>
          </w:tcPr>
          <w:p w14:paraId="019FA56C" w14:textId="77777777" w:rsidR="00DE16B0" w:rsidRPr="000D7DC3" w:rsidRDefault="00DE16B0" w:rsidP="00194ECC">
            <w:pPr>
              <w:spacing w:before="0" w:line="276" w:lineRule="auto"/>
              <w:cnfStyle w:val="100000000000" w:firstRow="1" w:lastRow="0" w:firstColumn="0" w:lastColumn="0" w:oddVBand="0" w:evenVBand="0" w:oddHBand="0" w:evenHBand="0" w:firstRowFirstColumn="0" w:firstRowLastColumn="0" w:lastRowFirstColumn="0" w:lastRowLastColumn="0"/>
              <w:rPr>
                <w:b w:val="0"/>
                <w:bCs w:val="0"/>
              </w:rPr>
            </w:pPr>
            <w:r>
              <w:t>Description</w:t>
            </w:r>
          </w:p>
        </w:tc>
        <w:tc>
          <w:tcPr>
            <w:tcW w:w="2070" w:type="dxa"/>
            <w:tcBorders>
              <w:top w:val="none" w:sz="0" w:space="0" w:color="auto"/>
              <w:left w:val="none" w:sz="0" w:space="0" w:color="auto"/>
              <w:right w:val="none" w:sz="0" w:space="0" w:color="auto"/>
            </w:tcBorders>
          </w:tcPr>
          <w:p w14:paraId="6499C7DF" w14:textId="77777777" w:rsidR="00DE16B0" w:rsidRPr="000D7DC3" w:rsidRDefault="00DE16B0" w:rsidP="00194ECC">
            <w:pPr>
              <w:spacing w:before="0" w:line="276" w:lineRule="auto"/>
              <w:cnfStyle w:val="100000000000" w:firstRow="1" w:lastRow="0" w:firstColumn="0" w:lastColumn="0" w:oddVBand="0" w:evenVBand="0" w:oddHBand="0" w:evenHBand="0" w:firstRowFirstColumn="0" w:firstRowLastColumn="0" w:lastRowFirstColumn="0" w:lastRowLastColumn="0"/>
              <w:rPr>
                <w:b w:val="0"/>
                <w:bCs w:val="0"/>
              </w:rPr>
            </w:pPr>
            <w:r w:rsidRPr="000D7DC3">
              <w:t>Future Policy</w:t>
            </w:r>
          </w:p>
        </w:tc>
      </w:tr>
      <w:tr w:rsidR="00DE16B0" w14:paraId="5C714073" w14:textId="77777777" w:rsidTr="000F7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left w:val="none" w:sz="0" w:space="0" w:color="auto"/>
            </w:tcBorders>
          </w:tcPr>
          <w:p w14:paraId="573DD583" w14:textId="77777777" w:rsidR="00DE16B0" w:rsidRDefault="00DE16B0" w:rsidP="00194ECC">
            <w:pPr>
              <w:spacing w:before="0" w:line="276" w:lineRule="auto"/>
            </w:pPr>
            <w:r>
              <w:t>Secure the subscription</w:t>
            </w:r>
          </w:p>
        </w:tc>
        <w:tc>
          <w:tcPr>
            <w:tcW w:w="5670" w:type="dxa"/>
          </w:tcPr>
          <w:p w14:paraId="7A34DA54" w14:textId="77777777" w:rsidR="00DE16B0" w:rsidRDefault="00DE16B0" w:rsidP="00194ECC">
            <w:pPr>
              <w:spacing w:before="0" w:line="276" w:lineRule="auto"/>
              <w:cnfStyle w:val="000000100000" w:firstRow="0" w:lastRow="0" w:firstColumn="0" w:lastColumn="0" w:oddVBand="0" w:evenVBand="0" w:oddHBand="1" w:evenHBand="0" w:firstRowFirstColumn="0" w:firstRowLastColumn="0" w:lastRowFirstColumn="0" w:lastRowLastColumn="0"/>
            </w:pPr>
            <w:r w:rsidRPr="00012EAB">
              <w:t>A secure Azure cloud subscription provides a core foundation upon which subsequent development and deployment activities can be conducted. An engineering team should have the capabilities to deploy and configure security in the subscription including elements such as alerts, ARM policies, RBAC, Security Center policies, JEA, Resource Locks, etc. Likewise, it should be possible to check that all settings are in conformance to a secure baseline.</w:t>
            </w:r>
          </w:p>
        </w:tc>
        <w:tc>
          <w:tcPr>
            <w:tcW w:w="2070" w:type="dxa"/>
          </w:tcPr>
          <w:p w14:paraId="58A8BD41" w14:textId="77777777" w:rsidR="00DE16B0" w:rsidRDefault="001A03B1" w:rsidP="00194ECC">
            <w:pPr>
              <w:spacing w:before="0" w:line="276" w:lineRule="auto"/>
              <w:cnfStyle w:val="000000100000" w:firstRow="0" w:lastRow="0" w:firstColumn="0" w:lastColumn="0" w:oddVBand="0" w:evenVBand="0" w:oddHBand="1" w:evenHBand="0" w:firstRowFirstColumn="0" w:firstRowLastColumn="0" w:lastRowFirstColumn="0" w:lastRowLastColumn="0"/>
            </w:pPr>
            <w:hyperlink r:id="rId33" w:history="1">
              <w:r w:rsidR="00DE16B0">
                <w:rPr>
                  <w:rStyle w:val="Hyperlink"/>
                </w:rPr>
                <w:t>BuiltIn_Secure Monitoring Subscription Script</w:t>
              </w:r>
            </w:hyperlink>
          </w:p>
        </w:tc>
      </w:tr>
      <w:tr w:rsidR="00DE16B0" w14:paraId="523B7945" w14:textId="77777777" w:rsidTr="000F7E59">
        <w:tc>
          <w:tcPr>
            <w:cnfStyle w:val="001000000000" w:firstRow="0" w:lastRow="0" w:firstColumn="1" w:lastColumn="0" w:oddVBand="0" w:evenVBand="0" w:oddHBand="0" w:evenHBand="0" w:firstRowFirstColumn="0" w:firstRowLastColumn="0" w:lastRowFirstColumn="0" w:lastRowLastColumn="0"/>
            <w:tcW w:w="2335" w:type="dxa"/>
            <w:tcBorders>
              <w:left w:val="none" w:sz="0" w:space="0" w:color="auto"/>
              <w:bottom w:val="none" w:sz="0" w:space="0" w:color="auto"/>
            </w:tcBorders>
          </w:tcPr>
          <w:p w14:paraId="7FC273CF" w14:textId="77777777" w:rsidR="00DE16B0" w:rsidRDefault="00DE16B0" w:rsidP="00194ECC">
            <w:pPr>
              <w:spacing w:before="0" w:line="276" w:lineRule="auto"/>
            </w:pPr>
            <w:r>
              <w:t>Do not grant permissions to external accounts</w:t>
            </w:r>
          </w:p>
        </w:tc>
        <w:tc>
          <w:tcPr>
            <w:tcW w:w="5670" w:type="dxa"/>
          </w:tcPr>
          <w:p w14:paraId="61E1CBF3" w14:textId="77777777" w:rsidR="00DE16B0" w:rsidRDefault="00DE16B0" w:rsidP="00194ECC">
            <w:pPr>
              <w:spacing w:before="0" w:line="276" w:lineRule="auto"/>
              <w:cnfStyle w:val="000000000000" w:firstRow="0" w:lastRow="0" w:firstColumn="0" w:lastColumn="0" w:oddVBand="0" w:evenVBand="0" w:oddHBand="0" w:evenHBand="0" w:firstRowFirstColumn="0" w:firstRowLastColumn="0" w:lastRowFirstColumn="0" w:lastRowLastColumn="0"/>
            </w:pPr>
            <w:r w:rsidRPr="00012EAB">
              <w:t xml:space="preserve">Non-AD accounts (i.e. </w:t>
            </w:r>
            <w:r>
              <w:t>123</w:t>
            </w:r>
            <w:r w:rsidRPr="00012EAB">
              <w:t>@hotmail.com) subject your cloud assets to undue risk. These accounts are not managed to the same standards as enterprise tenant identities.</w:t>
            </w:r>
          </w:p>
        </w:tc>
        <w:tc>
          <w:tcPr>
            <w:tcW w:w="2070" w:type="dxa"/>
          </w:tcPr>
          <w:p w14:paraId="2E5A1DF1" w14:textId="77777777" w:rsidR="00DE16B0" w:rsidRDefault="001A03B1" w:rsidP="00194ECC">
            <w:pPr>
              <w:spacing w:before="0" w:line="276" w:lineRule="auto"/>
              <w:cnfStyle w:val="000000000000" w:firstRow="0" w:lastRow="0" w:firstColumn="0" w:lastColumn="0" w:oddVBand="0" w:evenVBand="0" w:oddHBand="0" w:evenHBand="0" w:firstRowFirstColumn="0" w:firstRowLastColumn="0" w:lastRowFirstColumn="0" w:lastRowLastColumn="0"/>
            </w:pPr>
            <w:hyperlink r:id="rId34" w:history="1">
              <w:r w:rsidR="00DE16B0">
                <w:rPr>
                  <w:rStyle w:val="Hyperlink"/>
                </w:rPr>
                <w:t>BuiltIn_Security Baseline Configuration Script</w:t>
              </w:r>
            </w:hyperlink>
          </w:p>
        </w:tc>
      </w:tr>
    </w:tbl>
    <w:p w14:paraId="4EA83A49" w14:textId="77777777" w:rsidR="00DE16B0" w:rsidRDefault="00DE16B0" w:rsidP="00DE16B0"/>
    <w:p w14:paraId="26D0E3C7" w14:textId="5A235F91" w:rsidR="000F7E59" w:rsidRDefault="00B12163" w:rsidP="00DE16B0">
      <w:r>
        <w:t xml:space="preserve">Based on the requirement from the customer environment, we can apply built in Security policy and fine tune the requirement. Server Migration Built in security policy available in the </w:t>
      </w:r>
      <w:hyperlink r:id="rId35" w:history="1">
        <w:r>
          <w:rPr>
            <w:rStyle w:val="Hyperlink"/>
          </w:rPr>
          <w:t>Link</w:t>
        </w:r>
      </w:hyperlink>
      <w:r>
        <w:t>.</w:t>
      </w:r>
    </w:p>
    <w:p w14:paraId="36BF1A4B" w14:textId="77777777" w:rsidR="000F7E59" w:rsidRDefault="000F7E59" w:rsidP="00DE16B0"/>
    <w:p w14:paraId="5C607048" w14:textId="77777777" w:rsidR="000F7E59" w:rsidRDefault="000F7E59" w:rsidP="00DE16B0"/>
    <w:p w14:paraId="7AC06D78" w14:textId="77777777" w:rsidR="000F7E59" w:rsidRDefault="000F7E59" w:rsidP="00DE16B0"/>
    <w:p w14:paraId="43348357" w14:textId="77777777" w:rsidR="000F7E59" w:rsidRDefault="000F7E59" w:rsidP="00DE16B0"/>
    <w:p w14:paraId="509F6610" w14:textId="77777777" w:rsidR="000F7E59" w:rsidRDefault="000F7E59" w:rsidP="00DE16B0"/>
    <w:p w14:paraId="0E1B5C44" w14:textId="77777777" w:rsidR="000F7E59" w:rsidRPr="00BD2A3C" w:rsidRDefault="000F7E59" w:rsidP="00DE16B0"/>
    <w:p w14:paraId="4AAF581F" w14:textId="77777777" w:rsidR="00DE16B0" w:rsidRPr="007D53BF" w:rsidRDefault="00DE16B0" w:rsidP="000F7E59">
      <w:pPr>
        <w:pStyle w:val="Heading1"/>
        <w:spacing w:before="240" w:after="240"/>
        <w:ind w:left="547" w:hanging="547"/>
        <w:rPr>
          <w:color w:val="00B0F0"/>
        </w:rPr>
      </w:pPr>
      <w:bookmarkStart w:id="26" w:name="_Toc42624012"/>
      <w:bookmarkStart w:id="27" w:name="_Toc42625068"/>
      <w:r w:rsidRPr="007D53BF">
        <w:rPr>
          <w:color w:val="00B0F0"/>
        </w:rPr>
        <w:t>Appendix A</w:t>
      </w:r>
      <w:bookmarkEnd w:id="18"/>
      <w:bookmarkEnd w:id="19"/>
      <w:bookmarkEnd w:id="26"/>
      <w:bookmarkEnd w:id="27"/>
    </w:p>
    <w:tbl>
      <w:tblPr>
        <w:tblStyle w:val="GridTable5Dark-Accent1"/>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5"/>
        <w:gridCol w:w="5760"/>
      </w:tblGrid>
      <w:tr w:rsidR="00DE16B0" w14:paraId="5DC0F1FE" w14:textId="77777777" w:rsidTr="000F7E59">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3775" w:type="dxa"/>
            <w:tcBorders>
              <w:top w:val="none" w:sz="0" w:space="0" w:color="auto"/>
              <w:left w:val="none" w:sz="0" w:space="0" w:color="auto"/>
              <w:right w:val="none" w:sz="0" w:space="0" w:color="auto"/>
            </w:tcBorders>
          </w:tcPr>
          <w:p w14:paraId="43D478AD" w14:textId="77777777" w:rsidR="00DE16B0" w:rsidRPr="00BA1460" w:rsidRDefault="00DE16B0" w:rsidP="000F7E59">
            <w:pPr>
              <w:spacing w:before="0" w:line="276" w:lineRule="auto"/>
            </w:pPr>
            <w:bookmarkStart w:id="28" w:name="_Toc284316928"/>
            <w:r>
              <w:t xml:space="preserve">Reference </w:t>
            </w:r>
          </w:p>
        </w:tc>
        <w:tc>
          <w:tcPr>
            <w:tcW w:w="5760" w:type="dxa"/>
            <w:tcBorders>
              <w:top w:val="none" w:sz="0" w:space="0" w:color="auto"/>
              <w:left w:val="none" w:sz="0" w:space="0" w:color="auto"/>
              <w:right w:val="none" w:sz="0" w:space="0" w:color="auto"/>
            </w:tcBorders>
          </w:tcPr>
          <w:p w14:paraId="49264F67" w14:textId="77777777" w:rsidR="00DE16B0" w:rsidRDefault="00DE16B0" w:rsidP="000F7E59">
            <w:pPr>
              <w:spacing w:before="0" w:line="276" w:lineRule="auto"/>
              <w:cnfStyle w:val="100000000000" w:firstRow="1" w:lastRow="0" w:firstColumn="0" w:lastColumn="0" w:oddVBand="0" w:evenVBand="0" w:oddHBand="0" w:evenHBand="0" w:firstRowFirstColumn="0" w:firstRowLastColumn="0" w:lastRowFirstColumn="0" w:lastRowLastColumn="0"/>
            </w:pPr>
            <w:r>
              <w:t>Description</w:t>
            </w:r>
          </w:p>
        </w:tc>
      </w:tr>
      <w:tr w:rsidR="00DE16B0" w:rsidRPr="00576762" w14:paraId="2E94CD1D" w14:textId="77777777" w:rsidTr="00194ECC">
        <w:trPr>
          <w:cnfStyle w:val="000000100000" w:firstRow="0" w:lastRow="0" w:firstColumn="0" w:lastColumn="0" w:oddVBand="0" w:evenVBand="0" w:oddHBand="1" w:evenHBand="0" w:firstRowFirstColumn="0" w:firstRowLastColumn="0" w:lastRowFirstColumn="0" w:lastRowLastColumn="0"/>
          <w:trHeight w:val="1520"/>
        </w:trPr>
        <w:tc>
          <w:tcPr>
            <w:cnfStyle w:val="001000000000" w:firstRow="0" w:lastRow="0" w:firstColumn="1" w:lastColumn="0" w:oddVBand="0" w:evenVBand="0" w:oddHBand="0" w:evenHBand="0" w:firstRowFirstColumn="0" w:firstRowLastColumn="0" w:lastRowFirstColumn="0" w:lastRowLastColumn="0"/>
            <w:tcW w:w="3775" w:type="dxa"/>
            <w:tcBorders>
              <w:left w:val="none" w:sz="0" w:space="0" w:color="auto"/>
            </w:tcBorders>
          </w:tcPr>
          <w:p w14:paraId="4E10735E" w14:textId="77777777" w:rsidR="00DE16B0" w:rsidRPr="00194ECC" w:rsidRDefault="001A03B1" w:rsidP="000F7E59">
            <w:pPr>
              <w:spacing w:before="0" w:line="276" w:lineRule="auto"/>
              <w:rPr>
                <w:b w:val="0"/>
                <w:bCs w:val="0"/>
              </w:rPr>
            </w:pPr>
            <w:hyperlink r:id="rId36" w:history="1">
              <w:r w:rsidR="00DE16B0" w:rsidRPr="00194ECC">
                <w:rPr>
                  <w:rStyle w:val="Hyperlink"/>
                  <w:b w:val="0"/>
                  <w:bCs w:val="0"/>
                  <w:color w:val="FFFFFF" w:themeColor="background1"/>
                </w:rPr>
                <w:t>Azure RBAC</w:t>
              </w:r>
            </w:hyperlink>
          </w:p>
        </w:tc>
        <w:tc>
          <w:tcPr>
            <w:tcW w:w="5760" w:type="dxa"/>
          </w:tcPr>
          <w:p w14:paraId="6826ABAC" w14:textId="77777777" w:rsidR="00DE16B0" w:rsidRPr="00576762" w:rsidRDefault="00DE16B0" w:rsidP="000F7E59">
            <w:pPr>
              <w:spacing w:before="0" w:line="276" w:lineRule="auto"/>
              <w:cnfStyle w:val="000000100000" w:firstRow="0" w:lastRow="0" w:firstColumn="0" w:lastColumn="0" w:oddVBand="0" w:evenVBand="0" w:oddHBand="1" w:evenHBand="0" w:firstRowFirstColumn="0" w:firstRowLastColumn="0" w:lastRowFirstColumn="0" w:lastRowLastColumn="0"/>
              <w:rPr>
                <w:sz w:val="20"/>
              </w:rPr>
            </w:pPr>
            <w:r w:rsidRPr="00576762">
              <w:rPr>
                <w:sz w:val="20"/>
              </w:rPr>
              <w:t>Azure role-based access control (Azure RBAC) is a system that provides fine-grained access management of Azure resources. Using Azure RBAC, you can segregate duties within your team and grant only the amount of access to users that they need to perform their jobs.</w:t>
            </w:r>
          </w:p>
        </w:tc>
      </w:tr>
      <w:tr w:rsidR="00DE16B0" w:rsidRPr="00576762" w14:paraId="68D07587" w14:textId="77777777" w:rsidTr="00194ECC">
        <w:trPr>
          <w:trHeight w:val="528"/>
        </w:trPr>
        <w:tc>
          <w:tcPr>
            <w:cnfStyle w:val="001000000000" w:firstRow="0" w:lastRow="0" w:firstColumn="1" w:lastColumn="0" w:oddVBand="0" w:evenVBand="0" w:oddHBand="0" w:evenHBand="0" w:firstRowFirstColumn="0" w:firstRowLastColumn="0" w:lastRowFirstColumn="0" w:lastRowLastColumn="0"/>
            <w:tcW w:w="3775" w:type="dxa"/>
            <w:tcBorders>
              <w:left w:val="none" w:sz="0" w:space="0" w:color="auto"/>
              <w:bottom w:val="none" w:sz="0" w:space="0" w:color="auto"/>
            </w:tcBorders>
          </w:tcPr>
          <w:p w14:paraId="1D8D8D08" w14:textId="77777777" w:rsidR="00DE16B0" w:rsidRPr="00194ECC" w:rsidRDefault="001A03B1" w:rsidP="000F7E59">
            <w:pPr>
              <w:spacing w:before="0" w:line="276" w:lineRule="auto"/>
              <w:rPr>
                <w:b w:val="0"/>
                <w:bCs w:val="0"/>
              </w:rPr>
            </w:pPr>
            <w:hyperlink r:id="rId37" w:history="1">
              <w:r w:rsidR="00DE16B0" w:rsidRPr="00194ECC">
                <w:rPr>
                  <w:rStyle w:val="Hyperlink"/>
                  <w:b w:val="0"/>
                  <w:bCs w:val="0"/>
                  <w:color w:val="FFFFFF" w:themeColor="background1"/>
                </w:rPr>
                <w:t>Microsoft-Cloud-Adoption-Framework-Strategy-and-Plan-Template</w:t>
              </w:r>
            </w:hyperlink>
            <w:r w:rsidR="00DE16B0" w:rsidRPr="00194ECC">
              <w:rPr>
                <w:b w:val="0"/>
                <w:bCs w:val="0"/>
              </w:rPr>
              <w:t xml:space="preserve"> </w:t>
            </w:r>
          </w:p>
        </w:tc>
        <w:tc>
          <w:tcPr>
            <w:tcW w:w="5760" w:type="dxa"/>
            <w:shd w:val="clear" w:color="auto" w:fill="B4C6E7" w:themeFill="accent1" w:themeFillTint="66"/>
          </w:tcPr>
          <w:p w14:paraId="5A6827EC" w14:textId="77777777" w:rsidR="00DE16B0" w:rsidRPr="00576762" w:rsidRDefault="000F7E59" w:rsidP="000F7E59">
            <w:pPr>
              <w:spacing w:before="0" w:line="276" w:lineRule="auto"/>
              <w:cnfStyle w:val="000000000000" w:firstRow="0" w:lastRow="0" w:firstColumn="0" w:lastColumn="0" w:oddVBand="0" w:evenVBand="0" w:oddHBand="0" w:evenHBand="0" w:firstRowFirstColumn="0" w:firstRowLastColumn="0" w:lastRowFirstColumn="0" w:lastRowLastColumn="0"/>
              <w:rPr>
                <w:rFonts w:cstheme="minorHAnsi"/>
                <w:color w:val="171717"/>
                <w:sz w:val="20"/>
              </w:rPr>
            </w:pPr>
            <w:r>
              <w:rPr>
                <w:rFonts w:cstheme="minorHAnsi"/>
                <w:color w:val="171717"/>
                <w:sz w:val="20"/>
              </w:rPr>
              <w:t>Document decisions as you execute your cloud adoption strategy and plan.</w:t>
            </w:r>
          </w:p>
        </w:tc>
      </w:tr>
      <w:bookmarkEnd w:id="28"/>
    </w:tbl>
    <w:p w14:paraId="2039B25B" w14:textId="77777777" w:rsidR="00D956B6" w:rsidRDefault="00D956B6"/>
    <w:sectPr w:rsidR="00D956B6" w:rsidSect="00DE16B0">
      <w:headerReference w:type="even" r:id="rId38"/>
      <w:headerReference w:type="default" r:id="rId39"/>
      <w:footerReference w:type="even" r:id="rId40"/>
      <w:footerReference w:type="default" r:id="rId41"/>
      <w:headerReference w:type="first" r:id="rId42"/>
      <w:footerReference w:type="first" r:id="rId43"/>
      <w:pgSz w:w="12240" w:h="15840"/>
      <w:pgMar w:top="1008" w:right="1080" w:bottom="720" w:left="1170" w:header="274" w:footer="67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61FD88" w14:textId="77777777" w:rsidR="00CD6D80" w:rsidRDefault="00CD6D80" w:rsidP="00DE16B0">
      <w:pPr>
        <w:spacing w:before="0"/>
      </w:pPr>
      <w:r>
        <w:separator/>
      </w:r>
    </w:p>
  </w:endnote>
  <w:endnote w:type="continuationSeparator" w:id="0">
    <w:p w14:paraId="0ABB0391" w14:textId="77777777" w:rsidR="00CD6D80" w:rsidRDefault="00CD6D80" w:rsidP="00DE16B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21561F" w14:textId="77777777" w:rsidR="00B12163" w:rsidRDefault="00B121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5594259"/>
      <w:docPartObj>
        <w:docPartGallery w:val="Page Numbers (Bottom of Page)"/>
        <w:docPartUnique/>
      </w:docPartObj>
    </w:sdtPr>
    <w:sdtEndPr>
      <w:rPr>
        <w:color w:val="7F7F7F" w:themeColor="background1" w:themeShade="7F"/>
        <w:spacing w:val="60"/>
        <w:sz w:val="20"/>
      </w:rPr>
    </w:sdtEndPr>
    <w:sdtContent>
      <w:p w14:paraId="73EB4EBD" w14:textId="77777777" w:rsidR="00034FEF" w:rsidRPr="00DE16B0" w:rsidRDefault="00DE16B0" w:rsidP="00DE16B0">
        <w:pPr>
          <w:pStyle w:val="Footer"/>
          <w:pBdr>
            <w:top w:val="single" w:sz="4" w:space="1" w:color="D9D9D9" w:themeColor="background1" w:themeShade="D9"/>
          </w:pBdr>
          <w:tabs>
            <w:tab w:val="clear" w:pos="8640"/>
            <w:tab w:val="left" w:pos="9000"/>
          </w:tabs>
          <w:rPr>
            <w:sz w:val="20"/>
          </w:rPr>
        </w:pPr>
        <w:r w:rsidRPr="00DE16B0">
          <w:rPr>
            <w:sz w:val="20"/>
          </w:rPr>
          <w:t xml:space="preserve">CAF Server Migration Security Policy </w:t>
        </w:r>
        <w:r>
          <w:rPr>
            <w:sz w:val="20"/>
          </w:rPr>
          <w:tab/>
        </w:r>
        <w:r>
          <w:rPr>
            <w:sz w:val="20"/>
          </w:rPr>
          <w:tab/>
        </w:r>
        <w:r w:rsidRPr="00DE16B0">
          <w:rPr>
            <w:sz w:val="20"/>
          </w:rPr>
          <w:fldChar w:fldCharType="begin"/>
        </w:r>
        <w:r w:rsidRPr="00DE16B0">
          <w:rPr>
            <w:sz w:val="20"/>
          </w:rPr>
          <w:instrText xml:space="preserve"> PAGE   \* MERGEFORMAT </w:instrText>
        </w:r>
        <w:r w:rsidRPr="00DE16B0">
          <w:rPr>
            <w:sz w:val="20"/>
          </w:rPr>
          <w:fldChar w:fldCharType="separate"/>
        </w:r>
        <w:r w:rsidRPr="00DE16B0">
          <w:rPr>
            <w:noProof/>
            <w:sz w:val="20"/>
          </w:rPr>
          <w:t>2</w:t>
        </w:r>
        <w:r w:rsidRPr="00DE16B0">
          <w:rPr>
            <w:noProof/>
            <w:sz w:val="20"/>
          </w:rPr>
          <w:fldChar w:fldCharType="end"/>
        </w:r>
        <w:r w:rsidRPr="00DE16B0">
          <w:rPr>
            <w:sz w:val="20"/>
          </w:rPr>
          <w:t xml:space="preserve"> | </w:t>
        </w:r>
        <w:r w:rsidRPr="00DE16B0">
          <w:rPr>
            <w:color w:val="7F7F7F" w:themeColor="background1" w:themeShade="7F"/>
            <w:spacing w:val="60"/>
            <w:sz w:val="20"/>
          </w:rPr>
          <w:t>Page</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38116" w14:textId="77777777" w:rsidR="00B12163" w:rsidRDefault="00B12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9C4D6C" w14:textId="77777777" w:rsidR="00CD6D80" w:rsidRDefault="00CD6D80" w:rsidP="00DE16B0">
      <w:pPr>
        <w:spacing w:before="0"/>
      </w:pPr>
      <w:r>
        <w:separator/>
      </w:r>
    </w:p>
  </w:footnote>
  <w:footnote w:type="continuationSeparator" w:id="0">
    <w:p w14:paraId="48B77944" w14:textId="77777777" w:rsidR="00CD6D80" w:rsidRDefault="00CD6D80" w:rsidP="00DE16B0">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248A7" w14:textId="77777777" w:rsidR="00B12163" w:rsidRDefault="00B121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FB68D" w14:textId="77777777" w:rsidR="00DE16B0" w:rsidRDefault="00DE16B0">
    <w:pPr>
      <w:pStyle w:val="Header"/>
    </w:pPr>
    <w:r w:rsidRPr="00B22145">
      <w:rPr>
        <w:noProof/>
      </w:rPr>
      <w:drawing>
        <wp:anchor distT="0" distB="0" distL="114300" distR="114300" simplePos="0" relativeHeight="251659264" behindDoc="0" locked="0" layoutInCell="1" allowOverlap="1" wp14:anchorId="7ED7A757" wp14:editId="323BAD77">
          <wp:simplePos x="0" y="0"/>
          <wp:positionH relativeFrom="column">
            <wp:posOffset>53340</wp:posOffset>
          </wp:positionH>
          <wp:positionV relativeFrom="paragraph">
            <wp:posOffset>14605</wp:posOffset>
          </wp:positionV>
          <wp:extent cx="1262270" cy="269828"/>
          <wp:effectExtent l="0" t="0" r="0" b="0"/>
          <wp:wrapTopAndBottom/>
          <wp:docPr id="27" name="Picture 27"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FT_logo_rgb_C-Gray_Tri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2270" cy="269828"/>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D8665" w14:textId="77777777" w:rsidR="00B12163" w:rsidRDefault="00B121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B486C"/>
    <w:multiLevelType w:val="hybridMultilevel"/>
    <w:tmpl w:val="23245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0840F0"/>
    <w:multiLevelType w:val="hybridMultilevel"/>
    <w:tmpl w:val="01F8E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6EA3181"/>
    <w:multiLevelType w:val="multilevel"/>
    <w:tmpl w:val="5A9C85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Calibri" w:hAnsi="Calibri" w:cs="Calibri" w:hint="default"/>
        <w:b w:val="0"/>
        <w:bCs w:val="0"/>
        <w:i w:val="0"/>
        <w:iCs w:val="0"/>
        <w:caps w:val="0"/>
        <w:smallCaps w:val="0"/>
        <w:strike w:val="0"/>
        <w:dstrike w:val="0"/>
        <w:noProof w:val="0"/>
        <w:vanish w:val="0"/>
        <w:color w:val="000000"/>
        <w:spacing w:val="0"/>
        <w:kern w:val="0"/>
        <w:position w:val="0"/>
        <w:sz w:val="24"/>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6B0"/>
    <w:rsid w:val="00056FB1"/>
    <w:rsid w:val="000F7E59"/>
    <w:rsid w:val="00194ECC"/>
    <w:rsid w:val="001A03B1"/>
    <w:rsid w:val="008F7DC4"/>
    <w:rsid w:val="00B12163"/>
    <w:rsid w:val="00CD6D80"/>
    <w:rsid w:val="00D956B6"/>
    <w:rsid w:val="00DE1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5B1ACFD"/>
  <w15:chartTrackingRefBased/>
  <w15:docId w15:val="{B2CE3664-0116-49F2-BE9F-2D2AD391E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6B0"/>
    <w:pPr>
      <w:spacing w:before="120" w:after="0" w:line="240" w:lineRule="auto"/>
    </w:pPr>
    <w:rPr>
      <w:rFonts w:eastAsia="Times New Roman" w:cs="Times New Roman"/>
      <w:szCs w:val="20"/>
    </w:rPr>
  </w:style>
  <w:style w:type="paragraph" w:styleId="Heading1">
    <w:name w:val="heading 1"/>
    <w:basedOn w:val="Normal"/>
    <w:next w:val="Normal"/>
    <w:link w:val="Heading1Char"/>
    <w:qFormat/>
    <w:rsid w:val="00DE16B0"/>
    <w:pPr>
      <w:keepNext/>
      <w:numPr>
        <w:numId w:val="1"/>
      </w:numPr>
      <w:tabs>
        <w:tab w:val="clear" w:pos="432"/>
        <w:tab w:val="left" w:pos="540"/>
      </w:tabs>
      <w:spacing w:before="360" w:after="60"/>
      <w:ind w:left="540" w:hanging="540"/>
      <w:outlineLvl w:val="0"/>
    </w:pPr>
    <w:rPr>
      <w:rFonts w:asciiTheme="majorHAnsi" w:hAnsiTheme="majorHAnsi" w:cs="Arial"/>
      <w:b/>
      <w:bCs/>
      <w:color w:val="222A35" w:themeColor="text2" w:themeShade="80"/>
      <w:kern w:val="32"/>
      <w:sz w:val="28"/>
      <w:szCs w:val="32"/>
    </w:rPr>
  </w:style>
  <w:style w:type="paragraph" w:styleId="Heading2">
    <w:name w:val="heading 2"/>
    <w:basedOn w:val="Normal"/>
    <w:next w:val="BodyText"/>
    <w:link w:val="Heading2Char"/>
    <w:qFormat/>
    <w:rsid w:val="008F7DC4"/>
    <w:pPr>
      <w:keepNext/>
      <w:numPr>
        <w:ilvl w:val="1"/>
        <w:numId w:val="1"/>
      </w:numPr>
      <w:tabs>
        <w:tab w:val="left" w:pos="360"/>
      </w:tabs>
      <w:spacing w:before="240" w:after="60"/>
      <w:outlineLvl w:val="1"/>
    </w:pPr>
    <w:rPr>
      <w:rFonts w:ascii="Calibri" w:hAnsi="Calibri" w:cs="Arial"/>
      <w:b/>
      <w:bCs/>
      <w:color w:val="4472C4" w:themeColor="accent1"/>
      <w:sz w:val="24"/>
      <w:szCs w:val="28"/>
    </w:rPr>
  </w:style>
  <w:style w:type="paragraph" w:styleId="Heading3">
    <w:name w:val="heading 3"/>
    <w:basedOn w:val="Normal"/>
    <w:next w:val="BodyText"/>
    <w:link w:val="Heading3Char"/>
    <w:qFormat/>
    <w:rsid w:val="00DE16B0"/>
    <w:pPr>
      <w:keepNext/>
      <w:numPr>
        <w:ilvl w:val="2"/>
        <w:numId w:val="1"/>
      </w:numPr>
      <w:spacing w:before="240" w:after="60"/>
      <w:outlineLvl w:val="2"/>
    </w:pPr>
    <w:rPr>
      <w:rFonts w:cs="Arial"/>
      <w:b/>
      <w:bCs/>
      <w:color w:val="323E4F" w:themeColor="text2" w:themeShade="BF"/>
      <w:szCs w:val="26"/>
    </w:rPr>
  </w:style>
  <w:style w:type="paragraph" w:styleId="Heading4">
    <w:name w:val="heading 4"/>
    <w:basedOn w:val="Normal"/>
    <w:next w:val="Normal"/>
    <w:link w:val="Heading4Char"/>
    <w:qFormat/>
    <w:rsid w:val="00DE16B0"/>
    <w:pPr>
      <w:keepNext/>
      <w:numPr>
        <w:ilvl w:val="3"/>
        <w:numId w:val="1"/>
      </w:numPr>
      <w:spacing w:before="240" w:after="60"/>
      <w:outlineLvl w:val="3"/>
    </w:pPr>
    <w:rPr>
      <w:b/>
      <w:bCs/>
      <w:color w:val="323E4F" w:themeColor="text2" w:themeShade="BF"/>
      <w:szCs w:val="28"/>
    </w:rPr>
  </w:style>
  <w:style w:type="paragraph" w:styleId="Heading5">
    <w:name w:val="heading 5"/>
    <w:basedOn w:val="Normal"/>
    <w:next w:val="Normal"/>
    <w:link w:val="Heading5Char"/>
    <w:qFormat/>
    <w:rsid w:val="00DE16B0"/>
    <w:pPr>
      <w:numPr>
        <w:ilvl w:val="4"/>
        <w:numId w:val="1"/>
      </w:numPr>
      <w:spacing w:before="240" w:after="60"/>
      <w:outlineLvl w:val="4"/>
    </w:pPr>
    <w:rPr>
      <w:b/>
      <w:bCs/>
      <w:i/>
      <w:iCs/>
      <w:sz w:val="20"/>
      <w:szCs w:val="26"/>
    </w:rPr>
  </w:style>
  <w:style w:type="paragraph" w:styleId="Heading6">
    <w:name w:val="heading 6"/>
    <w:basedOn w:val="Normal"/>
    <w:next w:val="Normal"/>
    <w:link w:val="Heading6Char"/>
    <w:qFormat/>
    <w:rsid w:val="00DE16B0"/>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DE16B0"/>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DE16B0"/>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DE16B0"/>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16B0"/>
    <w:rPr>
      <w:rFonts w:asciiTheme="majorHAnsi" w:eastAsia="Times New Roman" w:hAnsiTheme="majorHAnsi" w:cs="Arial"/>
      <w:b/>
      <w:bCs/>
      <w:color w:val="222A35" w:themeColor="text2" w:themeShade="80"/>
      <w:kern w:val="32"/>
      <w:sz w:val="28"/>
      <w:szCs w:val="32"/>
    </w:rPr>
  </w:style>
  <w:style w:type="character" w:customStyle="1" w:styleId="Heading2Char">
    <w:name w:val="Heading 2 Char"/>
    <w:basedOn w:val="DefaultParagraphFont"/>
    <w:link w:val="Heading2"/>
    <w:rsid w:val="008F7DC4"/>
    <w:rPr>
      <w:rFonts w:ascii="Calibri" w:eastAsia="Times New Roman" w:hAnsi="Calibri" w:cs="Arial"/>
      <w:b/>
      <w:bCs/>
      <w:color w:val="4472C4" w:themeColor="accent1"/>
      <w:sz w:val="24"/>
      <w:szCs w:val="28"/>
    </w:rPr>
  </w:style>
  <w:style w:type="character" w:customStyle="1" w:styleId="Heading3Char">
    <w:name w:val="Heading 3 Char"/>
    <w:basedOn w:val="DefaultParagraphFont"/>
    <w:link w:val="Heading3"/>
    <w:rsid w:val="00DE16B0"/>
    <w:rPr>
      <w:rFonts w:eastAsia="Times New Roman" w:cs="Arial"/>
      <w:b/>
      <w:bCs/>
      <w:color w:val="323E4F" w:themeColor="text2" w:themeShade="BF"/>
      <w:szCs w:val="26"/>
    </w:rPr>
  </w:style>
  <w:style w:type="character" w:customStyle="1" w:styleId="Heading4Char">
    <w:name w:val="Heading 4 Char"/>
    <w:basedOn w:val="DefaultParagraphFont"/>
    <w:link w:val="Heading4"/>
    <w:rsid w:val="00DE16B0"/>
    <w:rPr>
      <w:rFonts w:eastAsia="Times New Roman" w:cs="Times New Roman"/>
      <w:b/>
      <w:bCs/>
      <w:color w:val="323E4F" w:themeColor="text2" w:themeShade="BF"/>
      <w:szCs w:val="28"/>
    </w:rPr>
  </w:style>
  <w:style w:type="character" w:customStyle="1" w:styleId="Heading5Char">
    <w:name w:val="Heading 5 Char"/>
    <w:basedOn w:val="DefaultParagraphFont"/>
    <w:link w:val="Heading5"/>
    <w:rsid w:val="00DE16B0"/>
    <w:rPr>
      <w:rFonts w:eastAsia="Times New Roman" w:cs="Times New Roman"/>
      <w:b/>
      <w:bCs/>
      <w:i/>
      <w:iCs/>
      <w:sz w:val="20"/>
      <w:szCs w:val="26"/>
    </w:rPr>
  </w:style>
  <w:style w:type="character" w:customStyle="1" w:styleId="Heading6Char">
    <w:name w:val="Heading 6 Char"/>
    <w:basedOn w:val="DefaultParagraphFont"/>
    <w:link w:val="Heading6"/>
    <w:rsid w:val="00DE16B0"/>
    <w:rPr>
      <w:rFonts w:ascii="Times New Roman" w:eastAsia="Times New Roman" w:hAnsi="Times New Roman" w:cs="Times New Roman"/>
      <w:b/>
      <w:bCs/>
    </w:rPr>
  </w:style>
  <w:style w:type="character" w:customStyle="1" w:styleId="Heading7Char">
    <w:name w:val="Heading 7 Char"/>
    <w:basedOn w:val="DefaultParagraphFont"/>
    <w:link w:val="Heading7"/>
    <w:rsid w:val="00DE16B0"/>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DE16B0"/>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DE16B0"/>
    <w:rPr>
      <w:rFonts w:eastAsia="Times New Roman" w:cs="Arial"/>
    </w:rPr>
  </w:style>
  <w:style w:type="paragraph" w:styleId="BodyText">
    <w:name w:val="Body Text"/>
    <w:basedOn w:val="Normal"/>
    <w:link w:val="BodyTextChar"/>
    <w:rsid w:val="00DE16B0"/>
    <w:pPr>
      <w:spacing w:after="120" w:line="280" w:lineRule="exact"/>
      <w:jc w:val="both"/>
    </w:pPr>
  </w:style>
  <w:style w:type="character" w:customStyle="1" w:styleId="BodyTextChar">
    <w:name w:val="Body Text Char"/>
    <w:basedOn w:val="DefaultParagraphFont"/>
    <w:link w:val="BodyText"/>
    <w:rsid w:val="00DE16B0"/>
    <w:rPr>
      <w:rFonts w:eastAsia="Times New Roman" w:cs="Times New Roman"/>
      <w:szCs w:val="20"/>
    </w:rPr>
  </w:style>
  <w:style w:type="paragraph" w:styleId="Footer">
    <w:name w:val="footer"/>
    <w:basedOn w:val="Normal"/>
    <w:link w:val="FooterChar"/>
    <w:uiPriority w:val="99"/>
    <w:rsid w:val="00DE16B0"/>
    <w:pPr>
      <w:tabs>
        <w:tab w:val="center" w:pos="4320"/>
        <w:tab w:val="right" w:pos="8640"/>
      </w:tabs>
    </w:pPr>
    <w:rPr>
      <w:sz w:val="16"/>
    </w:rPr>
  </w:style>
  <w:style w:type="character" w:customStyle="1" w:styleId="FooterChar">
    <w:name w:val="Footer Char"/>
    <w:basedOn w:val="DefaultParagraphFont"/>
    <w:link w:val="Footer"/>
    <w:uiPriority w:val="99"/>
    <w:rsid w:val="00DE16B0"/>
    <w:rPr>
      <w:rFonts w:eastAsia="Times New Roman" w:cs="Times New Roman"/>
      <w:sz w:val="16"/>
      <w:szCs w:val="20"/>
    </w:rPr>
  </w:style>
  <w:style w:type="table" w:styleId="TableGrid">
    <w:name w:val="Table Grid"/>
    <w:basedOn w:val="TableNormal"/>
    <w:uiPriority w:val="39"/>
    <w:rsid w:val="00DE16B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E16B0"/>
    <w:rPr>
      <w:color w:val="0000FF"/>
      <w:u w:val="single"/>
    </w:rPr>
  </w:style>
  <w:style w:type="paragraph" w:styleId="ListParagraph">
    <w:name w:val="List Paragraph"/>
    <w:aliases w:val="EMCC List 1"/>
    <w:basedOn w:val="ListBullet"/>
    <w:uiPriority w:val="34"/>
    <w:qFormat/>
    <w:rsid w:val="00DE16B0"/>
    <w:pPr>
      <w:tabs>
        <w:tab w:val="clear" w:pos="432"/>
      </w:tabs>
      <w:spacing w:before="240" w:after="120" w:line="280" w:lineRule="exact"/>
      <w:ind w:left="360" w:firstLine="0"/>
      <w:contextualSpacing w:val="0"/>
      <w:jc w:val="both"/>
    </w:pPr>
  </w:style>
  <w:style w:type="table" w:customStyle="1" w:styleId="MediumShading1-Accent13">
    <w:name w:val="Medium Shading 1 - Accent 13"/>
    <w:basedOn w:val="TableNormal"/>
    <w:uiPriority w:val="63"/>
    <w:rsid w:val="00DE16B0"/>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GridTable4-Accent5">
    <w:name w:val="Grid Table 4 Accent 5"/>
    <w:basedOn w:val="TableNormal"/>
    <w:uiPriority w:val="49"/>
    <w:rsid w:val="00DE16B0"/>
    <w:pPr>
      <w:spacing w:after="0" w:line="240" w:lineRule="auto"/>
    </w:pPr>
    <w:rPr>
      <w:rFonts w:eastAsiaTheme="minorEastAsia"/>
      <w:lang w:eastAsia="ja-JP"/>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
    <w:name w:val="Grid Table 1 Light"/>
    <w:basedOn w:val="TableNormal"/>
    <w:uiPriority w:val="46"/>
    <w:rsid w:val="00DE16B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Bullet">
    <w:name w:val="List Bullet"/>
    <w:basedOn w:val="Normal"/>
    <w:uiPriority w:val="99"/>
    <w:semiHidden/>
    <w:unhideWhenUsed/>
    <w:rsid w:val="00DE16B0"/>
    <w:pPr>
      <w:tabs>
        <w:tab w:val="num" w:pos="432"/>
      </w:tabs>
      <w:ind w:left="432" w:hanging="432"/>
      <w:contextualSpacing/>
    </w:pPr>
  </w:style>
  <w:style w:type="paragraph" w:styleId="TOC1">
    <w:name w:val="toc 1"/>
    <w:basedOn w:val="Normal"/>
    <w:next w:val="Normal"/>
    <w:autoRedefine/>
    <w:uiPriority w:val="39"/>
    <w:unhideWhenUsed/>
    <w:rsid w:val="00DE16B0"/>
    <w:pPr>
      <w:spacing w:after="100"/>
    </w:pPr>
    <w:rPr>
      <w:b/>
      <w:sz w:val="24"/>
    </w:rPr>
  </w:style>
  <w:style w:type="paragraph" w:styleId="TOC2">
    <w:name w:val="toc 2"/>
    <w:basedOn w:val="Normal"/>
    <w:next w:val="Normal"/>
    <w:autoRedefine/>
    <w:uiPriority w:val="39"/>
    <w:unhideWhenUsed/>
    <w:rsid w:val="00DE16B0"/>
    <w:pPr>
      <w:spacing w:after="100"/>
      <w:ind w:left="220"/>
    </w:pPr>
  </w:style>
  <w:style w:type="paragraph" w:styleId="Caption">
    <w:name w:val="caption"/>
    <w:basedOn w:val="Normal"/>
    <w:next w:val="Normal"/>
    <w:uiPriority w:val="35"/>
    <w:unhideWhenUsed/>
    <w:qFormat/>
    <w:rsid w:val="00DE16B0"/>
    <w:pPr>
      <w:spacing w:before="0" w:after="200"/>
    </w:pPr>
    <w:rPr>
      <w:i/>
      <w:iCs/>
      <w:color w:val="44546A" w:themeColor="text2"/>
      <w:sz w:val="18"/>
      <w:szCs w:val="18"/>
    </w:rPr>
  </w:style>
  <w:style w:type="paragraph" w:styleId="TableofFigures">
    <w:name w:val="table of figures"/>
    <w:basedOn w:val="Normal"/>
    <w:next w:val="Normal"/>
    <w:uiPriority w:val="99"/>
    <w:unhideWhenUsed/>
    <w:rsid w:val="00DE16B0"/>
  </w:style>
  <w:style w:type="paragraph" w:styleId="Header">
    <w:name w:val="header"/>
    <w:basedOn w:val="Normal"/>
    <w:link w:val="HeaderChar"/>
    <w:uiPriority w:val="99"/>
    <w:unhideWhenUsed/>
    <w:rsid w:val="00DE16B0"/>
    <w:pPr>
      <w:tabs>
        <w:tab w:val="center" w:pos="4680"/>
        <w:tab w:val="right" w:pos="9360"/>
      </w:tabs>
      <w:spacing w:before="0"/>
    </w:pPr>
  </w:style>
  <w:style w:type="character" w:customStyle="1" w:styleId="HeaderChar">
    <w:name w:val="Header Char"/>
    <w:basedOn w:val="DefaultParagraphFont"/>
    <w:link w:val="Header"/>
    <w:uiPriority w:val="99"/>
    <w:rsid w:val="00DE16B0"/>
    <w:rPr>
      <w:rFonts w:eastAsia="Times New Roman" w:cs="Times New Roman"/>
      <w:szCs w:val="20"/>
    </w:rPr>
  </w:style>
  <w:style w:type="table" w:styleId="GridTable5Dark-Accent1">
    <w:name w:val="Grid Table 5 Dark Accent 1"/>
    <w:basedOn w:val="TableNormal"/>
    <w:uiPriority w:val="50"/>
    <w:rsid w:val="00194E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UnresolvedMention">
    <w:name w:val="Unresolved Mention"/>
    <w:basedOn w:val="DefaultParagraphFont"/>
    <w:uiPriority w:val="99"/>
    <w:semiHidden/>
    <w:unhideWhenUsed/>
    <w:rsid w:val="00B121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github.com/Azure/azure-policy/blob/d4a47a82f895c438ed2895c84c1d7f386e904234/built-in-policies/policySetDefinitions/Security%20Center/AzureSecurityCenter.json" TargetMode="External"/><Relationship Id="rId26" Type="http://schemas.openxmlformats.org/officeDocument/2006/relationships/hyperlink" Target="https://github.com/Azure/azure-policy/blob/eac12cb8dd763315872d9f9a700908b7b61340a5/built-in-policies/policyDefinitions/SQL/SqlDBEncryption_Deploy.json" TargetMode="External"/><Relationship Id="rId39"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github.com/Azure/azure-policy/blob/d4a47a82f895c438ed2895c84c1d7f386e904234/built-in-policies/policySetDefinitions/Security%20Center/AzureSecurityCenter.json" TargetMode="External"/><Relationship Id="rId34" Type="http://schemas.openxmlformats.org/officeDocument/2006/relationships/hyperlink" Target="https://github.com/Azure/azure-policy/blob/eac12cb8dd763315872d9f9a700908b7b61340a5/built-in-policies/policySetDefinitions/Guest%20Configuration/GuestConfiguration_AzureBaseline.json" TargetMode="External"/><Relationship Id="rId42"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Azure/azure-policy/blob/d4a47a82f895c438ed2895c84c1d7f386e904234/built-in-policies/policySetDefinitions/Security%20Center/AzureSecurityCenter.json" TargetMode="External"/><Relationship Id="rId25" Type="http://schemas.openxmlformats.org/officeDocument/2006/relationships/hyperlink" Target="https://github.com/Azure/azure-policy/blob/eac12cb8dd763315872d9f9a700908b7b61340a5/built-in-policies/policyDefinitions/SQL/DeployTdOnSqlServers_Deploy.json" TargetMode="External"/><Relationship Id="rId33" Type="http://schemas.openxmlformats.org/officeDocument/2006/relationships/hyperlink" Target="https://github.com/Azure/azure-policy/blob/d4a47a82f895c438ed2895c84c1d7f386e904234/built-in-policies/policySetDefinitions/Security%20Center/AzureSecurityCenter.json"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github.com/Azure/azure-policy/blob/d4a47a82f895c438ed2895c84c1d7f386e904234/built-in-policies/policySetDefinitions/Security%20Center/AzureSecurityCenter.json" TargetMode="External"/><Relationship Id="rId29" Type="http://schemas.openxmlformats.org/officeDocument/2006/relationships/hyperlink" Target="https://github.com/Azure/azure-policy/blob/eac12cb8dd763315872d9f9a700908b7b61340a5/built-in-policies/policyDefinitions/Security%20Center/ASC_MissingEndpointProtection_Audit.json"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Azure/azure-policy/blob/d4a47a82f895c438ed2895c84c1d7f386e904234/built-in-policies/policySetDefinitions/Security%20Center/AzureSecurityCenter.json" TargetMode="External"/><Relationship Id="rId32" Type="http://schemas.openxmlformats.org/officeDocument/2006/relationships/hyperlink" Target="https://github.com/Azure/azure-policy/blob/d4a47a82f895c438ed2895c84c1d7f386e904234/built-in-policies/policySetDefinitions/Monitoring/AzureMonitor_VM.json" TargetMode="External"/><Relationship Id="rId37" Type="http://schemas.openxmlformats.org/officeDocument/2006/relationships/hyperlink" Target="https://archcenter.blob.core.windows.net/cdn/fusion/readiness/Microsoft-Cloud-Adoption-Framework-Strategy-and-Plan-Template.docx"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github.com/Azure/azure-policy/blob/d4a47a82f895c438ed2895c84c1d7f386e904234/built-in-policies/policySetDefinitions/Security%20Center/AzureSecurityCenter.json" TargetMode="External"/><Relationship Id="rId28" Type="http://schemas.openxmlformats.org/officeDocument/2006/relationships/hyperlink" Target="https://github.com/Azure/azure-policy/blob/06063439b7eacacd638c653913700d96bafd00f9/built-in-policies/policyDefinitions/Network/NetworkSecurityGroup_SSHAccess_Audit.json" TargetMode="External"/><Relationship Id="rId36" Type="http://schemas.openxmlformats.org/officeDocument/2006/relationships/hyperlink" Target="https://docs.microsoft.com/en-us/azure/role-based-access-control/" TargetMode="External"/><Relationship Id="rId10" Type="http://schemas.openxmlformats.org/officeDocument/2006/relationships/endnotes" Target="endnotes.xml"/><Relationship Id="rId19" Type="http://schemas.openxmlformats.org/officeDocument/2006/relationships/hyperlink" Target="https://github.com/Azure/azure-policy/blob/d4a47a82f895c438ed2895c84c1d7f386e904234/built-in-policies/policySetDefinitions/Security%20Center/AzureSecurityCenter.json" TargetMode="External"/><Relationship Id="rId31" Type="http://schemas.openxmlformats.org/officeDocument/2006/relationships/hyperlink" Target="https://github.com/Azure/azure-policy/blob/d4a47a82f895c438ed2895c84c1d7f386e904234/built-in-policies/policySetDefinitions/Security%20Center/AzureSecurityCenter.json"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github.com/Azure/azure-policy/blob/13cd1036e9faea260c2b1341375e7a76a6f8b41c/built-in-policies/policySetDefinitions/Regulatory%20Compliance/IRAP_Audit.json" TargetMode="External"/><Relationship Id="rId27" Type="http://schemas.openxmlformats.org/officeDocument/2006/relationships/hyperlink" Target="https://github.com/Azure/azure-policy/blob/06063439b7eacacd638c653913700d96bafd00f9/built-in-policies/policyDefinitions/Network/NetworkSecurityGroup_RDPAccess_Audit.json" TargetMode="External"/><Relationship Id="rId30" Type="http://schemas.openxmlformats.org/officeDocument/2006/relationships/hyperlink" Target="https://github.com/Azure/azure-policy/blob/eac12cb8dd763315872d9f9a700908b7b61340a5/built-in-policies/policyDefinitions/Compute/VMSSOSUpgradeHealthCheck_Deny.json" TargetMode="External"/><Relationship Id="rId35" Type="http://schemas.openxmlformats.org/officeDocument/2006/relationships/hyperlink" Target="https://microsoft.sharepoint.com/:x:/t/CAFEnablementKitDevelopment/ETUQnY3_0JRAhQA1xr5mn4gB0IMva6Q6c81sT4QQ-Cbucg?e=HcI1hW" TargetMode="External"/><Relationship Id="rId43"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63FA498C683E94696A9F9E86390AA5F" ma:contentTypeVersion="5" ma:contentTypeDescription="Create a new document." ma:contentTypeScope="" ma:versionID="91abef37ac3c4a289a82c715eca548e5">
  <xsd:schema xmlns:xsd="http://www.w3.org/2001/XMLSchema" xmlns:xs="http://www.w3.org/2001/XMLSchema" xmlns:p="http://schemas.microsoft.com/office/2006/metadata/properties" xmlns:ns2="24ce65f2-f4ee-4734-b023-07c740501d91" targetNamespace="http://schemas.microsoft.com/office/2006/metadata/properties" ma:root="true" ma:fieldsID="93780468c6c271b3523095b5e6847ddd" ns2:_="">
    <xsd:import namespace="24ce65f2-f4ee-4734-b023-07c740501d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ce65f2-f4ee-4734-b023-07c740501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26AAA5-35B0-4509-89C2-15AB1CF11149}">
  <ds:schemaRefs>
    <ds:schemaRef ds:uri="http://schemas.openxmlformats.org/officeDocument/2006/bibliography"/>
  </ds:schemaRefs>
</ds:datastoreItem>
</file>

<file path=customXml/itemProps2.xml><?xml version="1.0" encoding="utf-8"?>
<ds:datastoreItem xmlns:ds="http://schemas.openxmlformats.org/officeDocument/2006/customXml" ds:itemID="{4CF89BF9-075E-4D53-B564-CEA6B9E4F34B}">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24ce65f2-f4ee-4734-b023-07c740501d91"/>
    <ds:schemaRef ds:uri="http://www.w3.org/XML/1998/namespace"/>
    <ds:schemaRef ds:uri="http://purl.org/dc/dcmitype/"/>
  </ds:schemaRefs>
</ds:datastoreItem>
</file>

<file path=customXml/itemProps3.xml><?xml version="1.0" encoding="utf-8"?>
<ds:datastoreItem xmlns:ds="http://schemas.openxmlformats.org/officeDocument/2006/customXml" ds:itemID="{82906D7C-32BD-4A35-A777-09CF4BAC4771}">
  <ds:schemaRefs>
    <ds:schemaRef ds:uri="http://schemas.microsoft.com/sharepoint/v3/contenttype/forms"/>
  </ds:schemaRefs>
</ds:datastoreItem>
</file>

<file path=customXml/itemProps4.xml><?xml version="1.0" encoding="utf-8"?>
<ds:datastoreItem xmlns:ds="http://schemas.openxmlformats.org/officeDocument/2006/customXml" ds:itemID="{FD1FD6AA-24F8-4414-9363-2F2B4E86C8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ce65f2-f4ee-4734-b023-07c740501d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3076</Words>
  <Characters>17535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Sachdev</dc:creator>
  <cp:keywords/>
  <dc:description/>
  <cp:lastModifiedBy>Farida Bharmal</cp:lastModifiedBy>
  <cp:revision>2</cp:revision>
  <dcterms:created xsi:type="dcterms:W3CDTF">2020-07-09T22:20:00Z</dcterms:created>
  <dcterms:modified xsi:type="dcterms:W3CDTF">2020-07-09T22:20:00Z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2020-06-09T17:43:19Z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17489b38-502a-42a2-a3f9-de9e126487df</vt:lpwstr>
  </property>
  <property fmtid="{D5CDD505-2E9C-101B-9397-08002B2CF9AE}" pid="8" name="MSIP_Label_f42aa342-8706-4288-bd11-ebb85995028c_ContentBits">
    <vt:lpwstr>0</vt:lpwstr>
  </property>
  <property fmtid="{D5CDD505-2E9C-101B-9397-08002B2CF9AE}" pid="9" name="ContentTypeId">
    <vt:lpwstr>0x010100663FA498C683E94696A9F9E86390AA5F</vt:lpwstr>
  </property>
</Properties>
</file>