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jc w:val="center"/>
      </w:pPr>
      <w:r>
        <w:rPr>
          <w:rFonts w:ascii="Arial" w:hAnsi="Arial"/>
          <w:b/>
          <w:color w:val="1E90FF"/>
          <w:sz w:val="44"/>
        </w:rPr>
        <w:t>ESPECIFICACIÓN DE REQUISITOS DE SOFTWARE (SRS)</w:t>
      </w:r>
    </w:p>
    <w:p>
      <w:pPr>
        <w:spacing w:after="400"/>
        <w:jc w:val="center"/>
      </w:pPr>
      <w:r>
        <w:rPr>
          <w:rFonts w:ascii="Arial" w:hAnsi="Arial"/>
          <w:b/>
          <w:color w:val="00BFFF"/>
          <w:sz w:val="26"/>
        </w:rPr>
        <w:t>Proyecto: Plataforma Digital FlyMetrics S.A.S.</w:t>
        <w:br/>
        <w:t>Control Operativo de Drones, Agendamiento Inteligente y Telemetría</w:t>
      </w:r>
    </w:p>
    <w:p>
      <w:pPr>
        <w:spacing w:after="2000"/>
        <w:jc w:val="center"/>
      </w:pPr>
      <w:r>
        <w:rPr>
          <w:rFonts w:ascii="Arial" w:hAnsi="Arial"/>
          <w:i/>
          <w:color w:val="323C4B"/>
          <w:sz w:val="22"/>
        </w:rPr>
        <w:t>Basado en el Estándar IEEE Std 830-1998</w:t>
      </w:r>
    </w:p>
    <w:p>
      <w:pPr>
        <w:jc w:val="center"/>
      </w:pPr>
      <w:r>
        <w:rPr>
          <w:color w:val="323C4B"/>
          <w:sz w:val="22"/>
        </w:rPr>
        <w:t>Preparado para: Junta de Socios e Inversionistas</w:t>
        <w:br/>
        <w:t>Preparado por: Departamento de Ingeniería y Desarrollo</w:t>
        <w:br/>
        <w:t>Versión: 1.0 (Lanzamiento de Base de Cristal Líquido)</w:t>
        <w:br/>
        <w:t>Fecha: 17 de Junio de 2026</w:t>
      </w:r>
    </w:p>
    <w:p>
      <w:r>
        <w:br w:type="page"/>
      </w:r>
    </w:p>
    <w:p>
      <w:pPr>
        <w:pStyle w:val="Heading1"/>
        <w:spacing w:before="360" w:after="160"/>
      </w:pPr>
      <w:r>
        <w:rPr>
          <w:color w:val="1E90FF"/>
        </w:rPr>
        <w:t>1. Introducción</w:t>
      </w:r>
    </w:p>
    <w:p>
      <w:pPr>
        <w:pStyle w:val="Heading2"/>
        <w:spacing w:before="240" w:after="80"/>
      </w:pPr>
      <w:r>
        <w:rPr>
          <w:color w:val="00BFFF"/>
        </w:rPr>
        <w:t>1.1 Propósito</w:t>
      </w:r>
    </w:p>
    <w:p>
      <w:pPr>
        <w:spacing w:after="160"/>
      </w:pPr>
      <w:r>
        <w:t>El propósito de este documento es definir y especificar de manera formal y detallada los requisitos funcionales, no funcionales y de arquitectura de la plataforma digital FlyMetrics S.A.S. Este documento sirve de base técnica y comercial para los desarrolladores, administradores del sistema, socios e inversionistas para validar el alcance del proyecto.</w:t>
      </w:r>
    </w:p>
    <w:p>
      <w:pPr>
        <w:pStyle w:val="Heading2"/>
        <w:spacing w:before="240" w:after="80"/>
      </w:pPr>
      <w:r>
        <w:rPr>
          <w:color w:val="00BFFF"/>
        </w:rPr>
        <w:t>1.2 Alcance del Sistema</w:t>
      </w:r>
    </w:p>
    <w:p>
      <w:pPr>
        <w:spacing w:after="160"/>
      </w:pPr>
      <w:r>
        <w:t>El sistema de software, denominado 'Plataforma FlyMetrics', es una aplicación web responsiva e interactiva. Permite la automatización y control de servicios agrícolas de precisión en Colombia utilizando drones de gran capacidad (DJI Agras T40). El alcance comprende tres módulos principales conectados a una base de datos segura y un API centralizada:</w:t>
        <w:br/>
        <w:t>1. Portal del Cliente: Agendamiento de vuelos, registro de fincas, visualización de reportes de vigor vegetal (NDVI/3D) y facturas.</w:t>
        <w:br/>
        <w:t>2. Portal del Técnico: Planificación logística, cálculo de viabilidad de rutas diarias, bitácoras de vuelo y carga de soportes.</w:t>
        <w:br/>
        <w:t>3. Panel del Administrador: Control centralizado en tiempo real, asignación inteligente de personal, drones e insumos.</w:t>
      </w:r>
    </w:p>
    <w:p>
      <w:pPr>
        <w:pStyle w:val="Heading2"/>
        <w:spacing w:before="240" w:after="80"/>
      </w:pPr>
      <w:r>
        <w:rPr>
          <w:color w:val="00BFFF"/>
        </w:rPr>
        <w:t>1.3 Personal Involucrado</w:t>
      </w:r>
    </w:p>
    <w:p>
      <w:pPr>
        <w:spacing w:after="160"/>
      </w:pPr>
      <w:r>
        <w:t>• Clientes: Productores agrícolas y agrónomos en zonas rurales de Colombia.</w:t>
        <w:br/>
        <w:t>• Técnicos / Pilotos: Profesionales autorizados y licenciados bajo la norma Aerocivil RAC100.</w:t>
        <w:br/>
        <w:t>• Administrador: Personal de operaciones de FlyMetrics encargado de la coordinación comercial y logística.</w:t>
        <w:br/>
        <w:t>• Inversionistas / Socios: Validadores de la propuesta de valor y del crecimiento del negocio.</w:t>
      </w:r>
    </w:p>
    <w:p>
      <w:pPr>
        <w:pStyle w:val="Heading2"/>
        <w:spacing w:before="240" w:after="80"/>
      </w:pPr>
      <w:r>
        <w:rPr>
          <w:color w:val="00BFFF"/>
        </w:rPr>
        <w:t>1.4 Definiciones, Acrónimos y Abreviaturas</w:t>
      </w:r>
    </w:p>
    <w:p>
      <w:pPr>
        <w:spacing w:after="160"/>
      </w:pPr>
      <w:r>
        <w:t>• ERS / SRS: Especificación de Requisitos de Software.</w:t>
        <w:br/>
        <w:t>• RAC100: Normativa de la Aeronáutica Civil de Colombia que regula el vuelo de drones comerciales.</w:t>
        <w:br/>
        <w:t>• NDVI: Índice de Vegetación de Diferencia Normalizada, mapa de salud del cultivo generado por cámaras multiespectrales.</w:t>
        <w:br/>
        <w:t>• RTK: Cinematica en Tiempo Real, tecnología GPS que permite un error de vuelo menor a 2 cm.</w:t>
        <w:br/>
        <w:t>• PQRS: Peticiones, Quejas, Reclamos y Sugerencias.</w:t>
        <w:br/>
        <w:t>• API: Interfaz de Programación de Aplicaciones.</w:t>
      </w:r>
    </w:p>
    <w:p>
      <w:pPr>
        <w:pStyle w:val="Heading2"/>
        <w:spacing w:before="240" w:after="80"/>
      </w:pPr>
      <w:r>
        <w:rPr>
          <w:color w:val="00BFFF"/>
        </w:rPr>
        <w:t>1.5 Referencias</w:t>
      </w:r>
    </w:p>
    <w:p>
      <w:pPr>
        <w:spacing w:after="160"/>
      </w:pPr>
      <w:r>
        <w:t>• Estándar IEEE Std 830-1998 para la Especificación de Requisitos de Software.</w:t>
        <w:br/>
        <w:t>• Manual Operativo RAC100 de la Aeronáutica Civil de Colombia.</w:t>
        <w:br/>
        <w:t>• Ley 1581 de 2012 de Habeas Data (Protección de datos personales).</w:t>
      </w:r>
    </w:p>
    <w:p>
      <w:r>
        <w:br w:type="page"/>
      </w:r>
    </w:p>
    <w:p>
      <w:pPr>
        <w:pStyle w:val="Heading1"/>
        <w:spacing w:before="360"/>
      </w:pPr>
      <w:r>
        <w:rPr>
          <w:color w:val="1E90FF"/>
        </w:rPr>
        <w:t>2. Descripción General del Producto</w:t>
      </w:r>
    </w:p>
    <w:p>
      <w:pPr>
        <w:pStyle w:val="Heading2"/>
        <w:spacing w:before="240" w:after="80"/>
      </w:pPr>
      <w:r>
        <w:rPr>
          <w:color w:val="00BFFF"/>
        </w:rPr>
        <w:t>2.1 Perspectiva del Producto</w:t>
      </w:r>
    </w:p>
    <w:p>
      <w:pPr>
        <w:spacing w:after="160"/>
      </w:pPr>
      <w:r>
        <w:t>FlyMetrics no es solo una landing page; es un ecosistema operativo que enlaza la web con el trabajo de campo. La interfaz está construida nativamente (HTML5, CSS y JavaScript vainilla) bajo un diseño minimalista premium de 'vidrio líquido' que asegura una carga ultra rápida incluso en redes móviles rurales. El backend está soportado en FastAPI (Python), garantizando un procesamiento asíncrono de alto rendimiento, y una base de datos relacional para el control estricto de agendas.</w:t>
      </w:r>
    </w:p>
    <w:p>
      <w:pPr>
        <w:pStyle w:val="Heading2"/>
        <w:spacing w:before="240" w:after="80"/>
      </w:pPr>
      <w:r>
        <w:rPr>
          <w:color w:val="00BFFF"/>
        </w:rPr>
        <w:t>2.2 Funciones del Producto</w:t>
      </w:r>
    </w:p>
    <w:p>
      <w:pPr>
        <w:spacing w:after="160"/>
      </w:pPr>
      <w:r>
        <w:t>Las funciones principales que realiza la plataforma se dividen en cuatro pilares:</w:t>
        <w:br/>
        <w:t>• Comercialización y Captación: Cotizador dinámico con cálculo de recargo de transporte por distancia haversine desde Bogotá.</w:t>
        <w:br/>
        <w:t>• Verificación y Seguridad: Validación de identidad mediante escáner y consulta automatizada (RNEC) para evitar suplantaciones.</w:t>
        <w:br/>
        <w:t>• Gestión de Operaciones: Agendamiento interactivo y asignación inteligente basada en la disponibilidad de la flota de drones y pilotos.</w:t>
        <w:br/>
        <w:t>• Ejecución y Bitácoras: Control estricto de vuelos mediante listas de chequeo digitales pre y post-vuelo obligatorias para los técnicos.</w:t>
        <w:br/>
        <w:t>• Reporte y Analítica: Almacenamiento y entrega de reportes NDVI, modelos digitales de elevación 3D y facturación PDF.</w:t>
      </w:r>
    </w:p>
    <w:p>
      <w:pPr>
        <w:pStyle w:val="Heading2"/>
        <w:spacing w:before="240" w:after="80"/>
      </w:pPr>
      <w:r>
        <w:rPr>
          <w:color w:val="00BFFF"/>
        </w:rPr>
        <w:t>2.3 Características de los Usuarios</w:t>
      </w:r>
    </w:p>
    <w:p>
      <w:pPr>
        <w:spacing w:after="160"/>
      </w:pPr>
      <w:r>
        <w:t>El sistema cuenta con tres tipos de usuarios claramente definidos:</w:t>
        <w:br/>
        <w:t>1. Clientes: Requieren una interfaz sencilla para ver sus fincas y solicitar servicios sin conocimientos técnicos avanzados.</w:t>
        <w:br/>
        <w:t>2. Pilotos/Técnicos: Operan desde teléfonos móviles en campo. Requieren paneles de carga rápida para subir datos operativos y viáticos.</w:t>
        <w:br/>
        <w:t>3. Administrador: Opera desde computadores de escritorio. Requiere visualización en tiempo real y flujos de control rápidos.</w:t>
      </w:r>
    </w:p>
    <w:p>
      <w:pPr>
        <w:pStyle w:val="Heading2"/>
        <w:spacing w:before="240" w:after="80"/>
      </w:pPr>
      <w:r>
        <w:rPr>
          <w:color w:val="00BFFF"/>
        </w:rPr>
        <w:t>2.4 Restricciones</w:t>
      </w:r>
    </w:p>
    <w:p>
      <w:pPr>
        <w:spacing w:after="160"/>
      </w:pPr>
      <w:r>
        <w:t>• Conectividad en Campo: Los técnicos deben poder llenar las listas de chequeo pre-vuelo en áreas con baja o nula señal de internet, sincronizándose cuando recuperen la señal.</w:t>
        <w:br/>
        <w:t>• Marco Legal RAC100: El sistema no debe permitir agendar vuelos que excedan la jornada legal de los pilotos (entre 6:00 AM y 8:00 PM), controlados mediante el calculador de viabilidad de rutas.</w:t>
        <w:br/>
        <w:t>• Tratamiento de Datos: Los datos de cédulas y fincas deben estar encriptados según la ley de Habeas Data.</w:t>
      </w:r>
    </w:p>
    <w:p>
      <w:pPr>
        <w:pStyle w:val="Heading2"/>
        <w:spacing w:before="240" w:after="80"/>
      </w:pPr>
      <w:r>
        <w:rPr>
          <w:color w:val="00BFFF"/>
        </w:rPr>
        <w:t>2.5 Suposiciones y Dependencias</w:t>
      </w:r>
    </w:p>
    <w:p>
      <w:pPr>
        <w:spacing w:after="160"/>
      </w:pPr>
      <w:r>
        <w:t>Se asume que los clientes disponen de dispositivos móviles con GPS activo para capturar las coordenadas de sus fincas y que los drones DJI Agras T40 reportan datos de telemetría compatibles para los reportes de finalización.</w:t>
      </w:r>
    </w:p>
    <w:p>
      <w:r>
        <w:br w:type="page"/>
      </w:r>
    </w:p>
    <w:p>
      <w:pPr>
        <w:pStyle w:val="Heading1"/>
        <w:spacing w:before="360"/>
      </w:pPr>
      <w:r>
        <w:rPr>
          <w:color w:val="1E90FF"/>
        </w:rPr>
        <w:t>3. Requisitos Específicos (Técnicos)</w:t>
      </w:r>
    </w:p>
    <w:p>
      <w:pPr>
        <w:spacing w:after="240"/>
      </w:pPr>
      <w:r>
        <w:t>En esta sección se detallan los requisitos de software del sistema, clasificados en Requisitos Funcionales y No Funcionales.</w:t>
      </w:r>
    </w:p>
    <w:p>
      <w:pPr>
        <w:pStyle w:val="Heading2"/>
        <w:spacing w:after="160"/>
      </w:pPr>
      <w:r>
        <w:rPr>
          <w:color w:val="00BFFF"/>
        </w:rPr>
        <w:t>3.1 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ID Req</w:t>
            </w:r>
          </w:p>
        </w:tc>
        <w:tc>
          <w:tcPr>
            <w:tcW w:type="dxa" w:w="3120"/>
            <w:shd w:fill="1E90FF"/>
          </w:tcPr>
          <w:p>
            <w:r>
              <w:rPr>
                <w:b/>
                <w:color w:val="FFFFFF"/>
              </w:rPr>
              <w:t>Nombre del Requisito</w:t>
            </w:r>
          </w:p>
        </w:tc>
        <w:tc>
          <w:tcPr>
            <w:tcW w:type="dxa" w:w="3120"/>
            <w:shd w:fill="1E90FF"/>
          </w:tcPr>
          <w:p>
            <w:r>
              <w:rPr>
                <w:b/>
                <w:color w:val="FFFFFF"/>
              </w:rPr>
              <w:t>Descripción Operativa</w:t>
            </w:r>
          </w:p>
        </w:tc>
      </w:tr>
      <w:tr>
        <w:tc>
          <w:tcPr>
            <w:tcW w:type="dxa" w:w="3120"/>
          </w:tcPr>
          <w:p>
            <w:r>
              <w:t>RF-01</w:t>
            </w:r>
          </w:p>
        </w:tc>
        <w:tc>
          <w:tcPr>
            <w:tcW w:type="dxa" w:w="3120"/>
          </w:tcPr>
          <w:p>
            <w:r>
              <w:t>Registro y Autenticación</w:t>
            </w:r>
          </w:p>
        </w:tc>
        <w:tc>
          <w:tcPr>
            <w:tcW w:type="dxa" w:w="3120"/>
          </w:tcPr>
          <w:p>
            <w:r>
              <w:t>Permite la creación de cuentas mediante formulario clásico y Google OAuth.</w:t>
            </w:r>
          </w:p>
        </w:tc>
      </w:tr>
      <w:tr>
        <w:tc>
          <w:tcPr>
            <w:tcW w:type="dxa" w:w="3120"/>
            <w:shd w:fill="F0F8FF"/>
          </w:tcPr>
          <w:p>
            <w:r>
              <w:t>RF-02</w:t>
            </w:r>
          </w:p>
        </w:tc>
        <w:tc>
          <w:tcPr>
            <w:tcW w:type="dxa" w:w="3120"/>
            <w:shd w:fill="F0F8FF"/>
          </w:tcPr>
          <w:p>
            <w:r>
              <w:t>Verificación de Cédula</w:t>
            </w:r>
          </w:p>
        </w:tc>
        <w:tc>
          <w:tcPr>
            <w:tcW w:type="dxa" w:w="3120"/>
            <w:shd w:fill="F0F8FF"/>
          </w:tcPr>
          <w:p>
            <w:r>
              <w:t>Validación simulada de datos del cliente mediante escaneo de cédula y consulta a la Registraduría (RNEC).</w:t>
            </w:r>
          </w:p>
        </w:tc>
      </w:tr>
      <w:tr>
        <w:tc>
          <w:tcPr>
            <w:tcW w:type="dxa" w:w="3120"/>
          </w:tcPr>
          <w:p>
            <w:r>
              <w:t>RF-03</w:t>
            </w:r>
          </w:p>
        </w:tc>
        <w:tc>
          <w:tcPr>
            <w:tcW w:type="dxa" w:w="3120"/>
          </w:tcPr>
          <w:p>
            <w:r>
              <w:t>Cotizador y Distancias</w:t>
            </w:r>
          </w:p>
        </w:tc>
        <w:tc>
          <w:tcPr>
            <w:tcW w:type="dxa" w:w="3120"/>
          </w:tcPr>
          <w:p>
            <w:r>
              <w:t>Cálculo en tiempo real de precios de servicios agrícolas y recargo de transporte por distancia haversine.</w:t>
            </w:r>
          </w:p>
        </w:tc>
      </w:tr>
      <w:tr>
        <w:tc>
          <w:tcPr>
            <w:tcW w:type="dxa" w:w="3120"/>
            <w:shd w:fill="F0F8FF"/>
          </w:tcPr>
          <w:p>
            <w:r>
              <w:t>RF-04</w:t>
            </w:r>
          </w:p>
        </w:tc>
        <w:tc>
          <w:tcPr>
            <w:tcW w:type="dxa" w:w="3120"/>
            <w:shd w:fill="F0F8FF"/>
          </w:tcPr>
          <w:p>
            <w:r>
              <w:t>Registro de Fincas</w:t>
            </w:r>
          </w:p>
        </w:tc>
        <w:tc>
          <w:tcPr>
            <w:tcW w:type="dxa" w:w="3120"/>
            <w:shd w:fill="F0F8FF"/>
          </w:tcPr>
          <w:p>
            <w:r>
              <w:t>Los clientes ingresan sus fincas detallando hectáreas, cultivo y coordenadas GPS de precisión.</w:t>
            </w:r>
          </w:p>
        </w:tc>
      </w:tr>
      <w:tr>
        <w:tc>
          <w:tcPr>
            <w:tcW w:type="dxa" w:w="3120"/>
          </w:tcPr>
          <w:p>
            <w:r>
              <w:t>RF-05</w:t>
            </w:r>
          </w:p>
        </w:tc>
        <w:tc>
          <w:tcPr>
            <w:tcW w:type="dxa" w:w="3120"/>
          </w:tcPr>
          <w:p>
            <w:r>
              <w:t>Agendamiento de Vuelos</w:t>
            </w:r>
          </w:p>
        </w:tc>
        <w:tc>
          <w:tcPr>
            <w:tcW w:type="dxa" w:w="3120"/>
          </w:tcPr>
          <w:p>
            <w:r>
              <w:t>Los clientes solicitan turnos de vuelo seleccionando finca, servicio, fecha y hora.</w:t>
            </w:r>
          </w:p>
        </w:tc>
      </w:tr>
      <w:tr>
        <w:tc>
          <w:tcPr>
            <w:tcW w:type="dxa" w:w="3120"/>
            <w:shd w:fill="F0F8FF"/>
          </w:tcPr>
          <w:p>
            <w:r>
              <w:t>RF-06</w:t>
            </w:r>
          </w:p>
        </w:tc>
        <w:tc>
          <w:tcPr>
            <w:tcW w:type="dxa" w:w="3120"/>
            <w:shd w:fill="F0F8FF"/>
          </w:tcPr>
          <w:p>
            <w:r>
              <w:t>Cálculo de Viabilidad</w:t>
            </w:r>
          </w:p>
        </w:tc>
        <w:tc>
          <w:tcPr>
            <w:tcW w:type="dxa" w:w="3120"/>
            <w:shd w:fill="F0F8FF"/>
          </w:tcPr>
          <w:p>
            <w:r>
              <w:t>Los técnicos simulan su ruta para verificar si el viaje y las horas trabajadas cumplen los límites de la jornada diaria.</w:t>
            </w:r>
          </w:p>
        </w:tc>
      </w:tr>
      <w:tr>
        <w:tc>
          <w:tcPr>
            <w:tcW w:type="dxa" w:w="3120"/>
          </w:tcPr>
          <w:p>
            <w:r>
              <w:t>RF-07</w:t>
            </w:r>
          </w:p>
        </w:tc>
        <w:tc>
          <w:tcPr>
            <w:tcW w:type="dxa" w:w="3120"/>
          </w:tcPr>
          <w:p>
            <w:r>
              <w:t>Bitácora de Vuelo</w:t>
            </w:r>
          </w:p>
        </w:tc>
        <w:tc>
          <w:tcPr>
            <w:tcW w:type="dxa" w:w="3120"/>
          </w:tcPr>
          <w:p>
            <w:r>
              <w:t>Listas de chequeo digital obligatorias pre-vuelo y post-vuelo para los pilotos de drones en campo.</w:t>
            </w:r>
          </w:p>
        </w:tc>
      </w:tr>
      <w:tr>
        <w:tc>
          <w:tcPr>
            <w:tcW w:type="dxa" w:w="3120"/>
            <w:shd w:fill="F0F8FF"/>
          </w:tcPr>
          <w:p>
            <w:r>
              <w:t>RF-08</w:t>
            </w:r>
          </w:p>
        </w:tc>
        <w:tc>
          <w:tcPr>
            <w:tcW w:type="dxa" w:w="3120"/>
            <w:shd w:fill="F0F8FF"/>
          </w:tcPr>
          <w:p>
            <w:r>
              <w:t>Asignación de Recursos</w:t>
            </w:r>
          </w:p>
        </w:tc>
        <w:tc>
          <w:tcPr>
            <w:tcW w:type="dxa" w:w="3120"/>
            <w:shd w:fill="F0F8FF"/>
          </w:tcPr>
          <w:p>
            <w:r>
              <w:t>El administrador asigna técnicos (pilotos) y drones a las agendas confirmadas.</w:t>
            </w:r>
          </w:p>
        </w:tc>
      </w:tr>
      <w:tr>
        <w:tc>
          <w:tcPr>
            <w:tcW w:type="dxa" w:w="3120"/>
          </w:tcPr>
          <w:p>
            <w:r>
              <w:t>RF-09</w:t>
            </w:r>
          </w:p>
        </w:tc>
        <w:tc>
          <w:tcPr>
            <w:tcW w:type="dxa" w:w="3120"/>
          </w:tcPr>
          <w:p>
            <w:r>
              <w:t>Carga de Gastos y Viáticos</w:t>
            </w:r>
          </w:p>
        </w:tc>
        <w:tc>
          <w:tcPr>
            <w:tcW w:type="dxa" w:w="3120"/>
          </w:tcPr>
          <w:p>
            <w:r>
              <w:t>Los técnicos suben imágenes de facturas de viáticos para su validación administrativa.</w:t>
            </w:r>
          </w:p>
        </w:tc>
      </w:tr>
      <w:tr>
        <w:tc>
          <w:tcPr>
            <w:tcW w:type="dxa" w:w="3120"/>
            <w:shd w:fill="F0F8FF"/>
          </w:tcPr>
          <w:p>
            <w:r>
              <w:t>RF-10</w:t>
            </w:r>
          </w:p>
        </w:tc>
        <w:tc>
          <w:tcPr>
            <w:tcW w:type="dxa" w:w="3120"/>
            <w:shd w:fill="F0F8FF"/>
          </w:tcPr>
          <w:p>
            <w:r>
              <w:t>Reportes NDVI y 3D</w:t>
            </w:r>
          </w:p>
        </w:tc>
        <w:tc>
          <w:tcPr>
            <w:tcW w:type="dxa" w:w="3120"/>
            <w:shd w:fill="F0F8FF"/>
          </w:tcPr>
          <w:p>
            <w:r>
              <w:t>Los clientes descargan reportes de vigor vegetal y mapas 3D una vez completado el servicio.</w:t>
            </w:r>
          </w:p>
        </w:tc>
      </w:tr>
      <w:tr>
        <w:tc>
          <w:tcPr>
            <w:tcW w:type="dxa" w:w="3120"/>
          </w:tcPr>
          <w:p>
            <w:r>
              <w:t>RF-11</w:t>
            </w:r>
          </w:p>
        </w:tc>
        <w:tc>
          <w:tcPr>
            <w:tcW w:type="dxa" w:w="3120"/>
          </w:tcPr>
          <w:p>
            <w:r>
              <w:t>Resolución de PQRS</w:t>
            </w:r>
          </w:p>
        </w:tc>
        <w:tc>
          <w:tcPr>
            <w:tcW w:type="dxa" w:w="3120"/>
          </w:tcPr>
          <w:p>
            <w:r>
              <w:t>Módulo de quejas y reclamos con generación de ticket único para soporte del cliente.</w:t>
            </w:r>
          </w:p>
        </w:tc>
      </w:tr>
    </w:tbl>
    <w:p>
      <w:pPr>
        <w:spacing w:after="320"/>
      </w:pPr>
    </w:p>
    <w:p>
      <w:pPr>
        <w:pStyle w:val="Heading2"/>
        <w:spacing w:after="160"/>
      </w:pPr>
      <w:r>
        <w:rPr>
          <w:color w:val="00BFFF"/>
        </w:rPr>
        <w:t>3.2 Requisitos No Funcionales (RNF)</w:t>
      </w:r>
    </w:p>
    <w:tbl>
      <w:tblPr>
        <w:tblStyle w:val="TableGrid"/>
        <w:tblW w:type="auto" w:w="0"/>
        <w:tblLook w:firstColumn="1" w:firstRow="1" w:lastColumn="0" w:lastRow="0" w:noHBand="0" w:noVBand="1" w:val="04A0"/>
      </w:tblPr>
      <w:tblGrid>
        <w:gridCol w:w="3120"/>
        <w:gridCol w:w="3120"/>
        <w:gridCol w:w="3120"/>
      </w:tblGrid>
      <w:tr>
        <w:tc>
          <w:tcPr>
            <w:tcW w:type="dxa" w:w="3120"/>
            <w:shd w:fill="1E90FF"/>
          </w:tcPr>
          <w:p>
            <w:r>
              <w:rPr>
                <w:b/>
                <w:color w:val="FFFFFF"/>
              </w:rPr>
              <w:t>ID Req</w:t>
            </w:r>
          </w:p>
        </w:tc>
        <w:tc>
          <w:tcPr>
            <w:tcW w:type="dxa" w:w="3120"/>
            <w:shd w:fill="1E90FF"/>
          </w:tcPr>
          <w:p>
            <w:r>
              <w:rPr>
                <w:b/>
                <w:color w:val="FFFFFF"/>
              </w:rPr>
              <w:t>Atributo de Calidad</w:t>
            </w:r>
          </w:p>
        </w:tc>
        <w:tc>
          <w:tcPr>
            <w:tcW w:type="dxa" w:w="3120"/>
            <w:shd w:fill="1E90FF"/>
          </w:tcPr>
          <w:p>
            <w:r>
              <w:rPr>
                <w:b/>
                <w:color w:val="FFFFFF"/>
              </w:rPr>
              <w:t>Criterio de Aceptación</w:t>
            </w:r>
          </w:p>
        </w:tc>
      </w:tr>
      <w:tr>
        <w:tc>
          <w:tcPr>
            <w:tcW w:type="dxa" w:w="3120"/>
          </w:tcPr>
          <w:p>
            <w:r>
              <w:t>RNF-01</w:t>
            </w:r>
          </w:p>
        </w:tc>
        <w:tc>
          <w:tcPr>
            <w:tcW w:type="dxa" w:w="3120"/>
          </w:tcPr>
          <w:p>
            <w:r>
              <w:t>Usabilidad / Estética</w:t>
            </w:r>
          </w:p>
        </w:tc>
        <w:tc>
          <w:tcPr>
            <w:tcW w:type="dxa" w:w="3120"/>
          </w:tcPr>
          <w:p>
            <w:r>
              <w:t>Diseño responsivo premium de vidrio líquido (Liquid Glass) estilo Apple, con transiciones y animaciones transparentes de alta calidad.</w:t>
            </w:r>
          </w:p>
        </w:tc>
      </w:tr>
      <w:tr>
        <w:tc>
          <w:tcPr>
            <w:tcW w:type="dxa" w:w="3120"/>
            <w:shd w:fill="F0F8FF"/>
          </w:tcPr>
          <w:p>
            <w:r>
              <w:t>RNF-02</w:t>
            </w:r>
          </w:p>
        </w:tc>
        <w:tc>
          <w:tcPr>
            <w:tcW w:type="dxa" w:w="3120"/>
            <w:shd w:fill="F0F8FF"/>
          </w:tcPr>
          <w:p>
            <w:r>
              <w:t>Rendimiento</w:t>
            </w:r>
          </w:p>
        </w:tc>
        <w:tc>
          <w:tcPr>
            <w:tcW w:type="dxa" w:w="3120"/>
            <w:shd w:fill="F0F8FF"/>
          </w:tcPr>
          <w:p>
            <w:r>
              <w:t>Las consultas de refresco del panel y el cálculo de viabilidad de rutas deben responder en menos de 1.5 segundos.</w:t>
            </w:r>
          </w:p>
        </w:tc>
      </w:tr>
      <w:tr>
        <w:tc>
          <w:tcPr>
            <w:tcW w:type="dxa" w:w="3120"/>
          </w:tcPr>
          <w:p>
            <w:r>
              <w:t>RNF-03</w:t>
            </w:r>
          </w:p>
        </w:tc>
        <w:tc>
          <w:tcPr>
            <w:tcW w:type="dxa" w:w="3120"/>
          </w:tcPr>
          <w:p>
            <w:r>
              <w:t>Seguridad</w:t>
            </w:r>
          </w:p>
        </w:tc>
        <w:tc>
          <w:tcPr>
            <w:tcW w:type="dxa" w:w="3120"/>
          </w:tcPr>
          <w:p>
            <w:r>
              <w:t>Cifrado de contraseñas de usuarios en el backend, protección contra ataques brute-force y rate-limiting en las peticiones del API.</w:t>
            </w:r>
          </w:p>
        </w:tc>
      </w:tr>
      <w:tr>
        <w:tc>
          <w:tcPr>
            <w:tcW w:type="dxa" w:w="3120"/>
            <w:shd w:fill="F0F8FF"/>
          </w:tcPr>
          <w:p>
            <w:r>
              <w:t>RNF-04</w:t>
            </w:r>
          </w:p>
        </w:tc>
        <w:tc>
          <w:tcPr>
            <w:tcW w:type="dxa" w:w="3120"/>
            <w:shd w:fill="F0F8FF"/>
          </w:tcPr>
          <w:p>
            <w:r>
              <w:t>Disponibilidad</w:t>
            </w:r>
          </w:p>
        </w:tc>
        <w:tc>
          <w:tcPr>
            <w:tcW w:type="dxa" w:w="3120"/>
            <w:shd w:fill="F0F8FF"/>
          </w:tcPr>
          <w:p>
            <w:r>
              <w:t>La aplicación web y el API deben garantizar un tiempo de actividad del 99.9% durante la jornada operativa (6:00 AM - 8:00 PM).</w:t>
            </w:r>
          </w:p>
        </w:tc>
      </w:tr>
      <w:tr>
        <w:tc>
          <w:tcPr>
            <w:tcW w:type="dxa" w:w="3120"/>
          </w:tcPr>
          <w:p>
            <w:r>
              <w:t>RNF-05</w:t>
            </w:r>
          </w:p>
        </w:tc>
        <w:tc>
          <w:tcPr>
            <w:tcW w:type="dxa" w:w="3120"/>
          </w:tcPr>
          <w:p>
            <w:r>
              <w:t>Portabilidad</w:t>
            </w:r>
          </w:p>
        </w:tc>
        <w:tc>
          <w:tcPr>
            <w:tcW w:type="dxa" w:w="3120"/>
          </w:tcPr>
          <w:p>
            <w:r>
              <w:t>La interfaz debe ser totalmente responsiva y compatible con navegadores de escritorio (Chrome, Safari, Edge) y móviles (iOS y Android).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C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