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0"/>
      </w:pPr>
      <w:r>
        <w:t xml:space="preserve"/>
      </w:r>
    </w:p>
    <w:p>
      <w:pPr>
        <w:spacing w:after="120" w:before="0"/>
        <w:jc w:val="center"/>
      </w:pPr>
      <w:r>
        <w:rPr>
          <w:rFonts w:ascii="Arial" w:cs="Arial" w:eastAsia="Arial" w:hAnsi="Arial"/>
          <w:b/>
          <w:bCs/>
          <w:color w:val="1A2F5A"/>
          <w:sz w:val="48"/>
          <w:szCs w:val="48"/>
        </w:rPr>
        <w:t xml:space="preserve">RACK PULL BATTERY ASSEMBLY</w:t>
      </w:r>
    </w:p>
    <w:p>
      <w:pPr>
        <w:spacing w:after="80" w:before="0"/>
        <w:jc w:val="center"/>
      </w:pPr>
      <w:r>
        <w:rPr>
          <w:rFonts w:ascii="Arial" w:cs="Arial" w:eastAsia="Arial" w:hAnsi="Arial"/>
          <w:color w:val="2B5BA8"/>
          <w:sz w:val="28"/>
          <w:szCs w:val="28"/>
        </w:rPr>
        <w:t xml:space="preserve">Design Review Summary</w:t>
      </w:r>
    </w:p>
    <w:p>
      <w:pPr>
        <w:spacing w:after="600" w:before="0"/>
        <w:jc w:val="center"/>
      </w:pPr>
      <w:r>
        <w:rPr>
          <w:rFonts w:ascii="Arial" w:cs="Arial" w:eastAsia="Arial" w:hAnsi="Arial"/>
          <w:color w:val="666666"/>
          <w:sz w:val="22"/>
          <w:szCs w:val="22"/>
        </w:rPr>
        <w:t xml:space="preserve">COTS Passive Assembly  ·  480–576 VDC  ·  400 kW  ·  12-String Interface</w:t>
      </w:r>
    </w:p>
    <w:p>
      <w:r>
        <w:br w:type="page"/>
      </w:r>
    </w:p>
    <w:p>
      <w:pPr>
        <w:pStyle w:val="Heading1"/>
        <w:pBdr>
          <w:bottom w:val="single" w:color="2B5BA8" w:sz="6" w:space="4"/>
        </w:pBdr>
        <w:spacing w:after="120" w:before="360"/>
      </w:pPr>
      <w:r>
        <w:rPr>
          <w:rFonts w:ascii="Arial" w:cs="Arial" w:eastAsia="Arial" w:hAnsi="Arial"/>
          <w:b/>
          <w:bCs/>
          <w:color w:val="1A2F5A"/>
          <w:sz w:val="32"/>
          <w:szCs w:val="32"/>
        </w:rPr>
        <w:t xml:space="preserve">1. What This Assembly Is</w:t>
      </w:r>
    </w:p>
    <w:p>
      <w:pPr>
        <w:spacing w:after="80" w:before="60"/>
      </w:pPr>
      <w:r>
        <w:rPr>
          <w:rFonts w:ascii="Arial" w:cs="Arial" w:eastAsia="Arial" w:hAnsi="Arial"/>
          <w:sz w:val="22"/>
          <w:szCs w:val="22"/>
        </w:rPr>
        <w:t xml:space="preserve">The Rack Pull Battery Assembly is a commercially manufactured (COTS), purely passive electrical interconnect assembly. It contains no active electronics, no control logic, and no software. Its function is to provide a rated, protected, and properly interfaced connection point between the lithium-ion battery racks and the Power Distribution Rack (PDR).</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A2F5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Parameter</w:t>
            </w:r>
          </w:p>
        </w:tc>
        <w:tc>
          <w:tcPr>
            <w:tcW w:type="dxa" w:w="5360"/>
            <w:tcBorders>
              <w:top w:val="single" w:color="CCCCCC" w:sz="1"/>
              <w:left w:val="single" w:color="CCCCCC" w:sz="1"/>
              <w:bottom w:val="single" w:color="CCCCCC" w:sz="1"/>
              <w:right w:val="single" w:color="CCCCCC" w:sz="1"/>
            </w:tcBorders>
            <w:shd w:fill="1A2F5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Value</w:t>
            </w:r>
          </w:p>
        </w:tc>
      </w:tr>
      <w:tr>
        <w:tc>
          <w:tcPr>
            <w:tcW w:type="dxa" w:w="4000"/>
            <w:tcBorders>
              <w:top w:val="single" w:color="CCCCCC" w:sz="1"/>
              <w:left w:val="single" w:color="CCCCCC" w:sz="1"/>
              <w:bottom w:val="single" w:color="CCCCCC" w:sz="1"/>
              <w:right w:val="single" w:color="CCCCCC" w:sz="1"/>
            </w:tcBorders>
            <w:shd w:fill="EEF3FA" w:val="clear"/>
            <w:tcMar>
              <w:top w:type="dxa" w:w="70"/>
              <w:left w:type="dxa" w:w="120"/>
              <w:bottom w:type="dxa" w:w="70"/>
              <w:right w:type="dxa" w:w="120"/>
            </w:tcMar>
          </w:tcPr>
          <w:p>
            <w:pPr>
              <w:spacing w:after="0" w:before="0"/>
            </w:pPr>
            <w:r>
              <w:rPr>
                <w:rFonts w:ascii="Arial" w:cs="Arial" w:eastAsia="Arial" w:hAnsi="Arial"/>
                <w:sz w:val="20"/>
                <w:szCs w:val="20"/>
              </w:rPr>
              <w:t xml:space="preserve">Assembly type</w:t>
            </w:r>
          </w:p>
        </w:tc>
        <w:tc>
          <w:tcPr>
            <w:tcW w:type="dxa" w:w="5360"/>
            <w:tcBorders>
              <w:top w:val="single" w:color="CCCCCC" w:sz="1"/>
              <w:left w:val="single" w:color="CCCCCC" w:sz="1"/>
              <w:bottom w:val="single" w:color="CCCCCC" w:sz="1"/>
              <w:right w:val="single" w:color="CCCCCC" w:sz="1"/>
            </w:tcBorders>
            <w:shd w:fill="EEF3FA" w:val="clear"/>
            <w:tcMar>
              <w:top w:type="dxa" w:w="70"/>
              <w:left w:type="dxa" w:w="120"/>
              <w:bottom w:type="dxa" w:w="70"/>
              <w:right w:type="dxa" w:w="120"/>
            </w:tcMar>
          </w:tcPr>
          <w:p>
            <w:pPr>
              <w:spacing w:after="0" w:before="0"/>
            </w:pPr>
            <w:r>
              <w:rPr>
                <w:rFonts w:ascii="Arial" w:cs="Arial" w:eastAsia="Arial" w:hAnsi="Arial"/>
                <w:sz w:val="20"/>
                <w:szCs w:val="20"/>
              </w:rPr>
              <w:t xml:space="preserve">COTS — Commercial Off The Shelf</w:t>
            </w:r>
          </w:p>
        </w:tc>
      </w:tr>
      <w:tr>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20"/>
                <w:szCs w:val="20"/>
              </w:rPr>
              <w:t xml:space="preserve">Function</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20"/>
                <w:szCs w:val="20"/>
              </w:rPr>
              <w:t xml:space="preserve">Passive interconnect — batteries to PDR</w:t>
            </w:r>
          </w:p>
        </w:tc>
      </w:tr>
      <w:tr>
        <w:tc>
          <w:tcPr>
            <w:tcW w:type="dxa" w:w="4000"/>
            <w:tcBorders>
              <w:top w:val="single" w:color="CCCCCC" w:sz="1"/>
              <w:left w:val="single" w:color="CCCCCC" w:sz="1"/>
              <w:bottom w:val="single" w:color="CCCCCC" w:sz="1"/>
              <w:right w:val="single" w:color="CCCCCC" w:sz="1"/>
            </w:tcBorders>
            <w:shd w:fill="EEF3FA" w:val="clear"/>
            <w:tcMar>
              <w:top w:type="dxa" w:w="70"/>
              <w:left w:type="dxa" w:w="120"/>
              <w:bottom w:type="dxa" w:w="70"/>
              <w:right w:type="dxa" w:w="120"/>
            </w:tcMar>
          </w:tcPr>
          <w:p>
            <w:pPr>
              <w:spacing w:after="0" w:before="0"/>
            </w:pPr>
            <w:r>
              <w:rPr>
                <w:rFonts w:ascii="Arial" w:cs="Arial" w:eastAsia="Arial" w:hAnsi="Arial"/>
                <w:sz w:val="20"/>
                <w:szCs w:val="20"/>
              </w:rPr>
              <w:t xml:space="preserve">DC voltage range</w:t>
            </w:r>
          </w:p>
        </w:tc>
        <w:tc>
          <w:tcPr>
            <w:tcW w:type="dxa" w:w="5360"/>
            <w:tcBorders>
              <w:top w:val="single" w:color="CCCCCC" w:sz="1"/>
              <w:left w:val="single" w:color="CCCCCC" w:sz="1"/>
              <w:bottom w:val="single" w:color="CCCCCC" w:sz="1"/>
              <w:right w:val="single" w:color="CCCCCC" w:sz="1"/>
            </w:tcBorders>
            <w:shd w:fill="EEF3FA" w:val="clear"/>
            <w:tcMar>
              <w:top w:type="dxa" w:w="70"/>
              <w:left w:type="dxa" w:w="120"/>
              <w:bottom w:type="dxa" w:w="70"/>
              <w:right w:type="dxa" w:w="120"/>
            </w:tcMar>
          </w:tcPr>
          <w:p>
            <w:pPr>
              <w:spacing w:after="0" w:before="0"/>
            </w:pPr>
            <w:r>
              <w:rPr>
                <w:rFonts w:ascii="Arial" w:cs="Arial" w:eastAsia="Arial" w:hAnsi="Arial"/>
                <w:sz w:val="20"/>
                <w:szCs w:val="20"/>
              </w:rPr>
              <w:t xml:space="preserve">480 VDC minimum to 576 VDC maximum</w:t>
            </w:r>
          </w:p>
        </w:tc>
      </w:tr>
      <w:tr>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20"/>
                <w:szCs w:val="20"/>
              </w:rPr>
              <w:t xml:space="preserve">Discharge power capacity</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20"/>
                <w:szCs w:val="20"/>
              </w:rPr>
              <w:t xml:space="preserve">400 kW</w:t>
            </w:r>
          </w:p>
        </w:tc>
      </w:tr>
      <w:tr>
        <w:tc>
          <w:tcPr>
            <w:tcW w:type="dxa" w:w="4000"/>
            <w:tcBorders>
              <w:top w:val="single" w:color="CCCCCC" w:sz="1"/>
              <w:left w:val="single" w:color="CCCCCC" w:sz="1"/>
              <w:bottom w:val="single" w:color="CCCCCC" w:sz="1"/>
              <w:right w:val="single" w:color="CCCCCC" w:sz="1"/>
            </w:tcBorders>
            <w:shd w:fill="EEF3FA" w:val="clear"/>
            <w:tcMar>
              <w:top w:type="dxa" w:w="70"/>
              <w:left w:type="dxa" w:w="120"/>
              <w:bottom w:type="dxa" w:w="70"/>
              <w:right w:type="dxa" w:w="120"/>
            </w:tcMar>
          </w:tcPr>
          <w:p>
            <w:pPr>
              <w:spacing w:after="0" w:before="0"/>
            </w:pPr>
            <w:r>
              <w:rPr>
                <w:rFonts w:ascii="Arial" w:cs="Arial" w:eastAsia="Arial" w:hAnsi="Arial"/>
                <w:sz w:val="20"/>
                <w:szCs w:val="20"/>
              </w:rPr>
              <w:t xml:space="preserve">String interfaces</w:t>
            </w:r>
          </w:p>
        </w:tc>
        <w:tc>
          <w:tcPr>
            <w:tcW w:type="dxa" w:w="5360"/>
            <w:tcBorders>
              <w:top w:val="single" w:color="CCCCCC" w:sz="1"/>
              <w:left w:val="single" w:color="CCCCCC" w:sz="1"/>
              <w:bottom w:val="single" w:color="CCCCCC" w:sz="1"/>
              <w:right w:val="single" w:color="CCCCCC" w:sz="1"/>
            </w:tcBorders>
            <w:shd w:fill="EEF3FA" w:val="clear"/>
            <w:tcMar>
              <w:top w:type="dxa" w:w="70"/>
              <w:left w:type="dxa" w:w="120"/>
              <w:bottom w:type="dxa" w:w="70"/>
              <w:right w:type="dxa" w:w="120"/>
            </w:tcMar>
          </w:tcPr>
          <w:p>
            <w:pPr>
              <w:spacing w:after="0" w:before="0"/>
            </w:pPr>
            <w:r>
              <w:rPr>
                <w:rFonts w:ascii="Arial" w:cs="Arial" w:eastAsia="Arial" w:hAnsi="Arial"/>
                <w:sz w:val="20"/>
                <w:szCs w:val="20"/>
              </w:rPr>
              <w:t xml:space="preserve">12 parallel battery string connections</w:t>
            </w:r>
          </w:p>
        </w:tc>
      </w:tr>
      <w:tr>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20"/>
                <w:szCs w:val="20"/>
              </w:rPr>
              <w:t xml:space="preserve">Protection devices</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20"/>
                <w:szCs w:val="20"/>
              </w:rPr>
              <w:t xml:space="preserve">1500A Bussmann fuses (one per string)</w:t>
            </w:r>
          </w:p>
        </w:tc>
      </w:tr>
      <w:tr>
        <w:tc>
          <w:tcPr>
            <w:tcW w:type="dxa" w:w="4000"/>
            <w:tcBorders>
              <w:top w:val="single" w:color="CCCCCC" w:sz="1"/>
              <w:left w:val="single" w:color="CCCCCC" w:sz="1"/>
              <w:bottom w:val="single" w:color="CCCCCC" w:sz="1"/>
              <w:right w:val="single" w:color="CCCCCC" w:sz="1"/>
            </w:tcBorders>
            <w:shd w:fill="EEF3FA" w:val="clear"/>
            <w:tcMar>
              <w:top w:type="dxa" w:w="70"/>
              <w:left w:type="dxa" w:w="120"/>
              <w:bottom w:type="dxa" w:w="70"/>
              <w:right w:type="dxa" w:w="120"/>
            </w:tcMar>
          </w:tcPr>
          <w:p>
            <w:pPr>
              <w:spacing w:after="0" w:before="0"/>
            </w:pPr>
            <w:r>
              <w:rPr>
                <w:rFonts w:ascii="Arial" w:cs="Arial" w:eastAsia="Arial" w:hAnsi="Arial"/>
                <w:sz w:val="20"/>
                <w:szCs w:val="20"/>
              </w:rPr>
              <w:t xml:space="preserve">Battery cable connections</w:t>
            </w:r>
          </w:p>
        </w:tc>
        <w:tc>
          <w:tcPr>
            <w:tcW w:type="dxa" w:w="5360"/>
            <w:tcBorders>
              <w:top w:val="single" w:color="CCCCCC" w:sz="1"/>
              <w:left w:val="single" w:color="CCCCCC" w:sz="1"/>
              <w:bottom w:val="single" w:color="CCCCCC" w:sz="1"/>
              <w:right w:val="single" w:color="CCCCCC" w:sz="1"/>
            </w:tcBorders>
            <w:shd w:fill="EEF3FA" w:val="clear"/>
            <w:tcMar>
              <w:top w:type="dxa" w:w="70"/>
              <w:left w:type="dxa" w:w="120"/>
              <w:bottom w:type="dxa" w:w="70"/>
              <w:right w:type="dxa" w:w="120"/>
            </w:tcMar>
          </w:tcPr>
          <w:p>
            <w:pPr>
              <w:spacing w:after="0" w:before="0"/>
            </w:pPr>
            <w:r>
              <w:rPr>
                <w:rFonts w:ascii="Arial" w:cs="Arial" w:eastAsia="Arial" w:hAnsi="Arial"/>
                <w:sz w:val="20"/>
                <w:szCs w:val="20"/>
              </w:rPr>
              <w:t xml:space="preserve">12 × 300 kcmil (one per string)</w:t>
            </w:r>
          </w:p>
        </w:tc>
      </w:tr>
      <w:tr>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20"/>
                <w:szCs w:val="20"/>
              </w:rPr>
              <w:t xml:space="preserve">PDR output connections</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20"/>
                <w:szCs w:val="20"/>
              </w:rPr>
              <w:t xml:space="preserve">2 × 350 kcmil per bus bar</w:t>
            </w:r>
          </w:p>
        </w:tc>
      </w:tr>
      <w:tr>
        <w:tc>
          <w:tcPr>
            <w:tcW w:type="dxa" w:w="4000"/>
            <w:tcBorders>
              <w:top w:val="single" w:color="CCCCCC" w:sz="1"/>
              <w:left w:val="single" w:color="CCCCCC" w:sz="1"/>
              <w:bottom w:val="single" w:color="CCCCCC" w:sz="1"/>
              <w:right w:val="single" w:color="CCCCCC" w:sz="1"/>
            </w:tcBorders>
            <w:shd w:fill="EEF3FA" w:val="clear"/>
            <w:tcMar>
              <w:top w:type="dxa" w:w="70"/>
              <w:left w:type="dxa" w:w="120"/>
              <w:bottom w:type="dxa" w:w="70"/>
              <w:right w:type="dxa" w:w="120"/>
            </w:tcMar>
          </w:tcPr>
          <w:p>
            <w:pPr>
              <w:spacing w:after="0" w:before="0"/>
            </w:pPr>
            <w:r>
              <w:rPr>
                <w:rFonts w:ascii="Arial" w:cs="Arial" w:eastAsia="Arial" w:hAnsi="Arial"/>
                <w:sz w:val="20"/>
                <w:szCs w:val="20"/>
              </w:rPr>
              <w:t xml:space="preserve">Bus bars</w:t>
            </w:r>
          </w:p>
        </w:tc>
        <w:tc>
          <w:tcPr>
            <w:tcW w:type="dxa" w:w="5360"/>
            <w:tcBorders>
              <w:top w:val="single" w:color="CCCCCC" w:sz="1"/>
              <w:left w:val="single" w:color="CCCCCC" w:sz="1"/>
              <w:bottom w:val="single" w:color="CCCCCC" w:sz="1"/>
              <w:right w:val="single" w:color="CCCCCC" w:sz="1"/>
            </w:tcBorders>
            <w:shd w:fill="EEF3FA" w:val="clear"/>
            <w:tcMar>
              <w:top w:type="dxa" w:w="70"/>
              <w:left w:type="dxa" w:w="120"/>
              <w:bottom w:type="dxa" w:w="70"/>
              <w:right w:type="dxa" w:w="120"/>
            </w:tcMar>
          </w:tcPr>
          <w:p>
            <w:pPr>
              <w:spacing w:after="0" w:before="0"/>
            </w:pPr>
            <w:r>
              <w:rPr>
                <w:rFonts w:ascii="Arial" w:cs="Arial" w:eastAsia="Arial" w:hAnsi="Arial"/>
                <w:sz w:val="20"/>
                <w:szCs w:val="20"/>
              </w:rPr>
              <w:t xml:space="preserve">Common positive bus and common negative bus</w:t>
            </w:r>
          </w:p>
        </w:tc>
      </w:tr>
      <w:tr>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20"/>
                <w:szCs w:val="20"/>
              </w:rPr>
              <w:t xml:space="preserve">Ground bus</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20"/>
                <w:szCs w:val="20"/>
              </w:rPr>
              <w:t xml:space="preserve">Tied to facility ground — single point bond</w:t>
            </w:r>
          </w:p>
        </w:tc>
      </w:tr>
    </w:tbl>
    <w:p>
      <w:pPr>
        <w:spacing w:after="120" w:before="0"/>
      </w:pPr>
      <w:r>
        <w:t xml:space="preserve"/>
      </w:r>
    </w:p>
    <w:p>
      <w:pPr>
        <w:pStyle w:val="Heading1"/>
        <w:pBdr>
          <w:bottom w:val="single" w:color="2B5BA8" w:sz="6" w:space="4"/>
        </w:pBdr>
        <w:spacing w:after="120" w:before="360"/>
      </w:pPr>
      <w:r>
        <w:rPr>
          <w:rFonts w:ascii="Arial" w:cs="Arial" w:eastAsia="Arial" w:hAnsi="Arial"/>
          <w:b/>
          <w:bCs/>
          <w:color w:val="1A2F5A"/>
          <w:sz w:val="32"/>
          <w:szCs w:val="32"/>
        </w:rPr>
        <w:t xml:space="preserve">2. Scope of Responsibility</w:t>
      </w:r>
    </w:p>
    <w:p>
      <w:pPr>
        <w:spacing w:after="80" w:before="60"/>
      </w:pPr>
      <w:r>
        <w:rPr>
          <w:rFonts w:ascii="Arial" w:cs="Arial" w:eastAsia="Arial" w:hAnsi="Arial"/>
          <w:sz w:val="22"/>
          <w:szCs w:val="22"/>
        </w:rPr>
        <w:t xml:space="preserve">Because this is a COTS product, the design team's responsibility is limited to verifying correct application — not internal design. The following table defines what is and is not in scope.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2F5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In Scope (Application)</w:t>
            </w:r>
          </w:p>
        </w:tc>
        <w:tc>
          <w:tcPr>
            <w:tcW w:type="dxa" w:w="4680"/>
            <w:tcBorders>
              <w:top w:val="single" w:color="CCCCCC" w:sz="1"/>
              <w:left w:val="single" w:color="CCCCCC" w:sz="1"/>
              <w:bottom w:val="single" w:color="CCCCCC" w:sz="1"/>
              <w:right w:val="single" w:color="CCCCCC" w:sz="1"/>
            </w:tcBorders>
            <w:shd w:fill="1A2F5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Out of Scope (Manufacturer Design)</w:t>
            </w:r>
          </w:p>
        </w:tc>
      </w:tr>
      <w:tr>
        <w:tc>
          <w:tcPr>
            <w:tcW w:type="dxa" w:w="4680"/>
            <w:tcBorders>
              <w:top w:val="single" w:color="CCCCCC" w:sz="1"/>
              <w:left w:val="single" w:color="CCCCCC" w:sz="1"/>
              <w:bottom w:val="single" w:color="CCCCCC" w:sz="1"/>
              <w:right w:val="single" w:color="CCCCCC" w:sz="1"/>
            </w:tcBorders>
            <w:shd w:fill="EEF3FA" w:val="clear"/>
            <w:tcMar>
              <w:top w:type="dxa" w:w="70"/>
              <w:left w:type="dxa" w:w="120"/>
              <w:bottom w:type="dxa" w:w="70"/>
              <w:right w:type="dxa" w:w="120"/>
            </w:tcMar>
          </w:tcPr>
          <w:p>
            <w:pPr>
              <w:spacing w:after="0" w:before="0"/>
            </w:pPr>
            <w:r>
              <w:rPr>
                <w:rFonts w:ascii="Arial" w:cs="Arial" w:eastAsia="Arial" w:hAnsi="Arial"/>
                <w:sz w:val="20"/>
                <w:szCs w:val="20"/>
              </w:rPr>
              <w:t xml:space="preserve">Voltage range compatibility</w:t>
            </w:r>
          </w:p>
        </w:tc>
        <w:tc>
          <w:tcPr>
            <w:tcW w:type="dxa" w:w="4680"/>
            <w:tcBorders>
              <w:top w:val="single" w:color="CCCCCC" w:sz="1"/>
              <w:left w:val="single" w:color="CCCCCC" w:sz="1"/>
              <w:bottom w:val="single" w:color="CCCCCC" w:sz="1"/>
              <w:right w:val="single" w:color="CCCCCC" w:sz="1"/>
            </w:tcBorders>
            <w:shd w:fill="EEF3FA" w:val="clear"/>
            <w:tcMar>
              <w:top w:type="dxa" w:w="70"/>
              <w:left w:type="dxa" w:w="120"/>
              <w:bottom w:type="dxa" w:w="70"/>
              <w:right w:type="dxa" w:w="120"/>
            </w:tcMar>
          </w:tcPr>
          <w:p>
            <w:pPr>
              <w:spacing w:after="0" w:before="0"/>
            </w:pPr>
            <w:r>
              <w:rPr>
                <w:rFonts w:ascii="Arial" w:cs="Arial" w:eastAsia="Arial" w:hAnsi="Arial"/>
                <w:sz w:val="20"/>
                <w:szCs w:val="20"/>
              </w:rPr>
              <w:t xml:space="preserve">Internal fuse selection methodology</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20"/>
                <w:szCs w:val="20"/>
              </w:rPr>
              <w:t xml:space="preserve">Current rating adequacy</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20"/>
                <w:szCs w:val="20"/>
              </w:rPr>
              <w:t xml:space="preserve">Bus bar material and cross-section design</w:t>
            </w:r>
          </w:p>
        </w:tc>
      </w:tr>
      <w:tr>
        <w:tc>
          <w:tcPr>
            <w:tcW w:type="dxa" w:w="4680"/>
            <w:tcBorders>
              <w:top w:val="single" w:color="CCCCCC" w:sz="1"/>
              <w:left w:val="single" w:color="CCCCCC" w:sz="1"/>
              <w:bottom w:val="single" w:color="CCCCCC" w:sz="1"/>
              <w:right w:val="single" w:color="CCCCCC" w:sz="1"/>
            </w:tcBorders>
            <w:shd w:fill="EEF3FA" w:val="clear"/>
            <w:tcMar>
              <w:top w:type="dxa" w:w="70"/>
              <w:left w:type="dxa" w:w="120"/>
              <w:bottom w:type="dxa" w:w="70"/>
              <w:right w:type="dxa" w:w="120"/>
            </w:tcMar>
          </w:tcPr>
          <w:p>
            <w:pPr>
              <w:spacing w:after="0" w:before="0"/>
            </w:pPr>
            <w:r>
              <w:rPr>
                <w:rFonts w:ascii="Arial" w:cs="Arial" w:eastAsia="Arial" w:hAnsi="Arial"/>
                <w:sz w:val="20"/>
                <w:szCs w:val="20"/>
              </w:rPr>
              <w:t xml:space="preserve">Interface compatibility — cable sizes and connectors</w:t>
            </w:r>
          </w:p>
        </w:tc>
        <w:tc>
          <w:tcPr>
            <w:tcW w:type="dxa" w:w="4680"/>
            <w:tcBorders>
              <w:top w:val="single" w:color="CCCCCC" w:sz="1"/>
              <w:left w:val="single" w:color="CCCCCC" w:sz="1"/>
              <w:bottom w:val="single" w:color="CCCCCC" w:sz="1"/>
              <w:right w:val="single" w:color="CCCCCC" w:sz="1"/>
            </w:tcBorders>
            <w:shd w:fill="EEF3FA" w:val="clear"/>
            <w:tcMar>
              <w:top w:type="dxa" w:w="70"/>
              <w:left w:type="dxa" w:w="120"/>
              <w:bottom w:type="dxa" w:w="70"/>
              <w:right w:type="dxa" w:w="120"/>
            </w:tcMar>
          </w:tcPr>
          <w:p>
            <w:pPr>
              <w:spacing w:after="0" w:before="0"/>
            </w:pPr>
            <w:r>
              <w:rPr>
                <w:rFonts w:ascii="Arial" w:cs="Arial" w:eastAsia="Arial" w:hAnsi="Arial"/>
                <w:sz w:val="20"/>
                <w:szCs w:val="20"/>
              </w:rPr>
              <w:t xml:space="preserve">Enclosure structural calculations</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20"/>
                <w:szCs w:val="20"/>
              </w:rPr>
              <w:t xml:space="preserve">Correct installation — weight, clearances, torque</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20"/>
                <w:szCs w:val="20"/>
              </w:rPr>
              <w:t xml:space="preserve">Component-level fault current calculations</w:t>
            </w:r>
          </w:p>
        </w:tc>
      </w:tr>
      <w:tr>
        <w:tc>
          <w:tcPr>
            <w:tcW w:type="dxa" w:w="4680"/>
            <w:tcBorders>
              <w:top w:val="single" w:color="CCCCCC" w:sz="1"/>
              <w:left w:val="single" w:color="CCCCCC" w:sz="1"/>
              <w:bottom w:val="single" w:color="CCCCCC" w:sz="1"/>
              <w:right w:val="single" w:color="CCCCCC" w:sz="1"/>
            </w:tcBorders>
            <w:shd w:fill="EEF3FA" w:val="clear"/>
            <w:tcMar>
              <w:top w:type="dxa" w:w="70"/>
              <w:left w:type="dxa" w:w="120"/>
              <w:bottom w:type="dxa" w:w="70"/>
              <w:right w:type="dxa" w:w="120"/>
            </w:tcMar>
          </w:tcPr>
          <w:p>
            <w:pPr>
              <w:spacing w:after="0" w:before="0"/>
            </w:pPr>
            <w:r>
              <w:rPr>
                <w:rFonts w:ascii="Arial" w:cs="Arial" w:eastAsia="Arial" w:hAnsi="Arial"/>
                <w:sz w:val="20"/>
                <w:szCs w:val="20"/>
              </w:rPr>
              <w:t xml:space="preserve">Coordination with upstream protection</w:t>
            </w:r>
          </w:p>
        </w:tc>
        <w:tc>
          <w:tcPr>
            <w:tcW w:type="dxa" w:w="4680"/>
            <w:tcBorders>
              <w:top w:val="single" w:color="CCCCCC" w:sz="1"/>
              <w:left w:val="single" w:color="CCCCCC" w:sz="1"/>
              <w:bottom w:val="single" w:color="CCCCCC" w:sz="1"/>
              <w:right w:val="single" w:color="CCCCCC" w:sz="1"/>
            </w:tcBorders>
            <w:shd w:fill="EEF3FA" w:val="clear"/>
            <w:tcMar>
              <w:top w:type="dxa" w:w="70"/>
              <w:left w:type="dxa" w:w="120"/>
              <w:bottom w:type="dxa" w:w="70"/>
              <w:right w:type="dxa" w:w="120"/>
            </w:tcMar>
          </w:tcPr>
          <w:p>
            <w:pPr>
              <w:spacing w:after="0" w:before="0"/>
            </w:pPr>
            <w:r>
              <w:rPr>
                <w:rFonts w:ascii="Arial" w:cs="Arial" w:eastAsia="Arial" w:hAnsi="Arial"/>
                <w:sz w:val="20"/>
                <w:szCs w:val="20"/>
              </w:rPr>
              <w:t xml:space="preserve">Internal wiring and termination design</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20"/>
                <w:szCs w:val="20"/>
              </w:rPr>
              <w:t xml:space="preserve">Ground bus tie to facility ground</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20"/>
                <w:szCs w:val="20"/>
              </w:rPr>
              <w:t xml:space="preserve">Product listing and certification basis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20"/>
            </w:tcMar>
          </w:tcPr>
          <w:p>
            <w:pPr>
              <w:spacing w:after="0" w:before="0"/>
            </w:pPr>
            <w:r>
              <w:rPr>
                <w:rFonts w:ascii="Arial" w:cs="Arial" w:eastAsia="Arial" w:hAnsi="Arial"/>
                <w:b/>
                <w:bCs/>
                <w:color w:val="1A3A6A"/>
                <w:sz w:val="22"/>
                <w:szCs w:val="22"/>
              </w:rPr>
              <w:t xml:space="preserve">Key Statement:  </w:t>
            </w:r>
            <w:r>
              <w:rPr>
                <w:rFonts w:ascii="Arial" w:cs="Arial" w:eastAsia="Arial" w:hAnsi="Arial"/>
                <w:sz w:val="22"/>
                <w:szCs w:val="22"/>
              </w:rPr>
              <w:t xml:space="preserve">If a reviewer asks about internal design decisions — fuse sizing methodology, bus bar cross-section calculation, or internal wiring — the correct answer is: 'That is a manufacturer design decision. The product is listed for this application. I can provide the manufacturer datasheet and contact.'</w:t>
            </w:r>
          </w:p>
        </w:tc>
      </w:tr>
    </w:tbl>
    <w:p>
      <w:pPr>
        <w:spacing w:after="120" w:before="0"/>
      </w:pPr>
      <w:r>
        <w:t xml:space="preserve"/>
      </w:r>
    </w:p>
    <w:p>
      <w:pPr>
        <w:pStyle w:val="Heading1"/>
        <w:pBdr>
          <w:bottom w:val="single" w:color="2B5BA8" w:sz="6" w:space="4"/>
        </w:pBdr>
        <w:spacing w:after="120" w:before="360"/>
      </w:pPr>
      <w:r>
        <w:rPr>
          <w:rFonts w:ascii="Arial" w:cs="Arial" w:eastAsia="Arial" w:hAnsi="Arial"/>
          <w:b/>
          <w:bCs/>
          <w:color w:val="1A2F5A"/>
          <w:sz w:val="32"/>
          <w:szCs w:val="32"/>
        </w:rPr>
        <w:t xml:space="preserve">3. System Context — Where This Assembly Sits</w:t>
      </w:r>
    </w:p>
    <w:p>
      <w:pPr>
        <w:spacing w:after="80" w:before="60"/>
      </w:pPr>
      <w:r>
        <w:rPr>
          <w:rFonts w:ascii="Arial" w:cs="Arial" w:eastAsia="Arial" w:hAnsi="Arial"/>
          <w:sz w:val="22"/>
          <w:szCs w:val="22"/>
        </w:rPr>
        <w:t xml:space="preserve">The Rack Pull Battery Assembly is not an isolated component. It sits within a defined upstream protection stack. Understanding this stack is essential to answering coordination questions at the design review.</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2"/>
              <w:left w:val="single" w:color="2B5BA8" w:sz="6"/>
              <w:bottom w:val="single" w:color="888888" w:sz="2"/>
              <w:right w:val="single" w:color="888888" w:sz="2"/>
            </w:tcBorders>
            <w:shd w:fill="F5F7FA" w:val="clear"/>
            <w:tcMar>
              <w:top w:type="dxa" w:w="100"/>
              <w:left w:type="dxa" w:w="200"/>
              <w:bottom w:type="dxa" w:w="100"/>
              <w:right w:type="dxa" w:w="160"/>
            </w:tcMar>
          </w:tcPr>
          <w:p>
            <w:pPr>
              <w:spacing w:after="0" w:before="0"/>
            </w:pPr>
            <w:r>
              <w:rPr>
                <w:rFonts w:ascii="Courier New" w:cs="Courier New" w:eastAsia="Courier New" w:hAnsi="Courier New"/>
                <w:color w:val="1A1A1A"/>
                <w:sz w:val="19"/>
                <w:szCs w:val="19"/>
              </w:rPr>
              <w:t xml:space="preserve">  UPSTREAM PROTECTION STACK</w:t>
            </w:r>
          </w:p>
          <w:p>
            <w:pPr>
              <w:spacing w:after="0" w:before="0"/>
            </w:pPr>
            <w:r>
              <w:rPr>
                <w:rFonts w:ascii="Courier New" w:cs="Courier New" w:eastAsia="Courier New" w:hAnsi="Courier New"/>
                <w:color w:val="1A1A1A"/>
                <w:sz w:val="19"/>
                <w:szCs w:val="19"/>
              </w:rPr>
              <w:t xml:space="preserve">  ─────────────────────────────────────────────────────────</w:t>
            </w:r>
          </w:p>
          <w:p>
            <w:pPr>
              <w:spacing w:after="0" w:before="0"/>
            </w:pPr>
            <w:r>
              <w:rPr>
                <w:rFonts w:ascii="Courier New" w:cs="Courier New" w:eastAsia="Courier New" w:hAnsi="Courier New"/>
                <w:color w:val="1A1A1A"/>
                <w:sz w:val="19"/>
                <w:szCs w:val="19"/>
              </w:rPr>
              <w:t xml:space="preserve">  UTILITY (12 kV)</w:t>
            </w:r>
          </w:p>
          <w:p>
            <w:pPr>
              <w:spacing w:after="0" w:before="0"/>
            </w:pPr>
            <w:r>
              <w:rPr>
                <w:rFonts w:ascii="Courier New" w:cs="Courier New" w:eastAsia="Courier New" w:hAnsi="Courier New"/>
                <w:color w:val="1A1A1A"/>
                <w:sz w:val="19"/>
                <w:szCs w:val="19"/>
              </w:rPr>
              <w:t xml:space="preserve">       ↓</w:t>
            </w:r>
          </w:p>
          <w:p>
            <w:pPr>
              <w:spacing w:after="0" w:before="0"/>
            </w:pPr>
            <w:r>
              <w:rPr>
                <w:rFonts w:ascii="Courier New" w:cs="Courier New" w:eastAsia="Courier New" w:hAnsi="Courier New"/>
                <w:color w:val="1A1A1A"/>
                <w:sz w:val="19"/>
                <w:szCs w:val="19"/>
              </w:rPr>
              <w:t xml:space="preserve">  MAIN TRANSFORMER</w:t>
            </w:r>
          </w:p>
          <w:p>
            <w:pPr>
              <w:spacing w:after="0" w:before="0"/>
            </w:pPr>
            <w:r>
              <w:rPr>
                <w:rFonts w:ascii="Courier New" w:cs="Courier New" w:eastAsia="Courier New" w:hAnsi="Courier New"/>
                <w:color w:val="1A1A1A"/>
                <w:sz w:val="19"/>
                <w:szCs w:val="19"/>
              </w:rPr>
              <w:t xml:space="preserve">  500 kVA, 12kV → 480/277V, 3-Phase, 4-Wire</w:t>
            </w:r>
          </w:p>
          <w:p>
            <w:pPr>
              <w:spacing w:after="0" w:before="0"/>
            </w:pPr>
            <w:r>
              <w:rPr>
                <w:rFonts w:ascii="Courier New" w:cs="Courier New" w:eastAsia="Courier New" w:hAnsi="Courier New"/>
                <w:color w:val="1A1A1A"/>
                <w:sz w:val="19"/>
                <w:szCs w:val="19"/>
              </w:rPr>
              <w:t xml:space="preserve">  4.5% Impedance, ±2.5% primary and secondary taps</w:t>
            </w:r>
          </w:p>
          <w:p>
            <w:pPr>
              <w:spacing w:after="0" w:before="0"/>
            </w:pPr>
            <w:r>
              <w:rPr>
                <w:rFonts w:ascii="Courier New" w:cs="Courier New" w:eastAsia="Courier New" w:hAnsi="Courier New"/>
                <w:color w:val="1A1A1A"/>
                <w:sz w:val="19"/>
                <w:szCs w:val="19"/>
              </w:rPr>
              <w:t xml:space="preserve">       ↓</w:t>
            </w:r>
          </w:p>
          <w:p>
            <w:pPr>
              <w:spacing w:after="0" w:before="0"/>
            </w:pPr>
            <w:r>
              <w:rPr>
                <w:rFonts w:ascii="Courier New" w:cs="Courier New" w:eastAsia="Courier New" w:hAnsi="Courier New"/>
                <w:color w:val="1A1A1A"/>
                <w:sz w:val="19"/>
                <w:szCs w:val="19"/>
              </w:rPr>
              <w:t xml:space="preserve">  SERVICE DISCONNECT SWITCH</w:t>
            </w:r>
          </w:p>
          <w:p>
            <w:pPr>
              <w:spacing w:after="0" w:before="0"/>
            </w:pPr>
            <w:r>
              <w:rPr>
                <w:rFonts w:ascii="Courier New" w:cs="Courier New" w:eastAsia="Courier New" w:hAnsi="Courier New"/>
                <w:color w:val="1A1A1A"/>
                <w:sz w:val="19"/>
                <w:szCs w:val="19"/>
              </w:rPr>
              <w:t xml:space="preserve">  800A, 480/277V, 3-Phase, 4-Wire</w:t>
            </w:r>
          </w:p>
          <w:p>
            <w:pPr>
              <w:spacing w:after="0" w:before="0"/>
            </w:pPr>
            <w:r>
              <w:rPr>
                <w:rFonts w:ascii="Courier New" w:cs="Courier New" w:eastAsia="Courier New" w:hAnsi="Courier New"/>
                <w:color w:val="1A1A1A"/>
                <w:sz w:val="19"/>
                <w:szCs w:val="19"/>
              </w:rPr>
              <w:t xml:space="preserve">       ↓</w:t>
            </w:r>
          </w:p>
          <w:p>
            <w:pPr>
              <w:spacing w:after="0" w:before="0"/>
            </w:pPr>
            <w:r>
              <w:rPr>
                <w:rFonts w:ascii="Courier New" w:cs="Courier New" w:eastAsia="Courier New" w:hAnsi="Courier New"/>
                <w:color w:val="1A1A1A"/>
                <w:sz w:val="19"/>
                <w:szCs w:val="19"/>
              </w:rPr>
              <w:t xml:space="preserve">  TEMPEST FILTER</w:t>
            </w:r>
          </w:p>
          <w:p>
            <w:pPr>
              <w:spacing w:after="0" w:before="0"/>
            </w:pPr>
            <w:r>
              <w:rPr>
                <w:rFonts w:ascii="Courier New" w:cs="Courier New" w:eastAsia="Courier New" w:hAnsi="Courier New"/>
                <w:color w:val="1A1A1A"/>
                <w:sz w:val="19"/>
                <w:szCs w:val="19"/>
              </w:rPr>
              <w:t xml:space="preserve">  800A</w:t>
            </w:r>
          </w:p>
          <w:p>
            <w:pPr>
              <w:spacing w:after="0" w:before="0"/>
            </w:pPr>
            <w:r>
              <w:rPr>
                <w:rFonts w:ascii="Courier New" w:cs="Courier New" w:eastAsia="Courier New" w:hAnsi="Courier New"/>
                <w:color w:val="1A1A1A"/>
                <w:sz w:val="19"/>
                <w:szCs w:val="19"/>
              </w:rPr>
              <w:t xml:space="preserve">       ↓</w:t>
            </w:r>
          </w:p>
          <w:p>
            <w:pPr>
              <w:spacing w:after="0" w:before="0"/>
            </w:pPr>
            <w:r>
              <w:rPr>
                <w:rFonts w:ascii="Courier New" w:cs="Courier New" w:eastAsia="Courier New" w:hAnsi="Courier New"/>
                <w:color w:val="1A1A1A"/>
                <w:sz w:val="19"/>
                <w:szCs w:val="19"/>
              </w:rPr>
              <w:t xml:space="preserve">  IFS MAIN CIRCUIT BREAKER</w:t>
            </w:r>
          </w:p>
          <w:p>
            <w:pPr>
              <w:spacing w:after="0" w:before="0"/>
            </w:pPr>
            <w:r>
              <w:rPr>
                <w:rFonts w:ascii="Courier New" w:cs="Courier New" w:eastAsia="Courier New" w:hAnsi="Courier New"/>
                <w:color w:val="1A1A1A"/>
                <w:sz w:val="19"/>
                <w:szCs w:val="19"/>
              </w:rPr>
              <w:t xml:space="preserve">  800AF / 800AS, 480/277V, 3-Phase, 4-Wire</w:t>
            </w:r>
          </w:p>
          <w:p>
            <w:pPr>
              <w:spacing w:after="0" w:before="0"/>
            </w:pPr>
            <w:r>
              <w:rPr>
                <w:rFonts w:ascii="Courier New" w:cs="Courier New" w:eastAsia="Courier New" w:hAnsi="Courier New"/>
                <w:color w:val="1A1A1A"/>
                <w:sz w:val="19"/>
                <w:szCs w:val="19"/>
              </w:rPr>
              <w:t xml:space="preserve">       ↓</w:t>
            </w:r>
          </w:p>
          <w:p>
            <w:pPr>
              <w:spacing w:after="0" w:before="0"/>
            </w:pPr>
            <w:r>
              <w:rPr>
                <w:rFonts w:ascii="Courier New" w:cs="Courier New" w:eastAsia="Courier New" w:hAnsi="Courier New"/>
                <w:color w:val="1A1A1A"/>
                <w:sz w:val="19"/>
                <w:szCs w:val="19"/>
              </w:rPr>
              <w:t xml:space="preserve">  IFS CIRCUIT BREAKER</w:t>
            </w:r>
          </w:p>
          <w:p>
            <w:pPr>
              <w:spacing w:after="0" w:before="0"/>
            </w:pPr>
            <w:r>
              <w:rPr>
                <w:rFonts w:ascii="Courier New" w:cs="Courier New" w:eastAsia="Courier New" w:hAnsi="Courier New"/>
                <w:color w:val="1A1A1A"/>
                <w:sz w:val="19"/>
                <w:szCs w:val="19"/>
              </w:rPr>
              <w:t xml:space="preserve">  600AF / 600AS</w:t>
            </w:r>
          </w:p>
          <w:p>
            <w:pPr>
              <w:spacing w:after="0" w:before="0"/>
            </w:pPr>
            <w:r>
              <w:rPr>
                <w:rFonts w:ascii="Courier New" w:cs="Courier New" w:eastAsia="Courier New" w:hAnsi="Courier New"/>
                <w:color w:val="1A1A1A"/>
                <w:sz w:val="19"/>
                <w:szCs w:val="19"/>
              </w:rPr>
              <w:t xml:space="preserve">       ↓</w:t>
            </w:r>
          </w:p>
          <w:p>
            <w:pPr>
              <w:spacing w:after="0" w:before="0"/>
            </w:pPr>
            <w:r>
              <w:rPr>
                <w:rFonts w:ascii="Courier New" w:cs="Courier New" w:eastAsia="Courier New" w:hAnsi="Courier New"/>
                <w:color w:val="1A1A1A"/>
                <w:sz w:val="19"/>
                <w:szCs w:val="19"/>
              </w:rPr>
              <w:t xml:space="preserve">  [DC RECTIFIER / CHARGER]</w:t>
            </w:r>
          </w:p>
          <w:p>
            <w:pPr>
              <w:spacing w:after="0" w:before="0"/>
            </w:pPr>
            <w:r>
              <w:rPr>
                <w:rFonts w:ascii="Courier New" w:cs="Courier New" w:eastAsia="Courier New" w:hAnsi="Courier New"/>
                <w:color w:val="1A1A1A"/>
                <w:sz w:val="19"/>
                <w:szCs w:val="19"/>
              </w:rPr>
              <w:t xml:space="preserve">       ↓</w:t>
            </w:r>
          </w:p>
          <w:p>
            <w:pPr>
              <w:spacing w:after="0" w:before="0"/>
            </w:pPr>
            <w:r>
              <w:rPr>
                <w:rFonts w:ascii="Courier New" w:cs="Courier New" w:eastAsia="Courier New" w:hAnsi="Courier New"/>
                <w:color w:val="1A1A1A"/>
                <w:sz w:val="19"/>
                <w:szCs w:val="19"/>
              </w:rPr>
              <w:t xml:space="preserve">  RACK PULL BATTERY ASSEMBLY  ← THIS ASSEMBLY</w:t>
            </w:r>
          </w:p>
          <w:p>
            <w:pPr>
              <w:spacing w:after="0" w:before="0"/>
            </w:pPr>
            <w:r>
              <w:rPr>
                <w:rFonts w:ascii="Courier New" w:cs="Courier New" w:eastAsia="Courier New" w:hAnsi="Courier New"/>
                <w:color w:val="1A1A1A"/>
                <w:sz w:val="19"/>
                <w:szCs w:val="19"/>
              </w:rPr>
              <w:t xml:space="preserve">  1500A Bussmann Fuse per string</w:t>
            </w:r>
          </w:p>
          <w:p>
            <w:pPr>
              <w:spacing w:after="0" w:before="0"/>
            </w:pPr>
            <w:r>
              <w:rPr>
                <w:rFonts w:ascii="Courier New" w:cs="Courier New" w:eastAsia="Courier New" w:hAnsi="Courier New"/>
                <w:color w:val="1A1A1A"/>
                <w:sz w:val="19"/>
                <w:szCs w:val="19"/>
              </w:rPr>
              <w:t xml:space="preserve">  Common (+) and (–) Bus Bars</w:t>
            </w:r>
          </w:p>
          <w:p>
            <w:pPr>
              <w:spacing w:after="0" w:before="0"/>
            </w:pPr>
            <w:r>
              <w:rPr>
                <w:rFonts w:ascii="Courier New" w:cs="Courier New" w:eastAsia="Courier New" w:hAnsi="Courier New"/>
                <w:color w:val="1A1A1A"/>
                <w:sz w:val="19"/>
                <w:szCs w:val="19"/>
              </w:rPr>
              <w:t xml:space="preserve">       ↓</w:t>
            </w:r>
          </w:p>
          <w:p>
            <w:pPr>
              <w:spacing w:after="0" w:before="0"/>
            </w:pPr>
            <w:r>
              <w:rPr>
                <w:rFonts w:ascii="Courier New" w:cs="Courier New" w:eastAsia="Courier New" w:hAnsi="Courier New"/>
                <w:color w:val="1A1A1A"/>
                <w:sz w:val="19"/>
                <w:szCs w:val="19"/>
              </w:rPr>
              <w:t xml:space="preserve">  PDR (Power Distribution Rack)</w:t>
            </w:r>
          </w:p>
          <w:p>
            <w:pPr>
              <w:spacing w:after="0" w:before="0"/>
            </w:pPr>
            <w:r>
              <w:rPr>
                <w:rFonts w:ascii="Courier New" w:cs="Courier New" w:eastAsia="Courier New" w:hAnsi="Courier New"/>
                <w:color w:val="1A1A1A"/>
                <w:sz w:val="19"/>
                <w:szCs w:val="19"/>
              </w:rPr>
              <w:t xml:space="preserve">  ─────────────────────────────────────────────────────────</w:t>
            </w:r>
          </w:p>
        </w:tc>
      </w:tr>
    </w:tbl>
    <w:p>
      <w:pPr>
        <w:spacing w:after="120" w:before="0"/>
      </w:pPr>
      <w:r>
        <w:t xml:space="preserve"/>
      </w:r>
    </w:p>
    <w:p>
      <w:pPr>
        <w:pStyle w:val="Heading1"/>
        <w:pBdr>
          <w:bottom w:val="single" w:color="2B5BA8" w:sz="6" w:space="4"/>
        </w:pBdr>
        <w:spacing w:after="120" w:before="360"/>
      </w:pPr>
      <w:r>
        <w:rPr>
          <w:rFonts w:ascii="Arial" w:cs="Arial" w:eastAsia="Arial" w:hAnsi="Arial"/>
          <w:b/>
          <w:bCs/>
          <w:color w:val="1A2F5A"/>
          <w:sz w:val="32"/>
          <w:szCs w:val="32"/>
        </w:rPr>
        <w:t xml:space="preserve">4. Available Fault Current — Key Calculation</w:t>
      </w:r>
    </w:p>
    <w:p>
      <w:pPr>
        <w:spacing w:after="80" w:before="60"/>
      </w:pPr>
      <w:r>
        <w:rPr>
          <w:rFonts w:ascii="Arial" w:cs="Arial" w:eastAsia="Arial" w:hAnsi="Arial"/>
          <w:sz w:val="22"/>
          <w:szCs w:val="22"/>
        </w:rPr>
        <w:t xml:space="preserve">The transformer is the limiting source of fault current on the AC side. This number is important for understanding the upstream breaker coordination and confirming the fuse interrupt rating is adequate.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2"/>
              <w:left w:val="single" w:color="2B5BA8" w:sz="6"/>
              <w:bottom w:val="single" w:color="888888" w:sz="2"/>
              <w:right w:val="single" w:color="888888" w:sz="2"/>
            </w:tcBorders>
            <w:shd w:fill="F5F7FA" w:val="clear"/>
            <w:tcMar>
              <w:top w:type="dxa" w:w="100"/>
              <w:left w:type="dxa" w:w="200"/>
              <w:bottom w:type="dxa" w:w="100"/>
              <w:right w:type="dxa" w:w="160"/>
            </w:tcMar>
          </w:tcPr>
          <w:p>
            <w:pPr>
              <w:spacing w:after="0" w:before="0"/>
            </w:pPr>
            <w:r>
              <w:rPr>
                <w:rFonts w:ascii="Courier New" w:cs="Courier New" w:eastAsia="Courier New" w:hAnsi="Courier New"/>
                <w:color w:val="1A1A1A"/>
                <w:sz w:val="19"/>
                <w:szCs w:val="19"/>
              </w:rPr>
              <w:t xml:space="preserve">  TRANSFORMER FAULT CURRENT CALCULATION</w:t>
            </w:r>
          </w:p>
          <w:p>
            <w:pPr>
              <w:spacing w:after="0" w:before="0"/>
            </w:pPr>
            <w:r>
              <w:rPr>
                <w:rFonts w:ascii="Courier New" w:cs="Courier New" w:eastAsia="Courier New" w:hAnsi="Courier New"/>
                <w:color w:val="1A1A1A"/>
                <w:sz w:val="19"/>
                <w:szCs w:val="19"/>
              </w:rPr>
              <w:t xml:space="preserve">  ─────────────────────────────────────────────────────────</w:t>
            </w:r>
          </w:p>
          <w:p>
            <w:pPr>
              <w:spacing w:after="0" w:before="0"/>
            </w:pPr>
            <w:r>
              <w:rPr>
                <w:rFonts w:ascii="Courier New" w:cs="Courier New" w:eastAsia="Courier New" w:hAnsi="Courier New"/>
                <w:color w:val="1A1A1A"/>
                <w:sz w:val="19"/>
                <w:szCs w:val="19"/>
              </w:rPr>
              <w:t xml:space="preserve">  Transformer rating:    500 kVA</w:t>
            </w:r>
          </w:p>
          <w:p>
            <w:pPr>
              <w:spacing w:after="0" w:before="0"/>
            </w:pPr>
            <w:r>
              <w:rPr>
                <w:rFonts w:ascii="Courier New" w:cs="Courier New" w:eastAsia="Courier New" w:hAnsi="Courier New"/>
                <w:color w:val="1A1A1A"/>
                <w:sz w:val="19"/>
                <w:szCs w:val="19"/>
              </w:rPr>
              <w:t xml:space="preserve">  Secondary voltage:     480V</w:t>
            </w:r>
          </w:p>
          <w:p>
            <w:pPr>
              <w:spacing w:after="0" w:before="0"/>
            </w:pPr>
            <w:r>
              <w:rPr>
                <w:rFonts w:ascii="Courier New" w:cs="Courier New" w:eastAsia="Courier New" w:hAnsi="Courier New"/>
                <w:color w:val="1A1A1A"/>
                <w:sz w:val="19"/>
                <w:szCs w:val="19"/>
              </w:rPr>
              <w:t xml:space="preserve">  Impedance (Z%):        4.5%</w:t>
            </w:r>
          </w:p>
          <w:p>
            <w:pPr>
              <w:spacing w:after="0" w:before="0"/>
            </w:pPr>
            <w:r>
              <w:rPr>
                <w:rFonts w:ascii="Courier New" w:cs="Courier New" w:eastAsia="Courier New" w:hAnsi="Courier New"/>
                <w:color w:val="1A1A1A"/>
                <w:sz w:val="19"/>
                <w:szCs w:val="19"/>
              </w:rPr>
              <w:t xml:space="preserve"/>
            </w:r>
          </w:p>
          <w:p>
            <w:pPr>
              <w:spacing w:after="0" w:before="0"/>
            </w:pPr>
            <w:r>
              <w:rPr>
                <w:rFonts w:ascii="Courier New" w:cs="Courier New" w:eastAsia="Courier New" w:hAnsi="Courier New"/>
                <w:color w:val="1A1A1A"/>
                <w:sz w:val="19"/>
                <w:szCs w:val="19"/>
              </w:rPr>
              <w:t xml:space="preserve">  Available fault current (Isc):</w:t>
            </w:r>
          </w:p>
          <w:p>
            <w:pPr>
              <w:spacing w:after="0" w:before="0"/>
            </w:pPr>
            <w:r>
              <w:rPr>
                <w:rFonts w:ascii="Courier New" w:cs="Courier New" w:eastAsia="Courier New" w:hAnsi="Courier New"/>
                <w:color w:val="1A1A1A"/>
                <w:sz w:val="19"/>
                <w:szCs w:val="19"/>
              </w:rPr>
              <w:t xml:space="preserve">  Isc = kVA ÷ (√3 × V × Z%)</w:t>
            </w:r>
          </w:p>
          <w:p>
            <w:pPr>
              <w:spacing w:after="0" w:before="0"/>
            </w:pPr>
            <w:r>
              <w:rPr>
                <w:rFonts w:ascii="Courier New" w:cs="Courier New" w:eastAsia="Courier New" w:hAnsi="Courier New"/>
                <w:color w:val="1A1A1A"/>
                <w:sz w:val="19"/>
                <w:szCs w:val="19"/>
              </w:rPr>
              <w:t xml:space="preserve">  Isc = 500,000 ÷ (1.732 × 480 × 0.045)</w:t>
            </w:r>
          </w:p>
          <w:p>
            <w:pPr>
              <w:spacing w:after="0" w:before="0"/>
            </w:pPr>
            <w:r>
              <w:rPr>
                <w:rFonts w:ascii="Courier New" w:cs="Courier New" w:eastAsia="Courier New" w:hAnsi="Courier New"/>
                <w:color w:val="1A1A1A"/>
                <w:sz w:val="19"/>
                <w:szCs w:val="19"/>
              </w:rPr>
              <w:t xml:space="preserve">  Isc = 500,000 ÷ 37.3</w:t>
            </w:r>
          </w:p>
          <w:p>
            <w:pPr>
              <w:spacing w:after="0" w:before="0"/>
            </w:pPr>
            <w:r>
              <w:rPr>
                <w:rFonts w:ascii="Courier New" w:cs="Courier New" w:eastAsia="Courier New" w:hAnsi="Courier New"/>
                <w:color w:val="1A1A1A"/>
                <w:sz w:val="19"/>
                <w:szCs w:val="19"/>
              </w:rPr>
              <w:t xml:space="preserve">  Isc ≈ 13,400A at transformer secondary</w:t>
            </w:r>
          </w:p>
          <w:p>
            <w:pPr>
              <w:spacing w:after="0" w:before="0"/>
            </w:pPr>
            <w:r>
              <w:rPr>
                <w:rFonts w:ascii="Courier New" w:cs="Courier New" w:eastAsia="Courier New" w:hAnsi="Courier New"/>
                <w:color w:val="1A1A1A"/>
                <w:sz w:val="19"/>
                <w:szCs w:val="19"/>
              </w:rPr>
              <w:t xml:space="preserve">  ─────────────────────────────────────────────────────────</w:t>
            </w:r>
          </w:p>
          <w:p>
            <w:pPr>
              <w:spacing w:after="0" w:before="0"/>
            </w:pPr>
            <w:r>
              <w:rPr>
                <w:rFonts w:ascii="Courier New" w:cs="Courier New" w:eastAsia="Courier New" w:hAnsi="Courier New"/>
                <w:color w:val="1A1A1A"/>
                <w:sz w:val="19"/>
                <w:szCs w:val="19"/>
              </w:rPr>
              <w:t xml:space="preserve">  This is the maximum fault current the upstream</w:t>
            </w:r>
          </w:p>
          <w:p>
            <w:pPr>
              <w:spacing w:after="0" w:before="0"/>
            </w:pPr>
            <w:r>
              <w:rPr>
                <w:rFonts w:ascii="Courier New" w:cs="Courier New" w:eastAsia="Courier New" w:hAnsi="Courier New"/>
                <w:color w:val="1A1A1A"/>
                <w:sz w:val="19"/>
                <w:szCs w:val="19"/>
              </w:rPr>
              <w:t xml:space="preserve">  breakers (800A, 600A) must coordinate against.</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8" w:val="clear"/>
            <w:tcMar>
              <w:top w:type="dxa" w:w="100"/>
              <w:left w:type="dxa" w:w="160"/>
              <w:bottom w:type="dxa" w:w="100"/>
              <w:right w:type="dxa" w:w="120"/>
            </w:tcMar>
          </w:tcPr>
          <w:p>
            <w:pPr>
              <w:spacing w:after="0" w:before="0"/>
            </w:pPr>
            <w:r>
              <w:rPr>
                <w:rFonts w:ascii="Arial" w:cs="Arial" w:eastAsia="Arial" w:hAnsi="Arial"/>
                <w:b/>
                <w:bCs/>
                <w:color w:val="7D4E00"/>
                <w:sz w:val="22"/>
                <w:szCs w:val="22"/>
              </w:rPr>
              <w:t xml:space="preserve">Critical Distinction:  </w:t>
            </w:r>
            <w:r>
              <w:rPr>
                <w:rFonts w:ascii="Arial" w:cs="Arial" w:eastAsia="Arial" w:hAnsi="Arial"/>
                <w:sz w:val="22"/>
                <w:szCs w:val="22"/>
              </w:rPr>
              <w:t xml:space="preserve">The 1500A Bussmann fuses protect against inter-string fault current — which is battery-sourced and independent of the transformer. These are two separate fault current sources. The upstream AC breakers coordinate against transformer fault current (~13,400A). The string fuses coordinate against battery inter-string fault current. Do not confuse the two.</w:t>
            </w:r>
          </w:p>
        </w:tc>
      </w:tr>
    </w:tbl>
    <w:p>
      <w:pPr>
        <w:spacing w:after="120" w:before="0"/>
      </w:pPr>
      <w:r>
        <w:t xml:space="preserve"/>
      </w:r>
    </w:p>
    <w:p>
      <w:pPr>
        <w:pStyle w:val="Heading1"/>
        <w:pBdr>
          <w:bottom w:val="single" w:color="2B5BA8" w:sz="6" w:space="4"/>
        </w:pBdr>
        <w:spacing w:after="120" w:before="360"/>
      </w:pPr>
      <w:r>
        <w:rPr>
          <w:rFonts w:ascii="Arial" w:cs="Arial" w:eastAsia="Arial" w:hAnsi="Arial"/>
          <w:b/>
          <w:bCs/>
          <w:color w:val="1A2F5A"/>
          <w:sz w:val="32"/>
          <w:szCs w:val="32"/>
        </w:rPr>
        <w:t xml:space="preserve">5. Load Current Analysis</w:t>
      </w:r>
    </w:p>
    <w:p>
      <w:pPr>
        <w:spacing w:after="80" w:before="60"/>
      </w:pPr>
      <w:r>
        <w:rPr>
          <w:rFonts w:ascii="Arial" w:cs="Arial" w:eastAsia="Arial" w:hAnsi="Arial"/>
          <w:sz w:val="22"/>
          <w:szCs w:val="22"/>
        </w:rPr>
        <w:t xml:space="preserve">The following calculations confirm the assembly is correctly rated for the application.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2"/>
              <w:left w:val="single" w:color="2B5BA8" w:sz="6"/>
              <w:bottom w:val="single" w:color="888888" w:sz="2"/>
              <w:right w:val="single" w:color="888888" w:sz="2"/>
            </w:tcBorders>
            <w:shd w:fill="F5F7FA" w:val="clear"/>
            <w:tcMar>
              <w:top w:type="dxa" w:w="100"/>
              <w:left w:type="dxa" w:w="200"/>
              <w:bottom w:type="dxa" w:w="100"/>
              <w:right w:type="dxa" w:w="160"/>
            </w:tcMar>
          </w:tcPr>
          <w:p>
            <w:pPr>
              <w:spacing w:after="0" w:before="0"/>
            </w:pPr>
            <w:r>
              <w:rPr>
                <w:rFonts w:ascii="Courier New" w:cs="Courier New" w:eastAsia="Courier New" w:hAnsi="Courier New"/>
                <w:color w:val="1A1A1A"/>
                <w:sz w:val="19"/>
                <w:szCs w:val="19"/>
              </w:rPr>
              <w:t xml:space="preserve">  DISCHARGE CURRENT CALCULATIONS</w:t>
            </w:r>
          </w:p>
          <w:p>
            <w:pPr>
              <w:spacing w:after="0" w:before="0"/>
            </w:pPr>
            <w:r>
              <w:rPr>
                <w:rFonts w:ascii="Courier New" w:cs="Courier New" w:eastAsia="Courier New" w:hAnsi="Courier New"/>
                <w:color w:val="1A1A1A"/>
                <w:sz w:val="19"/>
                <w:szCs w:val="19"/>
              </w:rPr>
              <w:t xml:space="preserve">  ─────────────────────────────────────────────────────────</w:t>
            </w:r>
          </w:p>
          <w:p>
            <w:pPr>
              <w:spacing w:after="0" w:before="0"/>
            </w:pPr>
            <w:r>
              <w:rPr>
                <w:rFonts w:ascii="Courier New" w:cs="Courier New" w:eastAsia="Courier New" w:hAnsi="Courier New"/>
                <w:color w:val="1A1A1A"/>
                <w:sz w:val="19"/>
                <w:szCs w:val="19"/>
              </w:rPr>
              <w:t xml:space="preserve">  Maximum discharge current (at minimum voltage):</w:t>
            </w:r>
          </w:p>
          <w:p>
            <w:pPr>
              <w:spacing w:after="0" w:before="0"/>
            </w:pPr>
            <w:r>
              <w:rPr>
                <w:rFonts w:ascii="Courier New" w:cs="Courier New" w:eastAsia="Courier New" w:hAnsi="Courier New"/>
                <w:color w:val="1A1A1A"/>
                <w:sz w:val="19"/>
                <w:szCs w:val="19"/>
              </w:rPr>
              <w:t xml:space="preserve">  400 kW ÷ 480 VDC = 833A total</w:t>
            </w:r>
          </w:p>
          <w:p>
            <w:pPr>
              <w:spacing w:after="0" w:before="0"/>
            </w:pPr>
            <w:r>
              <w:rPr>
                <w:rFonts w:ascii="Courier New" w:cs="Courier New" w:eastAsia="Courier New" w:hAnsi="Courier New"/>
                <w:color w:val="1A1A1A"/>
                <w:sz w:val="19"/>
                <w:szCs w:val="19"/>
              </w:rPr>
              <w:t xml:space="preserve"/>
            </w:r>
          </w:p>
          <w:p>
            <w:pPr>
              <w:spacing w:after="0" w:before="0"/>
            </w:pPr>
            <w:r>
              <w:rPr>
                <w:rFonts w:ascii="Courier New" w:cs="Courier New" w:eastAsia="Courier New" w:hAnsi="Courier New"/>
                <w:color w:val="1A1A1A"/>
                <w:sz w:val="19"/>
                <w:szCs w:val="19"/>
              </w:rPr>
              <w:t xml:space="preserve">  Minimum discharge current (at maximum voltage):</w:t>
            </w:r>
          </w:p>
          <w:p>
            <w:pPr>
              <w:spacing w:after="0" w:before="0"/>
            </w:pPr>
            <w:r>
              <w:rPr>
                <w:rFonts w:ascii="Courier New" w:cs="Courier New" w:eastAsia="Courier New" w:hAnsi="Courier New"/>
                <w:color w:val="1A1A1A"/>
                <w:sz w:val="19"/>
                <w:szCs w:val="19"/>
              </w:rPr>
              <w:t xml:space="preserve">  400 kW ÷ 576 VDC = 694A total</w:t>
            </w:r>
          </w:p>
          <w:p>
            <w:pPr>
              <w:spacing w:after="0" w:before="0"/>
            </w:pPr>
            <w:r>
              <w:rPr>
                <w:rFonts w:ascii="Courier New" w:cs="Courier New" w:eastAsia="Courier New" w:hAnsi="Courier New"/>
                <w:color w:val="1A1A1A"/>
                <w:sz w:val="19"/>
                <w:szCs w:val="19"/>
              </w:rPr>
              <w:t xml:space="preserve"/>
            </w:r>
          </w:p>
          <w:p>
            <w:pPr>
              <w:spacing w:after="0" w:before="0"/>
            </w:pPr>
            <w:r>
              <w:rPr>
                <w:rFonts w:ascii="Courier New" w:cs="Courier New" w:eastAsia="Courier New" w:hAnsi="Courier New"/>
                <w:color w:val="1A1A1A"/>
                <w:sz w:val="19"/>
                <w:szCs w:val="19"/>
              </w:rPr>
              <w:t xml:space="preserve">  Per string (12 strings):</w:t>
            </w:r>
          </w:p>
          <w:p>
            <w:pPr>
              <w:spacing w:after="0" w:before="0"/>
            </w:pPr>
            <w:r>
              <w:rPr>
                <w:rFonts w:ascii="Courier New" w:cs="Courier New" w:eastAsia="Courier New" w:hAnsi="Courier New"/>
                <w:color w:val="1A1A1A"/>
                <w:sz w:val="19"/>
                <w:szCs w:val="19"/>
              </w:rPr>
              <w:t xml:space="preserve">  833A ÷ 12 = ~69A continuous per string</w:t>
            </w:r>
          </w:p>
          <w:p>
            <w:pPr>
              <w:spacing w:after="0" w:before="0"/>
            </w:pPr>
            <w:r>
              <w:rPr>
                <w:rFonts w:ascii="Courier New" w:cs="Courier New" w:eastAsia="Courier New" w:hAnsi="Courier New"/>
                <w:color w:val="1A1A1A"/>
                <w:sz w:val="19"/>
                <w:szCs w:val="19"/>
              </w:rPr>
              <w:t xml:space="preserve"/>
            </w:r>
          </w:p>
          <w:p>
            <w:pPr>
              <w:spacing w:after="0" w:before="0"/>
            </w:pPr>
            <w:r>
              <w:rPr>
                <w:rFonts w:ascii="Courier New" w:cs="Courier New" w:eastAsia="Courier New" w:hAnsi="Courier New"/>
                <w:color w:val="1A1A1A"/>
                <w:sz w:val="19"/>
                <w:szCs w:val="19"/>
              </w:rPr>
              <w:t xml:space="preserve">  Fuse ratio:</w:t>
            </w:r>
          </w:p>
          <w:p>
            <w:pPr>
              <w:spacing w:after="0" w:before="0"/>
            </w:pPr>
            <w:r>
              <w:rPr>
                <w:rFonts w:ascii="Courier New" w:cs="Courier New" w:eastAsia="Courier New" w:hAnsi="Courier New"/>
                <w:color w:val="1A1A1A"/>
                <w:sz w:val="19"/>
                <w:szCs w:val="19"/>
              </w:rPr>
              <w:t xml:space="preserve">  1500A fuse protecting ~69A continuous = 21× continuous</w:t>
            </w:r>
          </w:p>
          <w:p>
            <w:pPr>
              <w:spacing w:after="0" w:before="0"/>
            </w:pPr>
            <w:r>
              <w:rPr>
                <w:rFonts w:ascii="Courier New" w:cs="Courier New" w:eastAsia="Courier New" w:hAnsi="Courier New"/>
                <w:color w:val="1A1A1A"/>
                <w:sz w:val="19"/>
                <w:szCs w:val="19"/>
              </w:rPr>
              <w:t xml:space="preserve">  → Fuse is NOT sized for continuous current</w:t>
            </w:r>
          </w:p>
          <w:p>
            <w:pPr>
              <w:spacing w:after="0" w:before="0"/>
            </w:pPr>
            <w:r>
              <w:rPr>
                <w:rFonts w:ascii="Courier New" w:cs="Courier New" w:eastAsia="Courier New" w:hAnsi="Courier New"/>
                <w:color w:val="1A1A1A"/>
                <w:sz w:val="19"/>
                <w:szCs w:val="19"/>
              </w:rPr>
              <w:t xml:space="preserve">  → Fuse IS sized for inter-string fault current</w:t>
            </w:r>
          </w:p>
          <w:p>
            <w:pPr>
              <w:spacing w:after="0" w:before="0"/>
            </w:pPr>
            <w:r>
              <w:rPr>
                <w:rFonts w:ascii="Courier New" w:cs="Courier New" w:eastAsia="Courier New" w:hAnsi="Courier New"/>
                <w:color w:val="1A1A1A"/>
                <w:sz w:val="19"/>
                <w:szCs w:val="19"/>
              </w:rPr>
              <w:t xml:space="preserve">  ─────────────────────────────────────────────────────────</w:t>
            </w:r>
          </w:p>
        </w:tc>
      </w:tr>
    </w:tbl>
    <w:p>
      <w:pPr>
        <w:spacing w:after="120" w:before="0"/>
      </w:pPr>
      <w:r>
        <w:t xml:space="preserve"/>
      </w:r>
    </w:p>
    <w:p>
      <w:pPr>
        <w:pStyle w:val="Heading1"/>
        <w:pBdr>
          <w:bottom w:val="single" w:color="2B5BA8" w:sz="6" w:space="4"/>
        </w:pBdr>
        <w:spacing w:after="120" w:before="360"/>
      </w:pPr>
      <w:r>
        <w:rPr>
          <w:rFonts w:ascii="Arial" w:cs="Arial" w:eastAsia="Arial" w:hAnsi="Arial"/>
          <w:b/>
          <w:bCs/>
          <w:color w:val="1A2F5A"/>
          <w:sz w:val="32"/>
          <w:szCs w:val="32"/>
        </w:rPr>
        <w:t xml:space="preserve">6. The 1500A Bussmann Fuses — How They Work</w:t>
      </w:r>
    </w:p>
    <w:p>
      <w:pPr>
        <w:spacing w:after="80" w:before="60"/>
      </w:pPr>
      <w:r>
        <w:rPr>
          <w:rFonts w:ascii="Arial" w:cs="Arial" w:eastAsia="Arial" w:hAnsi="Arial"/>
          <w:sz w:val="22"/>
          <w:szCs w:val="22"/>
        </w:rPr>
        <w:t xml:space="preserve">This is the question reviewers are most likely to ask. The fuses do not protect the strings against overload — they protect against inter-string fault current from the parallel battery bank.</w:t>
      </w:r>
    </w:p>
    <w:p>
      <w:pPr>
        <w:spacing w:after="80" w:before="0"/>
      </w:pPr>
      <w:r>
        <w:t xml:space="preserve"/>
      </w:r>
    </w:p>
    <w:p>
      <w:pPr>
        <w:pStyle w:val="Heading2"/>
        <w:spacing w:after="100" w:before="280"/>
      </w:pPr>
      <w:r>
        <w:rPr>
          <w:rFonts w:ascii="Arial" w:cs="Arial" w:eastAsia="Arial" w:hAnsi="Arial"/>
          <w:b/>
          <w:bCs/>
          <w:color w:val="2B5BA8"/>
          <w:sz w:val="26"/>
          <w:szCs w:val="26"/>
        </w:rPr>
        <w:t xml:space="preserve">Why 1500A for a 69A Continuous Load?</w:t>
      </w:r>
    </w:p>
    <w:p>
      <w:pPr>
        <w:spacing w:after="80" w:before="60"/>
      </w:pPr>
      <w:r>
        <w:rPr>
          <w:rFonts w:ascii="Arial" w:cs="Arial" w:eastAsia="Arial" w:hAnsi="Arial"/>
          <w:sz w:val="22"/>
          <w:szCs w:val="22"/>
        </w:rPr>
        <w:t xml:space="preserve">When one battery string develops a fault, all 11 remaining strings drive current through that string's fuse. This inter-string fault current can be many thousands of amperes — far above the 69A continuous per-string current. The 1500A fuse is sized to interrupt this fault current, not the continuous load current.</w:t>
      </w:r>
    </w:p>
    <w:p>
      <w:pPr>
        <w:spacing w:after="80" w:before="0"/>
      </w:pPr>
      <w:r>
        <w:t xml:space="preserve"/>
      </w:r>
    </w:p>
    <w:p>
      <w:pPr>
        <w:pStyle w:val="Heading2"/>
        <w:spacing w:after="100" w:before="280"/>
      </w:pPr>
      <w:r>
        <w:rPr>
          <w:rFonts w:ascii="Arial" w:cs="Arial" w:eastAsia="Arial" w:hAnsi="Arial"/>
          <w:b/>
          <w:bCs/>
          <w:color w:val="2B5BA8"/>
          <w:sz w:val="26"/>
          <w:szCs w:val="26"/>
        </w:rPr>
        <w:t xml:space="preserve">How the Fuse Curve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1A2F5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Current Multiple</w:t>
            </w:r>
          </w:p>
        </w:tc>
        <w:tc>
          <w:tcPr>
            <w:tcW w:type="dxa" w:w="2200"/>
            <w:tcBorders>
              <w:top w:val="single" w:color="CCCCCC" w:sz="1"/>
              <w:left w:val="single" w:color="CCCCCC" w:sz="1"/>
              <w:bottom w:val="single" w:color="CCCCCC" w:sz="1"/>
              <w:right w:val="single" w:color="CCCCCC" w:sz="1"/>
            </w:tcBorders>
            <w:shd w:fill="1A2F5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Approximate Current</w:t>
            </w:r>
          </w:p>
        </w:tc>
        <w:tc>
          <w:tcPr>
            <w:tcW w:type="dxa" w:w="4960"/>
            <w:tcBorders>
              <w:top w:val="single" w:color="CCCCCC" w:sz="1"/>
              <w:left w:val="single" w:color="CCCCCC" w:sz="1"/>
              <w:bottom w:val="single" w:color="CCCCCC" w:sz="1"/>
              <w:right w:val="single" w:color="CCCCCC" w:sz="1"/>
            </w:tcBorders>
            <w:shd w:fill="1A2F5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Fuse Behavior</w:t>
            </w:r>
          </w:p>
        </w:tc>
      </w:tr>
      <w:tr>
        <w:tc>
          <w:tcPr>
            <w:tcW w:type="dxa" w:w="2200"/>
            <w:tcBorders>
              <w:top w:val="single" w:color="CCCCCC" w:sz="1"/>
              <w:left w:val="single" w:color="CCCCCC" w:sz="1"/>
              <w:bottom w:val="single" w:color="CCCCCC" w:sz="1"/>
              <w:right w:val="single" w:color="CCCCCC" w:sz="1"/>
            </w:tcBorders>
            <w:shd w:fill="EEF3FA" w:val="clear"/>
            <w:tcMar>
              <w:top w:type="dxa" w:w="70"/>
              <w:left w:type="dxa" w:w="120"/>
              <w:bottom w:type="dxa" w:w="70"/>
              <w:right w:type="dxa" w:w="120"/>
            </w:tcMar>
          </w:tcPr>
          <w:p>
            <w:pPr>
              <w:spacing w:after="0" w:before="0"/>
            </w:pPr>
            <w:r>
              <w:rPr>
                <w:rFonts w:ascii="Arial" w:cs="Arial" w:eastAsia="Arial" w:hAnsi="Arial"/>
                <w:sz w:val="20"/>
                <w:szCs w:val="20"/>
              </w:rPr>
              <w:t xml:space="preserve">1.0× (continuous)</w:t>
            </w:r>
          </w:p>
        </w:tc>
        <w:tc>
          <w:tcPr>
            <w:tcW w:type="dxa" w:w="2200"/>
            <w:tcBorders>
              <w:top w:val="single" w:color="CCCCCC" w:sz="1"/>
              <w:left w:val="single" w:color="CCCCCC" w:sz="1"/>
              <w:bottom w:val="single" w:color="CCCCCC" w:sz="1"/>
              <w:right w:val="single" w:color="CCCCCC" w:sz="1"/>
            </w:tcBorders>
            <w:shd w:fill="EEF3FA" w:val="clear"/>
            <w:tcMar>
              <w:top w:type="dxa" w:w="70"/>
              <w:left w:type="dxa" w:w="120"/>
              <w:bottom w:type="dxa" w:w="70"/>
              <w:right w:type="dxa" w:w="120"/>
            </w:tcMar>
          </w:tcPr>
          <w:p>
            <w:pPr>
              <w:spacing w:after="0" w:before="0"/>
            </w:pPr>
            <w:r>
              <w:rPr>
                <w:rFonts w:ascii="Arial" w:cs="Arial" w:eastAsia="Arial" w:hAnsi="Arial"/>
                <w:sz w:val="20"/>
                <w:szCs w:val="20"/>
              </w:rPr>
              <w:t xml:space="preserve">1,500A</w:t>
            </w:r>
          </w:p>
        </w:tc>
        <w:tc>
          <w:tcPr>
            <w:tcW w:type="dxa" w:w="4960"/>
            <w:tcBorders>
              <w:top w:val="single" w:color="CCCCCC" w:sz="1"/>
              <w:left w:val="single" w:color="CCCCCC" w:sz="1"/>
              <w:bottom w:val="single" w:color="CCCCCC" w:sz="1"/>
              <w:right w:val="single" w:color="CCCCCC" w:sz="1"/>
            </w:tcBorders>
            <w:shd w:fill="EEF3FA" w:val="clear"/>
            <w:tcMar>
              <w:top w:type="dxa" w:w="70"/>
              <w:left w:type="dxa" w:w="120"/>
              <w:bottom w:type="dxa" w:w="70"/>
              <w:right w:type="dxa" w:w="120"/>
            </w:tcMar>
          </w:tcPr>
          <w:p>
            <w:pPr>
              <w:spacing w:after="0" w:before="0"/>
            </w:pPr>
            <w:r>
              <w:rPr>
                <w:rFonts w:ascii="Arial" w:cs="Arial" w:eastAsia="Arial" w:hAnsi="Arial"/>
                <w:sz w:val="20"/>
                <w:szCs w:val="20"/>
              </w:rPr>
              <w:t xml:space="preserve">Fuse remains closed — this is continuous rating</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20"/>
                <w:szCs w:val="20"/>
              </w:rPr>
              <w:t xml:space="preserve">1.5×</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20"/>
                <w:szCs w:val="20"/>
              </w:rPr>
              <w:t xml:space="preserve">2,250A</w:t>
            </w:r>
          </w:p>
        </w:tc>
        <w:tc>
          <w:tcPr>
            <w:tcW w:type="dxa" w:w="4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20"/>
                <w:szCs w:val="20"/>
              </w:rPr>
              <w:t xml:space="preserve">Opens in minutes — overload region</w:t>
            </w:r>
          </w:p>
        </w:tc>
      </w:tr>
      <w:tr>
        <w:tc>
          <w:tcPr>
            <w:tcW w:type="dxa" w:w="2200"/>
            <w:tcBorders>
              <w:top w:val="single" w:color="CCCCCC" w:sz="1"/>
              <w:left w:val="single" w:color="CCCCCC" w:sz="1"/>
              <w:bottom w:val="single" w:color="CCCCCC" w:sz="1"/>
              <w:right w:val="single" w:color="CCCCCC" w:sz="1"/>
            </w:tcBorders>
            <w:shd w:fill="EEF3FA" w:val="clear"/>
            <w:tcMar>
              <w:top w:type="dxa" w:w="70"/>
              <w:left w:type="dxa" w:w="120"/>
              <w:bottom w:type="dxa" w:w="70"/>
              <w:right w:type="dxa" w:w="120"/>
            </w:tcMar>
          </w:tcPr>
          <w:p>
            <w:pPr>
              <w:spacing w:after="0" w:before="0"/>
            </w:pPr>
            <w:r>
              <w:rPr>
                <w:rFonts w:ascii="Arial" w:cs="Arial" w:eastAsia="Arial" w:hAnsi="Arial"/>
                <w:sz w:val="20"/>
                <w:szCs w:val="20"/>
              </w:rPr>
              <w:t xml:space="preserve">3×</w:t>
            </w:r>
          </w:p>
        </w:tc>
        <w:tc>
          <w:tcPr>
            <w:tcW w:type="dxa" w:w="2200"/>
            <w:tcBorders>
              <w:top w:val="single" w:color="CCCCCC" w:sz="1"/>
              <w:left w:val="single" w:color="CCCCCC" w:sz="1"/>
              <w:bottom w:val="single" w:color="CCCCCC" w:sz="1"/>
              <w:right w:val="single" w:color="CCCCCC" w:sz="1"/>
            </w:tcBorders>
            <w:shd w:fill="EEF3FA" w:val="clear"/>
            <w:tcMar>
              <w:top w:type="dxa" w:w="70"/>
              <w:left w:type="dxa" w:w="120"/>
              <w:bottom w:type="dxa" w:w="70"/>
              <w:right w:type="dxa" w:w="120"/>
            </w:tcMar>
          </w:tcPr>
          <w:p>
            <w:pPr>
              <w:spacing w:after="0" w:before="0"/>
            </w:pPr>
            <w:r>
              <w:rPr>
                <w:rFonts w:ascii="Arial" w:cs="Arial" w:eastAsia="Arial" w:hAnsi="Arial"/>
                <w:sz w:val="20"/>
                <w:szCs w:val="20"/>
              </w:rPr>
              <w:t xml:space="preserve">4,500A</w:t>
            </w:r>
          </w:p>
        </w:tc>
        <w:tc>
          <w:tcPr>
            <w:tcW w:type="dxa" w:w="4960"/>
            <w:tcBorders>
              <w:top w:val="single" w:color="CCCCCC" w:sz="1"/>
              <w:left w:val="single" w:color="CCCCCC" w:sz="1"/>
              <w:bottom w:val="single" w:color="CCCCCC" w:sz="1"/>
              <w:right w:val="single" w:color="CCCCCC" w:sz="1"/>
            </w:tcBorders>
            <w:shd w:fill="EEF3FA" w:val="clear"/>
            <w:tcMar>
              <w:top w:type="dxa" w:w="70"/>
              <w:left w:type="dxa" w:w="120"/>
              <w:bottom w:type="dxa" w:w="70"/>
              <w:right w:type="dxa" w:w="120"/>
            </w:tcMar>
          </w:tcPr>
          <w:p>
            <w:pPr>
              <w:spacing w:after="0" w:before="0"/>
            </w:pPr>
            <w:r>
              <w:rPr>
                <w:rFonts w:ascii="Arial" w:cs="Arial" w:eastAsia="Arial" w:hAnsi="Arial"/>
                <w:sz w:val="20"/>
                <w:szCs w:val="20"/>
              </w:rPr>
              <w:t xml:space="preserve">Opens in seconds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20"/>
                <w:szCs w:val="20"/>
              </w:rPr>
              <w:t xml:space="preserve">10×</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20"/>
                <w:szCs w:val="20"/>
              </w:rPr>
              <w:t xml:space="preserve">15,000A</w:t>
            </w:r>
          </w:p>
        </w:tc>
        <w:tc>
          <w:tcPr>
            <w:tcW w:type="dxa" w:w="4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20"/>
                <w:szCs w:val="20"/>
              </w:rPr>
              <w:t xml:space="preserve">Opens in milliseconds</w:t>
            </w:r>
          </w:p>
        </w:tc>
      </w:tr>
      <w:tr>
        <w:tc>
          <w:tcPr>
            <w:tcW w:type="dxa" w:w="2200"/>
            <w:tcBorders>
              <w:top w:val="single" w:color="CCCCCC" w:sz="1"/>
              <w:left w:val="single" w:color="CCCCCC" w:sz="1"/>
              <w:bottom w:val="single" w:color="CCCCCC" w:sz="1"/>
              <w:right w:val="single" w:color="CCCCCC" w:sz="1"/>
            </w:tcBorders>
            <w:shd w:fill="EEF3FA" w:val="clear"/>
            <w:tcMar>
              <w:top w:type="dxa" w:w="70"/>
              <w:left w:type="dxa" w:w="120"/>
              <w:bottom w:type="dxa" w:w="70"/>
              <w:right w:type="dxa" w:w="120"/>
            </w:tcMar>
          </w:tcPr>
          <w:p>
            <w:pPr>
              <w:spacing w:after="0" w:before="0"/>
            </w:pPr>
            <w:r>
              <w:rPr>
                <w:rFonts w:ascii="Arial" w:cs="Arial" w:eastAsia="Arial" w:hAnsi="Arial"/>
                <w:sz w:val="20"/>
                <w:szCs w:val="20"/>
              </w:rPr>
              <w:t xml:space="preserve">20×+</w:t>
            </w:r>
          </w:p>
        </w:tc>
        <w:tc>
          <w:tcPr>
            <w:tcW w:type="dxa" w:w="2200"/>
            <w:tcBorders>
              <w:top w:val="single" w:color="CCCCCC" w:sz="1"/>
              <w:left w:val="single" w:color="CCCCCC" w:sz="1"/>
              <w:bottom w:val="single" w:color="CCCCCC" w:sz="1"/>
              <w:right w:val="single" w:color="CCCCCC" w:sz="1"/>
            </w:tcBorders>
            <w:shd w:fill="EEF3FA" w:val="clear"/>
            <w:tcMar>
              <w:top w:type="dxa" w:w="70"/>
              <w:left w:type="dxa" w:w="120"/>
              <w:bottom w:type="dxa" w:w="70"/>
              <w:right w:type="dxa" w:w="120"/>
            </w:tcMar>
          </w:tcPr>
          <w:p>
            <w:pPr>
              <w:spacing w:after="0" w:before="0"/>
            </w:pPr>
            <w:r>
              <w:rPr>
                <w:rFonts w:ascii="Arial" w:cs="Arial" w:eastAsia="Arial" w:hAnsi="Arial"/>
                <w:sz w:val="20"/>
                <w:szCs w:val="20"/>
              </w:rPr>
              <w:t xml:space="preserve">30,000A+</w:t>
            </w:r>
          </w:p>
        </w:tc>
        <w:tc>
          <w:tcPr>
            <w:tcW w:type="dxa" w:w="4960"/>
            <w:tcBorders>
              <w:top w:val="single" w:color="CCCCCC" w:sz="1"/>
              <w:left w:val="single" w:color="CCCCCC" w:sz="1"/>
              <w:bottom w:val="single" w:color="CCCCCC" w:sz="1"/>
              <w:right w:val="single" w:color="CCCCCC" w:sz="1"/>
            </w:tcBorders>
            <w:shd w:fill="EEF3FA" w:val="clear"/>
            <w:tcMar>
              <w:top w:type="dxa" w:w="70"/>
              <w:left w:type="dxa" w:w="120"/>
              <w:bottom w:type="dxa" w:w="70"/>
              <w:right w:type="dxa" w:w="120"/>
            </w:tcMar>
          </w:tcPr>
          <w:p>
            <w:pPr>
              <w:spacing w:after="0" w:before="0"/>
            </w:pPr>
            <w:r>
              <w:rPr>
                <w:rFonts w:ascii="Arial" w:cs="Arial" w:eastAsia="Arial" w:hAnsi="Arial"/>
                <w:sz w:val="20"/>
                <w:szCs w:val="20"/>
              </w:rPr>
              <w:t xml:space="preserve">Current limiting — clips fault peak in &lt;1ms</w:t>
            </w:r>
          </w:p>
        </w:tc>
      </w:tr>
    </w:tbl>
    <w:p>
      <w:pPr>
        <w:spacing w:after="80" w:before="0"/>
      </w:pPr>
      <w:r>
        <w:t xml:space="preserve"/>
      </w:r>
    </w:p>
    <w:p>
      <w:pPr>
        <w:spacing w:after="80" w:before="60"/>
      </w:pPr>
      <w:r>
        <w:rPr>
          <w:rFonts w:ascii="Arial" w:cs="Arial" w:eastAsia="Arial" w:hAnsi="Arial"/>
          <w:sz w:val="22"/>
          <w:szCs w:val="22"/>
        </w:rPr>
        <w:t xml:space="preserve">At inter-string fault current levels (potentially 10,000–30,000A depending on string impedance), the fuse operates in the current-limiting region — it opens so fast it actually reduces the peak fault current before it reaches maximum.</w:t>
      </w:r>
    </w:p>
    <w:p>
      <w:pPr>
        <w:spacing w:after="120" w:before="0"/>
      </w:pPr>
      <w:r>
        <w:t xml:space="preserve"/>
      </w:r>
    </w:p>
    <w:p>
      <w:pPr>
        <w:pStyle w:val="Heading1"/>
        <w:pBdr>
          <w:bottom w:val="single" w:color="2B5BA8" w:sz="6" w:space="4"/>
        </w:pBdr>
        <w:spacing w:after="120" w:before="360"/>
      </w:pPr>
      <w:r>
        <w:rPr>
          <w:rFonts w:ascii="Arial" w:cs="Arial" w:eastAsia="Arial" w:hAnsi="Arial"/>
          <w:b/>
          <w:bCs/>
          <w:color w:val="1A2F5A"/>
          <w:sz w:val="32"/>
          <w:szCs w:val="32"/>
        </w:rPr>
        <w:t xml:space="preserve">7. Cable Notation — How to Read It</w:t>
      </w:r>
    </w:p>
    <w:p>
      <w:pPr>
        <w:spacing w:after="80" w:before="60"/>
      </w:pPr>
      <w:r>
        <w:rPr>
          <w:rFonts w:ascii="Arial" w:cs="Arial" w:eastAsia="Arial" w:hAnsi="Arial"/>
          <w:sz w:val="22"/>
          <w:szCs w:val="22"/>
        </w:rPr>
        <w:t xml:space="preserve">Cable specifications follow a standard notation. Here is how to read the PDR cable specification: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2"/>
              <w:left w:val="single" w:color="2B5BA8" w:sz="6"/>
              <w:bottom w:val="single" w:color="888888" w:sz="2"/>
              <w:right w:val="single" w:color="888888" w:sz="2"/>
            </w:tcBorders>
            <w:shd w:fill="F5F7FA" w:val="clear"/>
            <w:tcMar>
              <w:top w:type="dxa" w:w="100"/>
              <w:left w:type="dxa" w:w="200"/>
              <w:bottom w:type="dxa" w:w="100"/>
              <w:right w:type="dxa" w:w="160"/>
            </w:tcMar>
          </w:tcPr>
          <w:p>
            <w:pPr>
              <w:spacing w:after="0" w:before="0"/>
            </w:pPr>
            <w:r>
              <w:rPr>
                <w:rFonts w:ascii="Courier New" w:cs="Courier New" w:eastAsia="Courier New" w:hAnsi="Courier New"/>
                <w:color w:val="1A1A1A"/>
                <w:sz w:val="19"/>
                <w:szCs w:val="19"/>
              </w:rPr>
              <w:t xml:space="preserve">  PDR OUTPUT CABLE SPECIFICATION:</w:t>
            </w:r>
          </w:p>
          <w:p>
            <w:pPr>
              <w:spacing w:after="0" w:before="0"/>
            </w:pPr>
            <w:r>
              <w:rPr>
                <w:rFonts w:ascii="Courier New" w:cs="Courier New" w:eastAsia="Courier New" w:hAnsi="Courier New"/>
                <w:color w:val="1A1A1A"/>
                <w:sz w:val="19"/>
                <w:szCs w:val="19"/>
              </w:rPr>
              <w:t xml:space="preserve">  2-(4-1/C #500 + 1/C #2 GND)</w:t>
            </w:r>
          </w:p>
          <w:p>
            <w:pPr>
              <w:spacing w:after="0" w:before="0"/>
            </w:pPr>
            <w:r>
              <w:rPr>
                <w:rFonts w:ascii="Courier New" w:cs="Courier New" w:eastAsia="Courier New" w:hAnsi="Courier New"/>
                <w:color w:val="1A1A1A"/>
                <w:sz w:val="19"/>
                <w:szCs w:val="19"/>
              </w:rPr>
              <w:t xml:space="preserve"/>
            </w:r>
          </w:p>
          <w:p>
            <w:pPr>
              <w:spacing w:after="0" w:before="0"/>
            </w:pPr>
            <w:r>
              <w:rPr>
                <w:rFonts w:ascii="Courier New" w:cs="Courier New" w:eastAsia="Courier New" w:hAnsi="Courier New"/>
                <w:color w:val="1A1A1A"/>
                <w:sz w:val="19"/>
                <w:szCs w:val="19"/>
              </w:rPr>
              <w:t xml:space="preserve">  2          =  2 conduit runs</w:t>
            </w:r>
          </w:p>
          <w:p>
            <w:pPr>
              <w:spacing w:after="0" w:before="0"/>
            </w:pPr>
            <w:r>
              <w:rPr>
                <w:rFonts w:ascii="Courier New" w:cs="Courier New" w:eastAsia="Courier New" w:hAnsi="Courier New"/>
                <w:color w:val="1A1A1A"/>
                <w:sz w:val="19"/>
                <w:szCs w:val="19"/>
              </w:rPr>
              <w:t xml:space="preserve">  4          =  4 conductors per conduit</w:t>
            </w:r>
          </w:p>
          <w:p>
            <w:pPr>
              <w:spacing w:after="0" w:before="0"/>
            </w:pPr>
            <w:r>
              <w:rPr>
                <w:rFonts w:ascii="Courier New" w:cs="Courier New" w:eastAsia="Courier New" w:hAnsi="Courier New"/>
                <w:color w:val="1A1A1A"/>
                <w:sz w:val="19"/>
                <w:szCs w:val="19"/>
              </w:rPr>
              <w:t xml:space="preserve">  1/C        =  single conductor (one wire per run)</w:t>
            </w:r>
          </w:p>
          <w:p>
            <w:pPr>
              <w:spacing w:after="0" w:before="0"/>
            </w:pPr>
            <w:r>
              <w:rPr>
                <w:rFonts w:ascii="Courier New" w:cs="Courier New" w:eastAsia="Courier New" w:hAnsi="Courier New"/>
                <w:color w:val="1A1A1A"/>
                <w:sz w:val="19"/>
                <w:szCs w:val="19"/>
              </w:rPr>
              <w:t xml:space="preserve">  #500       =  500 kcmil conductor size</w:t>
            </w:r>
          </w:p>
          <w:p>
            <w:pPr>
              <w:spacing w:after="0" w:before="0"/>
            </w:pPr>
            <w:r>
              <w:rPr>
                <w:rFonts w:ascii="Courier New" w:cs="Courier New" w:eastAsia="Courier New" w:hAnsi="Courier New"/>
                <w:color w:val="1A1A1A"/>
                <w:sz w:val="19"/>
                <w:szCs w:val="19"/>
              </w:rPr>
              <w:t xml:space="preserve">  +1/C #2    =  plus one conductor, #2 AWG</w:t>
            </w:r>
          </w:p>
          <w:p>
            <w:pPr>
              <w:spacing w:after="0" w:before="0"/>
            </w:pPr>
            <w:r>
              <w:rPr>
                <w:rFonts w:ascii="Courier New" w:cs="Courier New" w:eastAsia="Courier New" w:hAnsi="Courier New"/>
                <w:color w:val="1A1A1A"/>
                <w:sz w:val="19"/>
                <w:szCs w:val="19"/>
              </w:rPr>
              <w:t xml:space="preserve">  GND        =  ground conductor</w:t>
            </w:r>
          </w:p>
          <w:p>
            <w:pPr>
              <w:spacing w:after="0" w:before="0"/>
            </w:pPr>
            <w:r>
              <w:rPr>
                <w:rFonts w:ascii="Courier New" w:cs="Courier New" w:eastAsia="Courier New" w:hAnsi="Courier New"/>
                <w:color w:val="1A1A1A"/>
                <w:sz w:val="19"/>
                <w:szCs w:val="19"/>
              </w:rPr>
              <w:t xml:space="preserve"/>
            </w:r>
          </w:p>
          <w:p>
            <w:pPr>
              <w:spacing w:after="0" w:before="0"/>
            </w:pPr>
            <w:r>
              <w:rPr>
                <w:rFonts w:ascii="Courier New" w:cs="Courier New" w:eastAsia="Courier New" w:hAnsi="Courier New"/>
                <w:color w:val="1A1A1A"/>
                <w:sz w:val="19"/>
                <w:szCs w:val="19"/>
              </w:rPr>
              <w:t xml:space="preserve">  SAY OUT LOUD:</w:t>
            </w:r>
          </w:p>
          <w:p>
            <w:pPr>
              <w:spacing w:after="0" w:before="0"/>
            </w:pPr>
            <w:r>
              <w:rPr>
                <w:rFonts w:ascii="Courier New" w:cs="Courier New" w:eastAsia="Courier New" w:hAnsi="Courier New"/>
                <w:color w:val="1A1A1A"/>
                <w:sz w:val="19"/>
                <w:szCs w:val="19"/>
              </w:rPr>
              <w:t xml:space="preserve">  'Two conduit runs, each containing four</w:t>
            </w:r>
          </w:p>
          <w:p>
            <w:pPr>
              <w:spacing w:after="0" w:before="0"/>
            </w:pPr>
            <w:r>
              <w:rPr>
                <w:rFonts w:ascii="Courier New" w:cs="Courier New" w:eastAsia="Courier New" w:hAnsi="Courier New"/>
                <w:color w:val="1A1A1A"/>
                <w:sz w:val="19"/>
                <w:szCs w:val="19"/>
              </w:rPr>
              <w:t xml:space="preserve">   single-conductor 500 kcmil cables plus</w:t>
            </w:r>
          </w:p>
          <w:p>
            <w:pPr>
              <w:spacing w:after="0" w:before="0"/>
            </w:pPr>
            <w:r>
              <w:rPr>
                <w:rFonts w:ascii="Courier New" w:cs="Courier New" w:eastAsia="Courier New" w:hAnsi="Courier New"/>
                <w:color w:val="1A1A1A"/>
                <w:sz w:val="19"/>
                <w:szCs w:val="19"/>
              </w:rPr>
              <w:t xml:space="preserve">   one number two AWG ground.'</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60"/>
        <w:gridCol w:w="3400"/>
      </w:tblGrid>
      <w:tr>
        <w:tc>
          <w:tcPr>
            <w:tcW w:type="dxa" w:w="2400"/>
            <w:tcBorders>
              <w:top w:val="single" w:color="CCCCCC" w:sz="1"/>
              <w:left w:val="single" w:color="CCCCCC" w:sz="1"/>
              <w:bottom w:val="single" w:color="CCCCCC" w:sz="1"/>
              <w:right w:val="single" w:color="CCCCCC" w:sz="1"/>
            </w:tcBorders>
            <w:shd w:fill="1A2F5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Connection</w:t>
            </w:r>
          </w:p>
        </w:tc>
        <w:tc>
          <w:tcPr>
            <w:tcW w:type="dxa" w:w="3560"/>
            <w:tcBorders>
              <w:top w:val="single" w:color="CCCCCC" w:sz="1"/>
              <w:left w:val="single" w:color="CCCCCC" w:sz="1"/>
              <w:bottom w:val="single" w:color="CCCCCC" w:sz="1"/>
              <w:right w:val="single" w:color="CCCCCC" w:sz="1"/>
            </w:tcBorders>
            <w:shd w:fill="1A2F5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Specification</w:t>
            </w:r>
          </w:p>
        </w:tc>
        <w:tc>
          <w:tcPr>
            <w:tcW w:type="dxa" w:w="3400"/>
            <w:tcBorders>
              <w:top w:val="single" w:color="CCCCCC" w:sz="1"/>
              <w:left w:val="single" w:color="CCCCCC" w:sz="1"/>
              <w:bottom w:val="single" w:color="CCCCCC" w:sz="1"/>
              <w:right w:val="single" w:color="CCCCCC" w:sz="1"/>
            </w:tcBorders>
            <w:shd w:fill="1A2F5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EEF3FA" w:val="clear"/>
            <w:tcMar>
              <w:top w:type="dxa" w:w="70"/>
              <w:left w:type="dxa" w:w="120"/>
              <w:bottom w:type="dxa" w:w="70"/>
              <w:right w:type="dxa" w:w="120"/>
            </w:tcMar>
          </w:tcPr>
          <w:p>
            <w:pPr>
              <w:spacing w:after="0" w:before="0"/>
            </w:pPr>
            <w:r>
              <w:rPr>
                <w:rFonts w:ascii="Arial" w:cs="Arial" w:eastAsia="Arial" w:hAnsi="Arial"/>
                <w:sz w:val="20"/>
                <w:szCs w:val="20"/>
              </w:rPr>
              <w:t xml:space="preserve">Battery strings (each)</w:t>
            </w:r>
          </w:p>
        </w:tc>
        <w:tc>
          <w:tcPr>
            <w:tcW w:type="dxa" w:w="3560"/>
            <w:tcBorders>
              <w:top w:val="single" w:color="CCCCCC" w:sz="1"/>
              <w:left w:val="single" w:color="CCCCCC" w:sz="1"/>
              <w:bottom w:val="single" w:color="CCCCCC" w:sz="1"/>
              <w:right w:val="single" w:color="CCCCCC" w:sz="1"/>
            </w:tcBorders>
            <w:shd w:fill="EEF3FA" w:val="clear"/>
            <w:tcMar>
              <w:top w:type="dxa" w:w="70"/>
              <w:left w:type="dxa" w:w="120"/>
              <w:bottom w:type="dxa" w:w="70"/>
              <w:right w:type="dxa" w:w="120"/>
            </w:tcMar>
          </w:tcPr>
          <w:p>
            <w:pPr>
              <w:spacing w:after="0" w:before="0"/>
            </w:pPr>
            <w:r>
              <w:rPr>
                <w:rFonts w:ascii="Arial" w:cs="Arial" w:eastAsia="Arial" w:hAnsi="Arial"/>
                <w:sz w:val="20"/>
                <w:szCs w:val="20"/>
              </w:rPr>
              <w:t xml:space="preserve">300 kcmil</w:t>
            </w:r>
          </w:p>
        </w:tc>
        <w:tc>
          <w:tcPr>
            <w:tcW w:type="dxa" w:w="3400"/>
            <w:tcBorders>
              <w:top w:val="single" w:color="CCCCCC" w:sz="1"/>
              <w:left w:val="single" w:color="CCCCCC" w:sz="1"/>
              <w:bottom w:val="single" w:color="CCCCCC" w:sz="1"/>
              <w:right w:val="single" w:color="CCCCCC" w:sz="1"/>
            </w:tcBorders>
            <w:shd w:fill="EEF3FA" w:val="clear"/>
            <w:tcMar>
              <w:top w:type="dxa" w:w="70"/>
              <w:left w:type="dxa" w:w="120"/>
              <w:bottom w:type="dxa" w:w="70"/>
              <w:right w:type="dxa" w:w="120"/>
            </w:tcMar>
          </w:tcPr>
          <w:p>
            <w:pPr>
              <w:spacing w:after="0" w:before="0"/>
            </w:pPr>
            <w:r>
              <w:rPr>
                <w:rFonts w:ascii="Arial" w:cs="Arial" w:eastAsia="Arial" w:hAnsi="Arial"/>
                <w:sz w:val="20"/>
                <w:szCs w:val="20"/>
              </w:rPr>
              <w:t xml:space="preserve">12 string inputs to assembly</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20"/>
                <w:szCs w:val="20"/>
              </w:rPr>
              <w:t xml:space="preserve">PDR output</w:t>
            </w:r>
          </w:p>
        </w:tc>
        <w:tc>
          <w:tcPr>
            <w:tcW w:type="dxa" w:w="3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20"/>
                <w:szCs w:val="20"/>
              </w:rPr>
              <w:t xml:space="preserve">2 × (4 × 500 kcmil + #2 GND)</w:t>
            </w:r>
          </w:p>
        </w:tc>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20"/>
                <w:szCs w:val="20"/>
              </w:rPr>
              <w:t xml:space="preserve">Assembly output to PDR bus bars</w:t>
            </w:r>
          </w:p>
        </w:tc>
      </w:tr>
      <w:tr>
        <w:tc>
          <w:tcPr>
            <w:tcW w:type="dxa" w:w="2400"/>
            <w:tcBorders>
              <w:top w:val="single" w:color="CCCCCC" w:sz="1"/>
              <w:left w:val="single" w:color="CCCCCC" w:sz="1"/>
              <w:bottom w:val="single" w:color="CCCCCC" w:sz="1"/>
              <w:right w:val="single" w:color="CCCCCC" w:sz="1"/>
            </w:tcBorders>
            <w:shd w:fill="EEF3FA" w:val="clear"/>
            <w:tcMar>
              <w:top w:type="dxa" w:w="70"/>
              <w:left w:type="dxa" w:w="120"/>
              <w:bottom w:type="dxa" w:w="70"/>
              <w:right w:type="dxa" w:w="120"/>
            </w:tcMar>
          </w:tcPr>
          <w:p>
            <w:pPr>
              <w:spacing w:after="0" w:before="0"/>
            </w:pPr>
            <w:r>
              <w:rPr>
                <w:rFonts w:ascii="Arial" w:cs="Arial" w:eastAsia="Arial" w:hAnsi="Arial"/>
                <w:sz w:val="20"/>
                <w:szCs w:val="20"/>
              </w:rPr>
              <w:t xml:space="preserve">Ground bus</w:t>
            </w:r>
          </w:p>
        </w:tc>
        <w:tc>
          <w:tcPr>
            <w:tcW w:type="dxa" w:w="3560"/>
            <w:tcBorders>
              <w:top w:val="single" w:color="CCCCCC" w:sz="1"/>
              <w:left w:val="single" w:color="CCCCCC" w:sz="1"/>
              <w:bottom w:val="single" w:color="CCCCCC" w:sz="1"/>
              <w:right w:val="single" w:color="CCCCCC" w:sz="1"/>
            </w:tcBorders>
            <w:shd w:fill="EEF3FA" w:val="clear"/>
            <w:tcMar>
              <w:top w:type="dxa" w:w="70"/>
              <w:left w:type="dxa" w:w="120"/>
              <w:bottom w:type="dxa" w:w="70"/>
              <w:right w:type="dxa" w:w="120"/>
            </w:tcMar>
          </w:tcPr>
          <w:p>
            <w:pPr>
              <w:spacing w:after="0" w:before="0"/>
            </w:pPr>
            <w:r>
              <w:rPr>
                <w:rFonts w:ascii="Arial" w:cs="Arial" w:eastAsia="Arial" w:hAnsi="Arial"/>
                <w:sz w:val="20"/>
                <w:szCs w:val="20"/>
              </w:rPr>
              <w:t xml:space="preserve">Tied to facility ground</w:t>
            </w:r>
          </w:p>
        </w:tc>
        <w:tc>
          <w:tcPr>
            <w:tcW w:type="dxa" w:w="3400"/>
            <w:tcBorders>
              <w:top w:val="single" w:color="CCCCCC" w:sz="1"/>
              <w:left w:val="single" w:color="CCCCCC" w:sz="1"/>
              <w:bottom w:val="single" w:color="CCCCCC" w:sz="1"/>
              <w:right w:val="single" w:color="CCCCCC" w:sz="1"/>
            </w:tcBorders>
            <w:shd w:fill="EEF3FA" w:val="clear"/>
            <w:tcMar>
              <w:top w:type="dxa" w:w="70"/>
              <w:left w:type="dxa" w:w="120"/>
              <w:bottom w:type="dxa" w:w="70"/>
              <w:right w:type="dxa" w:w="120"/>
            </w:tcMar>
          </w:tcPr>
          <w:p>
            <w:pPr>
              <w:spacing w:after="0" w:before="0"/>
            </w:pPr>
            <w:r>
              <w:rPr>
                <w:rFonts w:ascii="Arial" w:cs="Arial" w:eastAsia="Arial" w:hAnsi="Arial"/>
                <w:sz w:val="20"/>
                <w:szCs w:val="20"/>
              </w:rPr>
              <w:t xml:space="preserve">Single-point protective earth bond</w:t>
            </w:r>
          </w:p>
        </w:tc>
      </w:tr>
    </w:tbl>
    <w:p>
      <w:pPr>
        <w:spacing w:after="120" w:before="0"/>
      </w:pPr>
      <w:r>
        <w:t xml:space="preserve"/>
      </w:r>
    </w:p>
    <w:p>
      <w:pPr>
        <w:pStyle w:val="Heading1"/>
        <w:pBdr>
          <w:bottom w:val="single" w:color="2B5BA8" w:sz="6" w:space="4"/>
        </w:pBdr>
        <w:spacing w:after="120" w:before="360"/>
      </w:pPr>
      <w:r>
        <w:rPr>
          <w:rFonts w:ascii="Arial" w:cs="Arial" w:eastAsia="Arial" w:hAnsi="Arial"/>
          <w:b/>
          <w:bCs/>
          <w:color w:val="1A2F5A"/>
          <w:sz w:val="32"/>
          <w:szCs w:val="32"/>
        </w:rPr>
        <w:t xml:space="preserve">8. Protection Coordination Summary</w:t>
      </w:r>
    </w:p>
    <w:p>
      <w:pPr>
        <w:spacing w:after="80" w:before="60"/>
      </w:pPr>
      <w:r>
        <w:rPr>
          <w:rFonts w:ascii="Arial" w:cs="Arial" w:eastAsia="Arial" w:hAnsi="Arial"/>
          <w:sz w:val="22"/>
          <w:szCs w:val="22"/>
        </w:rPr>
        <w:t xml:space="preserve">The three-sentence answer that covers coordination at the design review:</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AF1" w:val="clear"/>
            <w:tcMar>
              <w:top w:type="dxa" w:w="100"/>
              <w:left w:type="dxa" w:w="160"/>
              <w:bottom w:type="dxa" w:w="100"/>
              <w:right w:type="dxa" w:w="120"/>
            </w:tcMar>
          </w:tcPr>
          <w:p>
            <w:pPr>
              <w:spacing w:after="0" w:before="0"/>
            </w:pPr>
            <w:r>
              <w:rPr>
                <w:rFonts w:ascii="Arial" w:cs="Arial" w:eastAsia="Arial" w:hAnsi="Arial"/>
                <w:b/>
                <w:bCs/>
                <w:color w:val="1A4731"/>
                <w:sz w:val="22"/>
                <w:szCs w:val="22"/>
              </w:rPr>
              <w:t xml:space="preserve">Coordination Answer:  </w:t>
            </w:r>
            <w:r>
              <w:rPr>
                <w:rFonts w:ascii="Arial" w:cs="Arial" w:eastAsia="Arial" w:hAnsi="Arial"/>
                <w:sz w:val="22"/>
                <w:szCs w:val="22"/>
              </w:rPr>
              <w:t xml:space="preserve">The 1500A Bussmann fuses are sized to interrupt inter-string fault current from the parallel battery bank — not the continuous load current. At fault levels, they operate in the current-limiting region, clearing before the upstream IFS DC breaker reaches its trip threshold. The transformer and IFS are upstream backup — they coordinate against the ~13,400A transformer-available fault current and do not operate for string-level battery faults.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2"/>
              <w:left w:val="single" w:color="2B5BA8" w:sz="6"/>
              <w:bottom w:val="single" w:color="888888" w:sz="2"/>
              <w:right w:val="single" w:color="888888" w:sz="2"/>
            </w:tcBorders>
            <w:shd w:fill="F5F7FA" w:val="clear"/>
            <w:tcMar>
              <w:top w:type="dxa" w:w="100"/>
              <w:left w:type="dxa" w:w="200"/>
              <w:bottom w:type="dxa" w:w="100"/>
              <w:right w:type="dxa" w:w="160"/>
            </w:tcMar>
          </w:tcPr>
          <w:p>
            <w:pPr>
              <w:spacing w:after="0" w:before="0"/>
            </w:pPr>
            <w:r>
              <w:rPr>
                <w:rFonts w:ascii="Courier New" w:cs="Courier New" w:eastAsia="Courier New" w:hAnsi="Courier New"/>
                <w:color w:val="1A1A1A"/>
                <w:sz w:val="19"/>
                <w:szCs w:val="19"/>
              </w:rPr>
              <w:t xml:space="preserve">  COORDINATION HIERARCHY</w:t>
            </w:r>
          </w:p>
          <w:p>
            <w:pPr>
              <w:spacing w:after="0" w:before="0"/>
            </w:pPr>
            <w:r>
              <w:rPr>
                <w:rFonts w:ascii="Courier New" w:cs="Courier New" w:eastAsia="Courier New" w:hAnsi="Courier New"/>
                <w:color w:val="1A1A1A"/>
                <w:sz w:val="19"/>
                <w:szCs w:val="19"/>
              </w:rPr>
              <w:t xml:space="preserve">  ─────────────────────────────────────────────────────────</w:t>
            </w:r>
          </w:p>
          <w:p>
            <w:pPr>
              <w:spacing w:after="0" w:before="0"/>
            </w:pPr>
            <w:r>
              <w:rPr>
                <w:rFonts w:ascii="Courier New" w:cs="Courier New" w:eastAsia="Courier New" w:hAnsi="Courier New"/>
                <w:color w:val="1A1A1A"/>
                <w:sz w:val="19"/>
                <w:szCs w:val="19"/>
              </w:rPr>
              <w:t xml:space="preserve">  DEVICE              RATING    FAULT SOURCE       ROLE</w:t>
            </w:r>
          </w:p>
          <w:p>
            <w:pPr>
              <w:spacing w:after="0" w:before="0"/>
            </w:pPr>
            <w:r>
              <w:rPr>
                <w:rFonts w:ascii="Courier New" w:cs="Courier New" w:eastAsia="Courier New" w:hAnsi="Courier New"/>
                <w:color w:val="1A1A1A"/>
                <w:sz w:val="19"/>
                <w:szCs w:val="19"/>
              </w:rPr>
              <w:t xml:space="preserve">  ─────────────────────────────────────────────────────────</w:t>
            </w:r>
          </w:p>
          <w:p>
            <w:pPr>
              <w:spacing w:after="0" w:before="0"/>
            </w:pPr>
            <w:r>
              <w:rPr>
                <w:rFonts w:ascii="Courier New" w:cs="Courier New" w:eastAsia="Courier New" w:hAnsi="Courier New"/>
                <w:color w:val="1A1A1A"/>
                <w:sz w:val="19"/>
                <w:szCs w:val="19"/>
              </w:rPr>
              <w:t xml:space="preserve">  IFS Main CB         800AS     Transformer AC     Upstream backup</w:t>
            </w:r>
          </w:p>
          <w:p>
            <w:pPr>
              <w:spacing w:after="0" w:before="0"/>
            </w:pPr>
            <w:r>
              <w:rPr>
                <w:rFonts w:ascii="Courier New" w:cs="Courier New" w:eastAsia="Courier New" w:hAnsi="Courier New"/>
                <w:color w:val="1A1A1A"/>
                <w:sz w:val="19"/>
                <w:szCs w:val="19"/>
              </w:rPr>
              <w:t xml:space="preserve">  IFS CB              600AS     Transformer AC     Backup</w:t>
            </w:r>
          </w:p>
          <w:p>
            <w:pPr>
              <w:spacing w:after="0" w:before="0"/>
            </w:pPr>
            <w:r>
              <w:rPr>
                <w:rFonts w:ascii="Courier New" w:cs="Courier New" w:eastAsia="Courier New" w:hAnsi="Courier New"/>
                <w:color w:val="1A1A1A"/>
                <w:sz w:val="19"/>
                <w:szCs w:val="19"/>
              </w:rPr>
              <w:t xml:space="preserve">  1500A Fuses         &gt;&gt;13.4kA  Battery DC         First to clear</w:t>
            </w:r>
          </w:p>
          <w:p>
            <w:pPr>
              <w:spacing w:after="0" w:before="0"/>
            </w:pPr>
            <w:r>
              <w:rPr>
                <w:rFonts w:ascii="Courier New" w:cs="Courier New" w:eastAsia="Courier New" w:hAnsi="Courier New"/>
                <w:color w:val="1A1A1A"/>
                <w:sz w:val="19"/>
                <w:szCs w:val="19"/>
              </w:rPr>
              <w:t xml:space="preserve">                                (inter-string)     on string fault</w:t>
            </w:r>
          </w:p>
          <w:p>
            <w:pPr>
              <w:spacing w:after="0" w:before="0"/>
            </w:pPr>
            <w:r>
              <w:rPr>
                <w:rFonts w:ascii="Courier New" w:cs="Courier New" w:eastAsia="Courier New" w:hAnsi="Courier New"/>
                <w:color w:val="1A1A1A"/>
                <w:sz w:val="19"/>
                <w:szCs w:val="19"/>
              </w:rPr>
              <w:t xml:space="preserve">  ─────────────────────────────────────────────────────────</w:t>
            </w:r>
          </w:p>
          <w:p>
            <w:pPr>
              <w:spacing w:after="0" w:before="0"/>
            </w:pPr>
            <w:r>
              <w:rPr>
                <w:rFonts w:ascii="Courier New" w:cs="Courier New" w:eastAsia="Courier New" w:hAnsi="Courier New"/>
                <w:color w:val="1A1A1A"/>
                <w:sz w:val="19"/>
                <w:szCs w:val="19"/>
              </w:rPr>
              <w:t xml:space="preserve">  Fuse clears FASTER than breaker at high fault current.</w:t>
            </w:r>
          </w:p>
          <w:p>
            <w:pPr>
              <w:spacing w:after="0" w:before="0"/>
            </w:pPr>
            <w:r>
              <w:rPr>
                <w:rFonts w:ascii="Courier New" w:cs="Courier New" w:eastAsia="Courier New" w:hAnsi="Courier New"/>
                <w:color w:val="1A1A1A"/>
                <w:sz w:val="19"/>
                <w:szCs w:val="19"/>
              </w:rPr>
              <w:t xml:space="preserve">  Breaker handles lower-level sustained faults from AC side.</w:t>
            </w:r>
          </w:p>
          <w:p>
            <w:pPr>
              <w:spacing w:after="0" w:before="0"/>
            </w:pPr>
            <w:r>
              <w:rPr>
                <w:rFonts w:ascii="Courier New" w:cs="Courier New" w:eastAsia="Courier New" w:hAnsi="Courier New"/>
                <w:color w:val="1A1A1A"/>
                <w:sz w:val="19"/>
                <w:szCs w:val="19"/>
              </w:rPr>
              <w:t xml:space="preserve">  Two independent fault current sources — do not conflate.</w:t>
            </w:r>
          </w:p>
        </w:tc>
      </w:tr>
    </w:tbl>
    <w:p>
      <w:pPr>
        <w:spacing w:after="120" w:before="0"/>
      </w:pPr>
      <w:r>
        <w:t xml:space="preserve"/>
      </w:r>
    </w:p>
    <w:p>
      <w:pPr>
        <w:pStyle w:val="Heading1"/>
        <w:pBdr>
          <w:bottom w:val="single" w:color="2B5BA8" w:sz="6" w:space="4"/>
        </w:pBdr>
        <w:spacing w:after="120" w:before="360"/>
      </w:pPr>
      <w:r>
        <w:rPr>
          <w:rFonts w:ascii="Arial" w:cs="Arial" w:eastAsia="Arial" w:hAnsi="Arial"/>
          <w:b/>
          <w:bCs/>
          <w:color w:val="1A2F5A"/>
          <w:sz w:val="32"/>
          <w:szCs w:val="32"/>
        </w:rPr>
        <w:t xml:space="preserve">9. Likely Review Questions and Answers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1"/>
              <w:left w:val="single" w:color="CCCCCC" w:sz="1"/>
              <w:bottom w:val="single" w:color="CCCCCC" w:sz="1"/>
              <w:right w:val="single" w:color="CCCCCC" w:sz="1"/>
            </w:tcBorders>
            <w:shd w:fill="1A2F5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Question</w:t>
            </w:r>
          </w:p>
        </w:tc>
        <w:tc>
          <w:tcPr>
            <w:tcW w:type="dxa" w:w="5560"/>
            <w:tcBorders>
              <w:top w:val="single" w:color="CCCCCC" w:sz="1"/>
              <w:left w:val="single" w:color="CCCCCC" w:sz="1"/>
              <w:bottom w:val="single" w:color="CCCCCC" w:sz="1"/>
              <w:right w:val="single" w:color="CCCCCC" w:sz="1"/>
            </w:tcBorders>
            <w:shd w:fill="1A2F5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Your Answer</w:t>
            </w:r>
          </w:p>
        </w:tc>
      </w:tr>
      <w:tr>
        <w:tc>
          <w:tcPr>
            <w:tcW w:type="dxa" w:w="3800"/>
            <w:tcBorders>
              <w:top w:val="single" w:color="CCCCCC" w:sz="1"/>
              <w:left w:val="single" w:color="CCCCCC" w:sz="1"/>
              <w:bottom w:val="single" w:color="CCCCCC" w:sz="1"/>
              <w:right w:val="single" w:color="CCCCCC" w:sz="1"/>
            </w:tcBorders>
            <w:shd w:fill="EEF3FA" w:val="clear"/>
            <w:tcMar>
              <w:top w:type="dxa" w:w="70"/>
              <w:left w:type="dxa" w:w="120"/>
              <w:bottom w:type="dxa" w:w="70"/>
              <w:right w:type="dxa" w:w="120"/>
            </w:tcMar>
          </w:tcPr>
          <w:p>
            <w:pPr>
              <w:spacing w:after="0" w:before="0"/>
            </w:pPr>
            <w:r>
              <w:rPr>
                <w:rFonts w:ascii="Arial" w:cs="Arial" w:eastAsia="Arial" w:hAnsi="Arial"/>
                <w:sz w:val="20"/>
                <w:szCs w:val="20"/>
              </w:rPr>
              <w:t xml:space="preserve">Why 1500A fuse for a 69A string?</w:t>
            </w:r>
          </w:p>
        </w:tc>
        <w:tc>
          <w:tcPr>
            <w:tcW w:type="dxa" w:w="5560"/>
            <w:tcBorders>
              <w:top w:val="single" w:color="CCCCCC" w:sz="1"/>
              <w:left w:val="single" w:color="CCCCCC" w:sz="1"/>
              <w:bottom w:val="single" w:color="CCCCCC" w:sz="1"/>
              <w:right w:val="single" w:color="CCCCCC" w:sz="1"/>
            </w:tcBorders>
            <w:shd w:fill="EEF3FA" w:val="clear"/>
            <w:tcMar>
              <w:top w:type="dxa" w:w="70"/>
              <w:left w:type="dxa" w:w="120"/>
              <w:bottom w:type="dxa" w:w="70"/>
              <w:right w:type="dxa" w:w="120"/>
            </w:tcMar>
          </w:tcPr>
          <w:p>
            <w:pPr>
              <w:spacing w:after="0" w:before="0"/>
            </w:pPr>
            <w:r>
              <w:rPr>
                <w:rFonts w:ascii="Arial" w:cs="Arial" w:eastAsia="Arial" w:hAnsi="Arial"/>
                <w:sz w:val="20"/>
                <w:szCs w:val="20"/>
              </w:rPr>
              <w:t xml:space="preserve">Fuse is sized for inter-string fault current, not continuous load. When one string faults, 11 strings drive current through that fuse.</w:t>
            </w:r>
          </w:p>
        </w:tc>
      </w:tr>
      <w:tr>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20"/>
                <w:szCs w:val="20"/>
              </w:rPr>
              <w:t xml:space="preserve">Is the fuse DC rated at 576V?</w:t>
            </w:r>
          </w:p>
        </w:tc>
        <w:tc>
          <w:tcPr>
            <w:tcW w:type="dxa" w:w="5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20"/>
                <w:szCs w:val="20"/>
              </w:rPr>
              <w:t xml:space="preserve">Yes — Bussmann [part number] is DC rated. Datasheet available.</w:t>
            </w:r>
          </w:p>
        </w:tc>
      </w:tr>
      <w:tr>
        <w:tc>
          <w:tcPr>
            <w:tcW w:type="dxa" w:w="3800"/>
            <w:tcBorders>
              <w:top w:val="single" w:color="CCCCCC" w:sz="1"/>
              <w:left w:val="single" w:color="CCCCCC" w:sz="1"/>
              <w:bottom w:val="single" w:color="CCCCCC" w:sz="1"/>
              <w:right w:val="single" w:color="CCCCCC" w:sz="1"/>
            </w:tcBorders>
            <w:shd w:fill="EEF3FA" w:val="clear"/>
            <w:tcMar>
              <w:top w:type="dxa" w:w="70"/>
              <w:left w:type="dxa" w:w="120"/>
              <w:bottom w:type="dxa" w:w="70"/>
              <w:right w:type="dxa" w:w="120"/>
            </w:tcMar>
          </w:tcPr>
          <w:p>
            <w:pPr>
              <w:spacing w:after="0" w:before="0"/>
            </w:pPr>
            <w:r>
              <w:rPr>
                <w:rFonts w:ascii="Arial" w:cs="Arial" w:eastAsia="Arial" w:hAnsi="Arial"/>
                <w:sz w:val="20"/>
                <w:szCs w:val="20"/>
              </w:rPr>
              <w:t xml:space="preserve">What is the interrupt rating?</w:t>
            </w:r>
          </w:p>
        </w:tc>
        <w:tc>
          <w:tcPr>
            <w:tcW w:type="dxa" w:w="5560"/>
            <w:tcBorders>
              <w:top w:val="single" w:color="CCCCCC" w:sz="1"/>
              <w:left w:val="single" w:color="CCCCCC" w:sz="1"/>
              <w:bottom w:val="single" w:color="CCCCCC" w:sz="1"/>
              <w:right w:val="single" w:color="CCCCCC" w:sz="1"/>
            </w:tcBorders>
            <w:shd w:fill="EEF3FA" w:val="clear"/>
            <w:tcMar>
              <w:top w:type="dxa" w:w="70"/>
              <w:left w:type="dxa" w:w="120"/>
              <w:bottom w:type="dxa" w:w="70"/>
              <w:right w:type="dxa" w:w="120"/>
            </w:tcMar>
          </w:tcPr>
          <w:p>
            <w:pPr>
              <w:spacing w:after="0" w:before="0"/>
            </w:pPr>
            <w:r>
              <w:rPr>
                <w:rFonts w:ascii="Arial" w:cs="Arial" w:eastAsia="Arial" w:hAnsi="Arial"/>
                <w:sz w:val="20"/>
                <w:szCs w:val="20"/>
              </w:rPr>
              <w:t xml:space="preserve">Manufacturer specified — exceeds available fault current. Datasheet available.</w:t>
            </w:r>
          </w:p>
        </w:tc>
      </w:tr>
      <w:tr>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20"/>
                <w:szCs w:val="20"/>
              </w:rPr>
              <w:t xml:space="preserve">Walk me through a string fault.</w:t>
            </w:r>
          </w:p>
        </w:tc>
        <w:tc>
          <w:tcPr>
            <w:tcW w:type="dxa" w:w="5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20"/>
                <w:szCs w:val="20"/>
              </w:rPr>
              <w:t xml:space="preserve">String faults → 11 strings drive current through fuse → fuse opens in current-limiting region → fault cleared before upstream breaker trips.</w:t>
            </w:r>
          </w:p>
        </w:tc>
      </w:tr>
      <w:tr>
        <w:tc>
          <w:tcPr>
            <w:tcW w:type="dxa" w:w="3800"/>
            <w:tcBorders>
              <w:top w:val="single" w:color="CCCCCC" w:sz="1"/>
              <w:left w:val="single" w:color="CCCCCC" w:sz="1"/>
              <w:bottom w:val="single" w:color="CCCCCC" w:sz="1"/>
              <w:right w:val="single" w:color="CCCCCC" w:sz="1"/>
            </w:tcBorders>
            <w:shd w:fill="EEF3FA" w:val="clear"/>
            <w:tcMar>
              <w:top w:type="dxa" w:w="70"/>
              <w:left w:type="dxa" w:w="120"/>
              <w:bottom w:type="dxa" w:w="70"/>
              <w:right w:type="dxa" w:w="120"/>
            </w:tcMar>
          </w:tcPr>
          <w:p>
            <w:pPr>
              <w:spacing w:after="0" w:before="0"/>
            </w:pPr>
            <w:r>
              <w:rPr>
                <w:rFonts w:ascii="Arial" w:cs="Arial" w:eastAsia="Arial" w:hAnsi="Arial"/>
                <w:sz w:val="20"/>
                <w:szCs w:val="20"/>
              </w:rPr>
              <w:t xml:space="preserve">How does it coordinate with the IFS breaker?</w:t>
            </w:r>
          </w:p>
        </w:tc>
        <w:tc>
          <w:tcPr>
            <w:tcW w:type="dxa" w:w="5560"/>
            <w:tcBorders>
              <w:top w:val="single" w:color="CCCCCC" w:sz="1"/>
              <w:left w:val="single" w:color="CCCCCC" w:sz="1"/>
              <w:bottom w:val="single" w:color="CCCCCC" w:sz="1"/>
              <w:right w:val="single" w:color="CCCCCC" w:sz="1"/>
            </w:tcBorders>
            <w:shd w:fill="EEF3FA" w:val="clear"/>
            <w:tcMar>
              <w:top w:type="dxa" w:w="70"/>
              <w:left w:type="dxa" w:w="120"/>
              <w:bottom w:type="dxa" w:w="70"/>
              <w:right w:type="dxa" w:w="120"/>
            </w:tcMar>
          </w:tcPr>
          <w:p>
            <w:pPr>
              <w:spacing w:after="0" w:before="0"/>
            </w:pPr>
            <w:r>
              <w:rPr>
                <w:rFonts w:ascii="Arial" w:cs="Arial" w:eastAsia="Arial" w:hAnsi="Arial"/>
                <w:sz w:val="20"/>
                <w:szCs w:val="20"/>
              </w:rPr>
              <w:t xml:space="preserve">Fuse clears faster than IFS at battery fault current levels. IFS sees transformer-limited current, not battery inter-string current.</w:t>
            </w:r>
          </w:p>
        </w:tc>
      </w:tr>
      <w:tr>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20"/>
                <w:szCs w:val="20"/>
              </w:rPr>
              <w:t xml:space="preserve">What is the available fault current?</w:t>
            </w:r>
          </w:p>
        </w:tc>
        <w:tc>
          <w:tcPr>
            <w:tcW w:type="dxa" w:w="5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20"/>
                <w:szCs w:val="20"/>
              </w:rPr>
              <w:t xml:space="preserve">~13,400A from transformer at 4.5% Z. Battery inter-string fault current is separate and higher.</w:t>
            </w:r>
          </w:p>
        </w:tc>
      </w:tr>
      <w:tr>
        <w:tc>
          <w:tcPr>
            <w:tcW w:type="dxa" w:w="3800"/>
            <w:tcBorders>
              <w:top w:val="single" w:color="CCCCCC" w:sz="1"/>
              <w:left w:val="single" w:color="CCCCCC" w:sz="1"/>
              <w:bottom w:val="single" w:color="CCCCCC" w:sz="1"/>
              <w:right w:val="single" w:color="CCCCCC" w:sz="1"/>
            </w:tcBorders>
            <w:shd w:fill="EEF3FA" w:val="clear"/>
            <w:tcMar>
              <w:top w:type="dxa" w:w="70"/>
              <w:left w:type="dxa" w:w="120"/>
              <w:bottom w:type="dxa" w:w="70"/>
              <w:right w:type="dxa" w:w="120"/>
            </w:tcMar>
          </w:tcPr>
          <w:p>
            <w:pPr>
              <w:spacing w:after="0" w:before="0"/>
            </w:pPr>
            <w:r>
              <w:rPr>
                <w:rFonts w:ascii="Arial" w:cs="Arial" w:eastAsia="Arial" w:hAnsi="Arial"/>
                <w:sz w:val="20"/>
                <w:szCs w:val="20"/>
              </w:rPr>
              <w:t xml:space="preserve">Why those cable sizes?</w:t>
            </w:r>
          </w:p>
        </w:tc>
        <w:tc>
          <w:tcPr>
            <w:tcW w:type="dxa" w:w="5560"/>
            <w:tcBorders>
              <w:top w:val="single" w:color="CCCCCC" w:sz="1"/>
              <w:left w:val="single" w:color="CCCCCC" w:sz="1"/>
              <w:bottom w:val="single" w:color="CCCCCC" w:sz="1"/>
              <w:right w:val="single" w:color="CCCCCC" w:sz="1"/>
            </w:tcBorders>
            <w:shd w:fill="EEF3FA" w:val="clear"/>
            <w:tcMar>
              <w:top w:type="dxa" w:w="70"/>
              <w:left w:type="dxa" w:w="120"/>
              <w:bottom w:type="dxa" w:w="70"/>
              <w:right w:type="dxa" w:w="120"/>
            </w:tcMar>
          </w:tcPr>
          <w:p>
            <w:pPr>
              <w:spacing w:after="0" w:before="0"/>
            </w:pPr>
            <w:r>
              <w:rPr>
                <w:rFonts w:ascii="Arial" w:cs="Arial" w:eastAsia="Arial" w:hAnsi="Arial"/>
                <w:sz w:val="20"/>
                <w:szCs w:val="20"/>
              </w:rPr>
              <w:t xml:space="preserve">Manufacturer selection for the rated application. Product is COTS — cable sizing is a manufacturer design decision.</w:t>
            </w:r>
          </w:p>
        </w:tc>
      </w:tr>
      <w:tr>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20"/>
                <w:szCs w:val="20"/>
              </w:rPr>
              <w:t xml:space="preserve">What's the bus bar ampacity?</w:t>
            </w:r>
          </w:p>
        </w:tc>
        <w:tc>
          <w:tcPr>
            <w:tcW w:type="dxa" w:w="5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20"/>
                <w:szCs w:val="20"/>
              </w:rPr>
              <w:t xml:space="preserve">Manufacturer rated for the application at 400kW/833A. Datasheet available.</w:t>
            </w:r>
          </w:p>
        </w:tc>
      </w:tr>
      <w:tr>
        <w:tc>
          <w:tcPr>
            <w:tcW w:type="dxa" w:w="3800"/>
            <w:tcBorders>
              <w:top w:val="single" w:color="CCCCCC" w:sz="1"/>
              <w:left w:val="single" w:color="CCCCCC" w:sz="1"/>
              <w:bottom w:val="single" w:color="CCCCCC" w:sz="1"/>
              <w:right w:val="single" w:color="CCCCCC" w:sz="1"/>
            </w:tcBorders>
            <w:shd w:fill="EEF3FA" w:val="clear"/>
            <w:tcMar>
              <w:top w:type="dxa" w:w="70"/>
              <w:left w:type="dxa" w:w="120"/>
              <w:bottom w:type="dxa" w:w="70"/>
              <w:right w:type="dxa" w:w="120"/>
            </w:tcMar>
          </w:tcPr>
          <w:p>
            <w:pPr>
              <w:spacing w:after="0" w:before="0"/>
            </w:pPr>
            <w:r>
              <w:rPr>
                <w:rFonts w:ascii="Arial" w:cs="Arial" w:eastAsia="Arial" w:hAnsi="Arial"/>
                <w:sz w:val="20"/>
                <w:szCs w:val="20"/>
              </w:rPr>
              <w:t xml:space="preserve">Who is responsible for the internal design?</w:t>
            </w:r>
          </w:p>
        </w:tc>
        <w:tc>
          <w:tcPr>
            <w:tcW w:type="dxa" w:w="5560"/>
            <w:tcBorders>
              <w:top w:val="single" w:color="CCCCCC" w:sz="1"/>
              <w:left w:val="single" w:color="CCCCCC" w:sz="1"/>
              <w:bottom w:val="single" w:color="CCCCCC" w:sz="1"/>
              <w:right w:val="single" w:color="CCCCCC" w:sz="1"/>
            </w:tcBorders>
            <w:shd w:fill="EEF3FA" w:val="clear"/>
            <w:tcMar>
              <w:top w:type="dxa" w:w="70"/>
              <w:left w:type="dxa" w:w="120"/>
              <w:bottom w:type="dxa" w:w="70"/>
              <w:right w:type="dxa" w:w="120"/>
            </w:tcMar>
          </w:tcPr>
          <w:p>
            <w:pPr>
              <w:spacing w:after="0" w:before="0"/>
            </w:pPr>
            <w:r>
              <w:rPr>
                <w:rFonts w:ascii="Arial" w:cs="Arial" w:eastAsia="Arial" w:hAnsi="Arial"/>
                <w:sz w:val="20"/>
                <w:szCs w:val="20"/>
              </w:rPr>
              <w:t xml:space="preserve">The manufacturer. My responsibility is correct application selection — voltage, current, and interface compatibility.</w:t>
            </w:r>
          </w:p>
        </w:tc>
      </w:tr>
    </w:tbl>
    <w:p>
      <w:pPr>
        <w:spacing w:after="120" w:before="0"/>
      </w:pPr>
      <w:r>
        <w:t xml:space="preserve"/>
      </w:r>
    </w:p>
    <w:p>
      <w:pPr>
        <w:pStyle w:val="Heading1"/>
        <w:pBdr>
          <w:bottom w:val="single" w:color="2B5BA8" w:sz="6" w:space="4"/>
        </w:pBdr>
        <w:spacing w:after="120" w:before="360"/>
      </w:pPr>
      <w:r>
        <w:rPr>
          <w:rFonts w:ascii="Arial" w:cs="Arial" w:eastAsia="Arial" w:hAnsi="Arial"/>
          <w:b/>
          <w:bCs/>
          <w:color w:val="1A2F5A"/>
          <w:sz w:val="32"/>
          <w:szCs w:val="32"/>
        </w:rPr>
        <w:t xml:space="preserve">10. What to Bring to the Review</w:t>
      </w:r>
    </w:p>
    <w:p>
      <w:pPr>
        <w:spacing w:after="60" w:before="0"/>
      </w:pPr>
      <w:r>
        <w:t xml:space="preserve"/>
      </w:r>
    </w:p>
    <w:p>
      <w:pPr>
        <w:pStyle w:val="ListParagraph"/>
        <w:numPr>
          <w:ilvl w:val="0"/>
          <w:numId w:val="2"/>
        </w:numPr>
        <w:spacing w:after="40" w:before="40"/>
      </w:pPr>
      <w:r>
        <w:rPr>
          <w:rFonts w:ascii="Arial" w:cs="Arial" w:eastAsia="Arial" w:hAnsi="Arial"/>
          <w:sz w:val="22"/>
          <w:szCs w:val="22"/>
        </w:rPr>
        <w:t xml:space="preserve">Manufacturer datasheet / schematic — the primary artifact</w:t>
      </w:r>
    </w:p>
    <w:p>
      <w:pPr>
        <w:pStyle w:val="ListParagraph"/>
        <w:numPr>
          <w:ilvl w:val="0"/>
          <w:numId w:val="2"/>
        </w:numPr>
        <w:spacing w:after="40" w:before="40"/>
      </w:pPr>
      <w:r>
        <w:rPr>
          <w:rFonts w:ascii="Arial" w:cs="Arial" w:eastAsia="Arial" w:hAnsi="Arial"/>
          <w:sz w:val="22"/>
          <w:szCs w:val="22"/>
        </w:rPr>
        <w:t xml:space="preserve">This summary document</w:t>
      </w:r>
    </w:p>
    <w:p>
      <w:pPr>
        <w:pStyle w:val="ListParagraph"/>
        <w:numPr>
          <w:ilvl w:val="0"/>
          <w:numId w:val="2"/>
        </w:numPr>
        <w:spacing w:after="40" w:before="40"/>
      </w:pPr>
      <w:r>
        <w:rPr>
          <w:rFonts w:ascii="Arial" w:cs="Arial" w:eastAsia="Arial" w:hAnsi="Arial"/>
          <w:sz w:val="22"/>
          <w:szCs w:val="22"/>
        </w:rPr>
        <w:t xml:space="preserve">Single-line diagram showing assembly in system context</w:t>
      </w:r>
    </w:p>
    <w:p>
      <w:pPr>
        <w:pStyle w:val="ListParagraph"/>
        <w:numPr>
          <w:ilvl w:val="0"/>
          <w:numId w:val="2"/>
        </w:numPr>
        <w:spacing w:after="40" w:before="40"/>
      </w:pPr>
      <w:r>
        <w:rPr>
          <w:rFonts w:ascii="Arial" w:cs="Arial" w:eastAsia="Arial" w:hAnsi="Arial"/>
          <w:sz w:val="22"/>
          <w:szCs w:val="22"/>
        </w:rPr>
        <w:t xml:space="preserve">The three key numbers: 833A max current, 576V max voltage, ~13,400A transformer fault current</w:t>
      </w:r>
    </w:p>
    <w:p>
      <w:pPr>
        <w:pStyle w:val="ListParagraph"/>
        <w:numPr>
          <w:ilvl w:val="0"/>
          <w:numId w:val="2"/>
        </w:numPr>
        <w:spacing w:after="40" w:before="40"/>
      </w:pPr>
      <w:r>
        <w:rPr>
          <w:rFonts w:ascii="Arial" w:cs="Arial" w:eastAsia="Arial" w:hAnsi="Arial"/>
          <w:sz w:val="22"/>
          <w:szCs w:val="22"/>
        </w:rPr>
        <w:t xml:space="preserve">One-sentence scope statement ready: 'This is a COTS product — my responsibility is correct application selection.'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20"/>
            </w:tcMar>
          </w:tcPr>
          <w:p>
            <w:pPr>
              <w:spacing w:after="0" w:before="0"/>
            </w:pPr>
            <w:r>
              <w:rPr>
                <w:rFonts w:ascii="Arial" w:cs="Arial" w:eastAsia="Arial" w:hAnsi="Arial"/>
                <w:b/>
                <w:bCs/>
                <w:color w:val="1A3A6A"/>
                <w:sz w:val="22"/>
                <w:szCs w:val="22"/>
              </w:rPr>
              <w:t xml:space="preserve">Bottom Line:  </w:t>
            </w:r>
            <w:r>
              <w:rPr>
                <w:rFonts w:ascii="Arial" w:cs="Arial" w:eastAsia="Arial" w:hAnsi="Arial"/>
                <w:sz w:val="22"/>
                <w:szCs w:val="22"/>
              </w:rPr>
              <w:t xml:space="preserve">You are integrating a COTS product — not designing one. Know that it fits the voltage, the current, and the interfaces. Know why the fuse is 1500A. Know the upstream fault current number. Redirect everything else to the datasheet and the manufacturer.</w:t>
            </w:r>
          </w:p>
        </w:tc>
      </w:tr>
    </w:tbl>
    <w:p>
      <w:pPr>
        <w:spacing w:after="200" w:before="0"/>
      </w:pPr>
      <w:r>
        <w:t xml:space="preserve"/>
      </w:r>
    </w:p>
    <w:p>
      <w:pPr>
        <w:jc w:val="center"/>
      </w:pPr>
      <w:r>
        <w:rPr>
          <w:rFonts w:ascii="Arial" w:cs="Arial" w:eastAsia="Arial" w:hAnsi="Arial"/>
          <w:i/>
          <w:iCs/>
          <w:color w:val="AAAAAA"/>
          <w:sz w:val="20"/>
          <w:szCs w:val="20"/>
        </w:rPr>
        <w:t xml:space="preserve">— End of Summary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2F5A"/>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2B5BA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2026-06-10T12:49:07.944Z</dcterms:created>
  <dcterms:modified xsi:type="dcterms:W3CDTF">2026-06-10T12:49:07.958Z</dcterms:modified>
</cp:coreProperties>
</file>

<file path=docProps/custom.xml><?xml version="1.0" encoding="utf-8"?>
<Properties xmlns="http://schemas.openxmlformats.org/officeDocument/2006/custom-properties" xmlns:vt="http://schemas.openxmlformats.org/officeDocument/2006/docPropsVTypes"/>
</file>