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orbit-ai--master-folder"/>
    <w:p>
      <w:pPr>
        <w:pStyle w:val="Heading1"/>
      </w:pPr>
      <w:r>
        <w:t xml:space="preserve">Orbit AI — Master Folder</w:t>
      </w:r>
    </w:p>
    <w:p>
      <w:pPr>
        <w:pStyle w:val="FirstParagraph"/>
      </w:pPr>
      <w:r>
        <w:t xml:space="preserve">Everything for the Orbit AI platform, in two clearly separated sets.</w:t>
      </w:r>
    </w:p>
    <w:bookmarkStart w:id="20" w:name="internal--system"/>
    <w:p>
      <w:pPr>
        <w:pStyle w:val="Heading2"/>
      </w:pPr>
      <w:r>
        <w:t xml:space="preserve">Internal — System</w:t>
      </w:r>
    </w:p>
    <w:p>
      <w:pPr>
        <w:pStyle w:val="FirstParagraph"/>
      </w:pPr>
      <w:r>
        <w:t xml:space="preserve">For you and your team only. Contains the operating model, pricing architecture, the Master Rate Card, the partner deck, the backend/model roadmap, and the app/code.</w:t>
      </w:r>
      <w:r>
        <w:t xml:space="preserve"> </w:t>
      </w:r>
      <w:r>
        <w:rPr>
          <w:bCs/>
          <w:b/>
        </w:rPr>
        <w:t xml:space="preserve">These expose your floor, costs, and structure — never send them to a client or partner.</w:t>
      </w:r>
    </w:p>
    <w:bookmarkEnd w:id="20"/>
    <w:bookmarkStart w:id="21" w:name="external--collateral"/>
    <w:p>
      <w:pPr>
        <w:pStyle w:val="Heading2"/>
      </w:pPr>
      <w:r>
        <w:t xml:space="preserve">External — Collateral</w:t>
      </w:r>
    </w:p>
    <w:p>
      <w:pPr>
        <w:pStyle w:val="FirstParagraph"/>
      </w:pPr>
      <w:r>
        <w:t xml:space="preserve">Safe to send outside. Client and partner one-pagers, the enterprise overview, the proposal template, and the Agreements subfolder (Service Agreement + Contributor Terms — plain-language drafts for your lawyer to finalize).</w:t>
      </w:r>
    </w:p>
    <w:bookmarkEnd w:id="21"/>
    <w:bookmarkStart w:id="22" w:name="opening-in-google-drive"/>
    <w:p>
      <w:pPr>
        <w:pStyle w:val="Heading2"/>
      </w:pPr>
      <w:r>
        <w:t xml:space="preserve">Opening in Google Drive</w:t>
      </w:r>
    </w:p>
    <w:p>
      <w:pPr>
        <w:pStyle w:val="FirstParagraph"/>
      </w:pPr>
      <w:r>
        <w:t xml:space="preserve">Documents (.docx) open in Google Docs · Master Rate Card (.xlsx) in Google Sheets · Partner Pitch Deck (.pptx) in Google Slides · the App &amp; Code files are source for your developer.</w:t>
      </w:r>
    </w:p>
    <w:bookmarkEnd w:id="22"/>
    <w:bookmarkStart w:id="23" w:name="the-one-rule"/>
    <w:p>
      <w:pPr>
        <w:pStyle w:val="Heading2"/>
      </w:pPr>
      <w:r>
        <w:t xml:space="preserve">The one rule</w:t>
      </w:r>
    </w:p>
    <w:p>
      <w:pPr>
        <w:pStyle w:val="FirstParagraph"/>
      </w:pPr>
      <w:r>
        <w:t xml:space="preserve">The Master Rate Card is the single source of truth for every number. Change a price there first, then update anywhere it appears.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2026-06-03T11:29:16Z</dcterms:created>
  <dcterms:modified xsi:type="dcterms:W3CDTF">2026-06-03T11:29:16Z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