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862a80f4821b58c96022b302c2e5e0c36c42a0"/>
    <w:p>
      <w:pPr>
        <w:pStyle w:val="Heading1"/>
      </w:pPr>
      <w:r>
        <w:t xml:space="preserve">Orbit AI — Operating &amp; Go-To-Market Model (Committed, Hybrid)</w:t>
      </w:r>
    </w:p>
    <w:p>
      <w:pPr>
        <w:pStyle w:val="FirstParagraph"/>
      </w:pPr>
      <w:r>
        <w:rPr>
          <w:iCs/>
          <w:i/>
        </w:rPr>
        <w:t xml:space="preserve">Supersedes Section 5 of the Fulfillment-Partner doc. Decisions are committed; all dollar figures are illustrative starting points to set against real costs.</w:t>
      </w:r>
    </w:p>
    <w:p>
      <w:r>
        <w:pict>
          <v:rect style="width:0;height:1.5pt" o:hralign="center" o:hrstd="t" o:hr="t"/>
        </w:pict>
      </w:r>
    </w:p>
    <w:bookmarkStart w:id="20" w:name="the-decision-in-one-line"/>
    <w:p>
      <w:pPr>
        <w:pStyle w:val="Heading2"/>
      </w:pPr>
      <w:r>
        <w:t xml:space="preserve">The decision, in one line</w:t>
      </w:r>
    </w:p>
    <w:p>
      <w:pPr>
        <w:pStyle w:val="FirstParagraph"/>
      </w:pPr>
      <w:r>
        <w:t xml:space="preserve">A</w:t>
      </w:r>
      <w:r>
        <w:t xml:space="preserve"> </w:t>
      </w:r>
      <w:r>
        <w:rPr>
          <w:bCs/>
          <w:b/>
        </w:rPr>
        <w:t xml:space="preserve">hybrid</w:t>
      </w:r>
      <w:r>
        <w:t xml:space="preserve"> </w:t>
      </w:r>
      <w:r>
        <w:t xml:space="preserve">model with two arm's-length entities: a</w:t>
      </w:r>
      <w:r>
        <w:t xml:space="preserve"> </w:t>
      </w:r>
      <w:r>
        <w:rPr>
          <w:bCs/>
          <w:b/>
        </w:rPr>
        <w:t xml:space="preserve">neutral fulfillment platform</w:t>
      </w:r>
      <w:r>
        <w:t xml:space="preserve"> </w:t>
      </w:r>
      <w:r>
        <w:t xml:space="preserve">that charges everyone the same, and a</w:t>
      </w:r>
      <w:r>
        <w:t xml:space="preserve"> </w:t>
      </w:r>
      <w:r>
        <w:rPr>
          <w:bCs/>
          <w:b/>
        </w:rPr>
        <w:t xml:space="preserve">1099 sales network</w:t>
      </w:r>
      <w:r>
        <w:t xml:space="preserve"> </w:t>
      </w:r>
      <w:r>
        <w:t xml:space="preserve">(appointment setters + agency/rep closers) that sells on top of it. Agencies own</w:t>
      </w:r>
      <w:r>
        <w:t xml:space="preserve"> </w:t>
      </w:r>
      <w:r>
        <w:rPr>
          <w:bCs/>
          <w:b/>
        </w:rPr>
        <w:t xml:space="preserve">SMB</w:t>
      </w:r>
      <w:r>
        <w:t xml:space="preserve">; Orbit-direct owns</w:t>
      </w:r>
      <w:r>
        <w:t xml:space="preserve"> </w:t>
      </w:r>
      <w:r>
        <w:rPr>
          <w:bCs/>
          <w:b/>
        </w:rPr>
        <w:t xml:space="preserve">enterprise, custom, portfolio, and the bilingual EN/ES lane.</w:t>
      </w:r>
    </w:p>
    <w:p>
      <w:r>
        <w:pict>
          <v:rect style="width:0;height:1.5pt" o:hralign="center" o:hrstd="t" o:hr="t"/>
        </w:pict>
      </w:r>
    </w:p>
    <w:bookmarkEnd w:id="20"/>
    <w:bookmarkStart w:id="21" w:name="X78360d95d4e8ee31bba4dd7dd6885a79b5bb7c1"/>
    <w:p>
      <w:pPr>
        <w:pStyle w:val="Heading2"/>
      </w:pPr>
      <w:r>
        <w:t xml:space="preserve">1. Two entities, deliberately separated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Role</w:t>
            </w:r>
          </w:p>
        </w:tc>
        <w:tc>
          <w:tcPr/>
          <w:p>
            <w:pPr>
              <w:pStyle w:val="Compact"/>
              <w:jc w:val="left"/>
            </w:pPr>
            <w:r>
              <w:t xml:space="preserve">Pricing rule</w:t>
            </w:r>
          </w:p>
        </w:tc>
      </w:tr>
      <w:tr>
        <w:tc>
          <w:tcPr/>
          <w:p>
            <w:pPr>
              <w:pStyle w:val="Compact"/>
              <w:jc w:val="left"/>
            </w:pPr>
            <w:r>
              <w:rPr>
                <w:bCs/>
                <w:b/>
              </w:rPr>
              <w:t xml:space="preserve">Fulfillment Co.</w:t>
            </w:r>
            <w:r>
              <w:t xml:space="preserve"> </w:t>
            </w:r>
            <w:r>
              <w:t xml:space="preserve">(platform/utility)</w:t>
            </w:r>
          </w:p>
        </w:tc>
        <w:tc>
          <w:tcPr/>
          <w:p>
            <w:pPr>
              <w:pStyle w:val="Compact"/>
              <w:jc w:val="left"/>
            </w:pPr>
            <w:r>
              <w:t xml:space="preserve">Builds + runs sites, receptionists, chatbots, CRM, hosting, voice on Orbit's rails</w:t>
            </w:r>
          </w:p>
        </w:tc>
        <w:tc>
          <w:tcPr/>
          <w:p>
            <w:pPr>
              <w:pStyle w:val="Compact"/>
              <w:jc w:val="left"/>
            </w:pPr>
            <w:r>
              <w:t xml:space="preserve">Charges the</w:t>
            </w:r>
            <w:r>
              <w:t xml:space="preserve"> </w:t>
            </w:r>
            <w:r>
              <w:rPr>
                <w:bCs/>
                <w:b/>
              </w:rPr>
              <w:t xml:space="preserve">floor</w:t>
            </w:r>
            <w:r>
              <w:t xml:space="preserve"> </w:t>
            </w:r>
            <w:r>
              <w:t xml:space="preserve">to</w:t>
            </w:r>
            <w:r>
              <w:t xml:space="preserve"> </w:t>
            </w:r>
            <w:r>
              <w:rPr>
                <w:iCs/>
                <w:i/>
              </w:rPr>
              <w:t xml:space="preserve">everyone</w:t>
            </w:r>
            <w:r>
              <w:t xml:space="preserve"> </w:t>
            </w:r>
            <w:r>
              <w:t xml:space="preserve">— agencies and Orbit's own sales arm — at the</w:t>
            </w:r>
            <w:r>
              <w:t xml:space="preserve"> </w:t>
            </w:r>
            <w:r>
              <w:rPr>
                <w:bCs/>
                <w:b/>
              </w:rPr>
              <w:t xml:space="preserve">same rate, no preferential treatment</w:t>
            </w:r>
          </w:p>
        </w:tc>
      </w:tr>
      <w:tr>
        <w:tc>
          <w:tcPr/>
          <w:p>
            <w:pPr>
              <w:pStyle w:val="Compact"/>
              <w:jc w:val="left"/>
            </w:pPr>
            <w:r>
              <w:rPr>
                <w:bCs/>
                <w:b/>
              </w:rPr>
              <w:t xml:space="preserve">Sales Co.</w:t>
            </w:r>
            <w:r>
              <w:t xml:space="preserve"> </w:t>
            </w:r>
            <w:r>
              <w:t xml:space="preserve">(1099 network)</w:t>
            </w:r>
          </w:p>
        </w:tc>
        <w:tc>
          <w:tcPr/>
          <w:p>
            <w:pPr>
              <w:pStyle w:val="Compact"/>
              <w:jc w:val="left"/>
            </w:pPr>
            <w:r>
              <w:t xml:space="preserve">Appointment setters generate leads; agency/rep closers sell + manage clients</w:t>
            </w:r>
          </w:p>
        </w:tc>
        <w:tc>
          <w:tcPr/>
          <w:p>
            <w:pPr>
              <w:pStyle w:val="Compact"/>
              <w:jc w:val="left"/>
            </w:pPr>
            <w:r>
              <w:t xml:space="preserve">Earns from the</w:t>
            </w:r>
            <w:r>
              <w:t xml:space="preserve"> </w:t>
            </w:r>
            <w:r>
              <w:rPr>
                <w:bCs/>
                <w:b/>
              </w:rPr>
              <w:t xml:space="preserve">spread above the floor</w:t>
            </w:r>
            <w:r>
              <w:t xml:space="preserve">, never from the floor</w:t>
            </w:r>
          </w:p>
        </w:tc>
      </w:tr>
    </w:tbl>
    <w:p>
      <w:pPr>
        <w:pStyle w:val="BodyText"/>
      </w:pPr>
      <w:r>
        <w:rPr>
          <w:bCs/>
          <w:b/>
        </w:rPr>
        <w:t xml:space="preserve">Why separate:</w:t>
      </w:r>
      <w:r>
        <w:t xml:space="preserve"> </w:t>
      </w:r>
      <w:r>
        <w:t xml:space="preserve">the neutrality is the whole reason agencies trust you. If Fulfillment Co. bills your own closers the identical floor it bills an agency, no partner can ever claim the platform is rigged against them.</w:t>
      </w:r>
      <w:r>
        <w:t xml:space="preserve"> </w:t>
      </w:r>
      <w:r>
        <w:rPr>
          <w:iCs/>
          <w:i/>
        </w:rPr>
        <w:t xml:space="preserve">(Paper this properly — separate LLCs, intercompany/transfer-pricing agreements, CPA + attorney. The neutrality only holds if it's real.)</w:t>
      </w:r>
    </w:p>
    <w:p>
      <w:r>
        <w:pict>
          <v:rect style="width:0;height:1.5pt" o:hralign="center" o:hrstd="t" o:hr="t"/>
        </w:pict>
      </w:r>
    </w:p>
    <w:bookmarkEnd w:id="21"/>
    <w:bookmarkStart w:id="22" w:name="X08c93dbf7e2c410412e5ba5cec0ae7084070384"/>
    <w:p>
      <w:pPr>
        <w:pStyle w:val="Heading2"/>
      </w:pPr>
      <w:r>
        <w:t xml:space="preserve">2. The pricing stack — the floor is sacred</w:t>
      </w:r>
    </w:p>
    <w:p>
      <w:pPr>
        <w:pStyle w:val="FirstParagraph"/>
      </w:pPr>
      <w:r>
        <w:t xml:space="preserve">Every retail price is built in two layers:</w:t>
      </w:r>
    </w:p>
    <w:p>
      <w:pPr>
        <w:pStyle w:val="SourceCode"/>
      </w:pPr>
      <w:r>
        <w:rPr>
          <w:rStyle w:val="VerbatimChar"/>
        </w:rPr>
        <w:t xml:space="preserve">RETAIL PRICE</w:t>
      </w:r>
      <w:r>
        <w:br/>
      </w:r>
      <w:r>
        <w:rPr>
          <w:rStyle w:val="VerbatimChar"/>
        </w:rPr>
        <w:t xml:space="preserve">│</w:t>
      </w:r>
      <w:r>
        <w:br/>
      </w:r>
      <w:r>
        <w:rPr>
          <w:rStyle w:val="VerbatimChar"/>
        </w:rPr>
        <w:t xml:space="preserve">├─ FLOOR  (untouchable)  ──► Fulfillment Co.</w:t>
      </w:r>
      <w:r>
        <w:br/>
      </w:r>
      <w:r>
        <w:rPr>
          <w:rStyle w:val="VerbatimChar"/>
        </w:rPr>
        <w:t xml:space="preserve">│     = true fulfillment cost (voice + hosting + generation)</w:t>
      </w:r>
      <w:r>
        <w:br/>
      </w:r>
      <w:r>
        <w:rPr>
          <w:rStyle w:val="VerbatimChar"/>
        </w:rPr>
        <w:t xml:space="preserve">│       + platform fee</w:t>
      </w:r>
      <w:r>
        <w:br/>
      </w:r>
      <w:r>
        <w:rPr>
          <w:rStyle w:val="VerbatimChar"/>
        </w:rPr>
        <w:t xml:space="preserve">│       + management fee</w:t>
      </w:r>
      <w:r>
        <w:br/>
      </w:r>
      <w:r>
        <w:rPr>
          <w:rStyle w:val="VerbatimChar"/>
        </w:rPr>
        <w:t xml:space="preserve">│</w:t>
      </w:r>
      <w:r>
        <w:br/>
      </w:r>
      <w:r>
        <w:rPr>
          <w:rStyle w:val="VerbatimChar"/>
        </w:rPr>
        <w:t xml:space="preserve">└─ SPREAD (above the floor) ──► the 50/50 commissionable pool</w:t>
      </w:r>
    </w:p>
    <w:p>
      <w:pPr>
        <w:numPr>
          <w:ilvl w:val="0"/>
          <w:numId w:val="1001"/>
        </w:numPr>
        <w:pStyle w:val="Compact"/>
      </w:pPr>
      <w:r>
        <w:rPr>
          <w:bCs/>
          <w:b/>
        </w:rPr>
        <w:t xml:space="preserve">Nothing sells below the floor</w:t>
      </w:r>
      <w:r>
        <w:t xml:space="preserve"> </w:t>
      </w:r>
      <w:r>
        <w:t xml:space="preserve">— not an agency, not a rep, not a discount. The floor funds the platform and management margin that funds the moat.</w:t>
      </w:r>
    </w:p>
    <w:p>
      <w:pPr>
        <w:numPr>
          <w:ilvl w:val="0"/>
          <w:numId w:val="1001"/>
        </w:numPr>
        <w:pStyle w:val="Compact"/>
      </w:pPr>
      <w:r>
        <w:rPr>
          <w:bCs/>
          <w:b/>
        </w:rPr>
        <w:t xml:space="preserve">Only the spread is splittable.</w:t>
      </w:r>
      <w:r>
        <w:t xml:space="preserve"> </w:t>
      </w:r>
      <w:r>
        <w:t xml:space="preserve">Commissions and profit live here.</w:t>
      </w:r>
    </w:p>
    <w:p>
      <w:pPr>
        <w:numPr>
          <w:ilvl w:val="0"/>
          <w:numId w:val="1001"/>
        </w:numPr>
        <w:pStyle w:val="Compact"/>
      </w:pPr>
      <w:r>
        <w:rPr>
          <w:bCs/>
          <w:b/>
        </w:rPr>
        <w:t xml:space="preserve">"Drop pricing as volume grows" = the</w:t>
      </w:r>
      <w:r>
        <w:rPr>
          <w:bCs/>
          <w:b/>
        </w:rPr>
        <w:t xml:space="preserve"> </w:t>
      </w:r>
      <w:r>
        <w:rPr>
          <w:iCs/>
          <w:i/>
          <w:bCs/>
          <w:b/>
        </w:rPr>
        <w:t xml:space="preserve">floor</w:t>
      </w:r>
      <w:r>
        <w:rPr>
          <w:bCs/>
          <w:b/>
        </w:rPr>
        <w:t xml:space="preserve"> </w:t>
      </w:r>
      <w:r>
        <w:rPr>
          <w:bCs/>
          <w:b/>
        </w:rPr>
        <w:t xml:space="preserve">drops</w:t>
      </w:r>
      <w:r>
        <w:t xml:space="preserve"> </w:t>
      </w:r>
      <w:r>
        <w:t xml:space="preserve">because your true cost drops (Telnyx volume rates, amortized infra). It never means commissions erode platform/management margin.</w:t>
      </w:r>
    </w:p>
    <w:p>
      <w:pPr>
        <w:pStyle w:val="FirstParagraph"/>
      </w:pPr>
      <w:r>
        <w:rPr>
          <w:bCs/>
          <w:b/>
        </w:rPr>
        <w:t xml:space="preserve">Illustrative:</w:t>
      </w:r>
      <w:r>
        <w:t xml:space="preserve"> </w:t>
      </w:r>
      <w:r>
        <w:t xml:space="preserve">retail $297 · floor $97 (≈</w:t>
      </w:r>
      <w:r>
        <w:t xml:space="preserve"> </w:t>
      </w:r>
      <m:oMath>
        <m:r>
          <m:t>15</m:t>
        </m:r>
        <m:r>
          <m:t>c</m:t>
        </m:r>
        <m:r>
          <m:t>o</m:t>
        </m:r>
        <m:r>
          <m:t>s</m:t>
        </m:r>
        <m:r>
          <m:t>t</m:t>
        </m:r>
        <m:r>
          <m:rPr>
            <m:sty m:val="p"/>
          </m:rPr>
          <m:t>+</m:t>
        </m:r>
        <m:r>
          <m:t> </m:t>
        </m:r>
      </m:oMath>
      <w:r>
        <w:t xml:space="preserve">82 platform/management) · spread $200 → split 50/50 = $100 partner / $100 Sales Co. (setters paid from Sales Co.'s $100). Tune every number to your real costs.</w:t>
      </w:r>
    </w:p>
    <w:p>
      <w:r>
        <w:pict>
          <v:rect style="width:0;height:1.5pt" o:hralign="center" o:hrstd="t" o:hr="t"/>
        </w:pict>
      </w:r>
    </w:p>
    <w:bookmarkEnd w:id="22"/>
    <w:bookmarkStart w:id="23" w:name="Xac1b19c2d0bab48c7d1311b88cda7970e45a21a"/>
    <w:p>
      <w:pPr>
        <w:pStyle w:val="Heading2"/>
      </w:pPr>
      <w:r>
        <w:t xml:space="preserve">3. Revenue split — the 1099 network</w:t>
      </w:r>
    </w:p>
    <w:p>
      <w:pPr>
        <w:numPr>
          <w:ilvl w:val="0"/>
          <w:numId w:val="1002"/>
        </w:numPr>
        <w:pStyle w:val="Compact"/>
      </w:pPr>
      <w:r>
        <w:t xml:space="preserve">Orbit hands</w:t>
      </w:r>
      <w:r>
        <w:t xml:space="preserve"> </w:t>
      </w:r>
      <w:r>
        <w:rPr>
          <w:bCs/>
          <w:b/>
        </w:rPr>
        <w:t xml:space="preserve">leads</w:t>
      </w:r>
      <w:r>
        <w:t xml:space="preserve"> </w:t>
      </w:r>
      <w:r>
        <w:t xml:space="preserve">to partners (agencies / closer-reps).</w:t>
      </w:r>
    </w:p>
    <w:p>
      <w:pPr>
        <w:numPr>
          <w:ilvl w:val="0"/>
          <w:numId w:val="1002"/>
        </w:numPr>
        <w:pStyle w:val="Compact"/>
      </w:pPr>
      <w:r>
        <w:t xml:space="preserve">The</w:t>
      </w:r>
      <w:r>
        <w:t xml:space="preserve"> </w:t>
      </w:r>
      <w:r>
        <w:rPr>
          <w:bCs/>
          <w:b/>
        </w:rPr>
        <w:t xml:space="preserve">spread splits 50/50</w:t>
      </w:r>
      <w:r>
        <w:t xml:space="preserve"> </w:t>
      </w:r>
      <w:r>
        <w:t xml:space="preserve">to start — partner / Sales Co.</w:t>
      </w:r>
    </w:p>
    <w:p>
      <w:pPr>
        <w:numPr>
          <w:ilvl w:val="0"/>
          <w:numId w:val="1002"/>
        </w:numPr>
        <w:pStyle w:val="Compact"/>
      </w:pPr>
      <w:r>
        <w:rPr>
          <w:bCs/>
          <w:b/>
        </w:rPr>
        <w:t xml:space="preserve">Appointment setters are paid out of Orbit's (Sales Co.'s) half</w:t>
      </w:r>
      <w:r>
        <w:t xml:space="preserve">, not the partner's.</w:t>
      </w:r>
    </w:p>
    <w:p>
      <w:pPr>
        <w:numPr>
          <w:ilvl w:val="0"/>
          <w:numId w:val="1002"/>
        </w:numPr>
        <w:pStyle w:val="Compact"/>
      </w:pPr>
      <w:r>
        <w:t xml:space="preserve">The split can re-tier with performance/volume (e.g., high-producing partners earn a larger share), but the</w:t>
      </w:r>
      <w:r>
        <w:t xml:space="preserve"> </w:t>
      </w:r>
      <w:r>
        <w:rPr>
          <w:bCs/>
          <w:b/>
        </w:rPr>
        <w:t xml:space="preserve">floor never moves into the split.</w:t>
      </w:r>
    </w:p>
    <w:p>
      <w:pPr>
        <w:pStyle w:val="FirstParagraph"/>
      </w:pPr>
      <w:r>
        <w:t xml:space="preserve">This keeps three things true at once: fulfillment is always funded, partners are richly incentivized, and your lead-gen engine pays for itself out of your own margin.</w:t>
      </w:r>
    </w:p>
    <w:p>
      <w:r>
        <w:pict>
          <v:rect style="width:0;height:1.5pt" o:hralign="center" o:hrstd="t" o:hr="t"/>
        </w:pict>
      </w:r>
    </w:p>
    <w:bookmarkEnd w:id="23"/>
    <w:bookmarkStart w:id="24" w:name="X68ccdd96d0292a76c02b4d5ffe29df2c9b09938"/>
    <w:p>
      <w:pPr>
        <w:pStyle w:val="Heading2"/>
      </w:pPr>
      <w:r>
        <w:t xml:space="preserve">4. Segmentation — who sells to whom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Owner</w:t>
            </w:r>
          </w:p>
        </w:tc>
        <w:tc>
          <w:tcPr/>
          <w:p>
            <w:pPr>
              <w:pStyle w:val="Compact"/>
              <w:jc w:val="left"/>
            </w:pPr>
            <w:r>
              <w:t xml:space="preserve">Motion</w:t>
            </w:r>
          </w:p>
        </w:tc>
      </w:tr>
      <w:tr>
        <w:tc>
          <w:tcPr/>
          <w:p>
            <w:pPr>
              <w:pStyle w:val="Compact"/>
              <w:jc w:val="left"/>
            </w:pPr>
            <w:r>
              <w:rPr>
                <w:bCs/>
                <w:b/>
              </w:rPr>
              <w:t xml:space="preserve">SMB (small–medium)</w:t>
            </w:r>
          </w:p>
        </w:tc>
        <w:tc>
          <w:tcPr/>
          <w:p>
            <w:pPr>
              <w:pStyle w:val="Compact"/>
              <w:jc w:val="left"/>
            </w:pPr>
            <w:r>
              <w:t xml:space="preserve">Channel: agencies + 1099 reps</w:t>
            </w:r>
          </w:p>
        </w:tc>
        <w:tc>
          <w:tcPr/>
          <w:p>
            <w:pPr>
              <w:pStyle w:val="Compact"/>
              <w:jc w:val="left"/>
            </w:pPr>
            <w:r>
              <w:t xml:space="preserve">High-volume, lead-fed, setter → closer</w:t>
            </w:r>
          </w:p>
        </w:tc>
      </w:tr>
      <w:tr>
        <w:tc>
          <w:tcPr/>
          <w:p>
            <w:pPr>
              <w:pStyle w:val="Compact"/>
              <w:jc w:val="left"/>
            </w:pPr>
            <w:r>
              <w:rPr>
                <w:bCs/>
                <w:b/>
              </w:rPr>
              <w:t xml:space="preserve">Bilingual EN/ES</w:t>
            </w:r>
          </w:p>
        </w:tc>
        <w:tc>
          <w:tcPr/>
          <w:p>
            <w:pPr>
              <w:pStyle w:val="Compact"/>
              <w:jc w:val="left"/>
            </w:pPr>
            <w:r>
              <w:rPr>
                <w:bCs/>
                <w:b/>
              </w:rPr>
              <w:t xml:space="preserve">Orbit-direct</w:t>
            </w:r>
          </w:p>
        </w:tc>
        <w:tc>
          <w:tcPr/>
          <w:p>
            <w:pPr>
              <w:pStyle w:val="Compact"/>
              <w:jc w:val="left"/>
            </w:pPr>
            <w:r>
              <w:t xml:space="preserve">Your specialist wedge; never wholesaled</w:t>
            </w:r>
          </w:p>
        </w:tc>
      </w:tr>
      <w:tr>
        <w:tc>
          <w:tcPr/>
          <w:p>
            <w:pPr>
              <w:pStyle w:val="Compact"/>
              <w:jc w:val="left"/>
            </w:pPr>
            <w:r>
              <w:rPr>
                <w:bCs/>
                <w:b/>
              </w:rPr>
              <w:t xml:space="preserve">Enterprise &amp; custom</w:t>
            </w:r>
          </w:p>
        </w:tc>
        <w:tc>
          <w:tcPr/>
          <w:p>
            <w:pPr>
              <w:pStyle w:val="Compact"/>
              <w:jc w:val="left"/>
            </w:pPr>
            <w:r>
              <w:rPr>
                <w:bCs/>
                <w:b/>
              </w:rPr>
              <w:t xml:space="preserve">Orbit-direct</w:t>
            </w:r>
          </w:p>
        </w:tc>
        <w:tc>
          <w:tcPr/>
          <w:p>
            <w:pPr>
              <w:pStyle w:val="Compact"/>
              <w:jc w:val="left"/>
            </w:pPr>
            <w:r>
              <w:t xml:space="preserve">Consultative, custom-scoped, long cycle</w:t>
            </w:r>
          </w:p>
        </w:tc>
      </w:tr>
      <w:tr>
        <w:tc>
          <w:tcPr/>
          <w:p>
            <w:pPr>
              <w:pStyle w:val="Compact"/>
              <w:jc w:val="left"/>
            </w:pPr>
            <w:r>
              <w:rPr>
                <w:bCs/>
                <w:b/>
              </w:rPr>
              <w:t xml:space="preserve">Portfolio / multi-location</w:t>
            </w:r>
          </w:p>
        </w:tc>
        <w:tc>
          <w:tcPr/>
          <w:p>
            <w:pPr>
              <w:pStyle w:val="Compact"/>
              <w:jc w:val="left"/>
            </w:pPr>
            <w:r>
              <w:rPr>
                <w:bCs/>
                <w:b/>
              </w:rPr>
              <w:t xml:space="preserve">Orbit-direct</w:t>
            </w:r>
          </w:p>
        </w:tc>
        <w:tc>
          <w:tcPr/>
          <w:p>
            <w:pPr>
              <w:pStyle w:val="Compact"/>
              <w:jc w:val="left"/>
            </w:pPr>
            <w:r>
              <w:t xml:space="preserve">Account-managed, custom pricing</w:t>
            </w:r>
          </w:p>
        </w:tc>
      </w:tr>
    </w:tbl>
    <w:p>
      <w:pPr>
        <w:pStyle w:val="BodyText"/>
      </w:pPr>
      <w:r>
        <w:rPr>
          <w:bCs/>
          <w:b/>
        </w:rPr>
        <w:t xml:space="preserve">Important:</w:t>
      </w:r>
      <w:r>
        <w:t xml:space="preserve"> </w:t>
      </w:r>
      <w:r>
        <w:t xml:space="preserve">the 1099 setter engine is built for SMB/mid-market volume. Enterprise, custom, and portfolio accounts need a</w:t>
      </w:r>
      <w:r>
        <w:t xml:space="preserve"> </w:t>
      </w:r>
      <w:r>
        <w:rPr>
          <w:bCs/>
          <w:b/>
        </w:rPr>
        <w:t xml:space="preserve">thin consultative closing function</w:t>
      </w:r>
      <w:r>
        <w:t xml:space="preserve"> </w:t>
      </w:r>
      <w:r>
        <w:t xml:space="preserve">(senior closers, not setters). Run them as separate plays.</w:t>
      </w:r>
    </w:p>
    <w:p>
      <w:pPr>
        <w:pStyle w:val="BodyText"/>
      </w:pPr>
      <w:r>
        <w:t xml:space="preserve">This segmentation</w:t>
      </w:r>
      <w:r>
        <w:t xml:space="preserve"> </w:t>
      </w:r>
      <w:r>
        <w:rPr>
          <w:iCs/>
          <w:i/>
        </w:rPr>
        <w:t xml:space="preserve">is</w:t>
      </w:r>
      <w:r>
        <w:t xml:space="preserve"> </w:t>
      </w:r>
      <w:r>
        <w:t xml:space="preserve">your channel-conflict firewall: agencies never collide with Orbit because you don't sell SMB direct, and you never collide with them because they don't touch enterprise or the bilingual lane.</w:t>
      </w:r>
    </w:p>
    <w:p>
      <w:r>
        <w:pict>
          <v:rect style="width:0;height:1.5pt" o:hralign="center" o:hrstd="t" o:hr="t"/>
        </w:pict>
      </w:r>
    </w:p>
    <w:bookmarkEnd w:id="24"/>
    <w:bookmarkStart w:id="25" w:name="Xb3b595d41c5870aeb141d845e3f09eb62f87789"/>
    <w:p>
      <w:pPr>
        <w:pStyle w:val="Heading2"/>
      </w:pPr>
      <w:r>
        <w:t xml:space="preserve">5. Platform lock-in — full book, via a ramp (not a gate)</w:t>
      </w:r>
    </w:p>
    <w:p>
      <w:pPr>
        <w:pStyle w:val="FirstParagraph"/>
      </w:pPr>
      <w:r>
        <w:t xml:space="preserve">The moat is the agency's entire book living on your network. But don't make it a wall that scares off your first partners:</w:t>
      </w:r>
    </w:p>
    <w:p>
      <w:pPr>
        <w:numPr>
          <w:ilvl w:val="0"/>
          <w:numId w:val="1003"/>
        </w:numPr>
        <w:pStyle w:val="Compact"/>
      </w:pPr>
      <w:r>
        <w:rPr>
          <w:bCs/>
          <w:b/>
        </w:rPr>
        <w:t xml:space="preserve">All new clients</w:t>
      </w:r>
      <w:r>
        <w:t xml:space="preserve"> </w:t>
      </w:r>
      <w:r>
        <w:t xml:space="preserve">provisioned on Orbit's network from day one.</w:t>
      </w:r>
    </w:p>
    <w:p>
      <w:pPr>
        <w:numPr>
          <w:ilvl w:val="0"/>
          <w:numId w:val="1003"/>
        </w:numPr>
        <w:pStyle w:val="Compact"/>
      </w:pPr>
      <w:r>
        <w:rPr>
          <w:bCs/>
          <w:b/>
        </w:rPr>
        <w:t xml:space="preserve">Existing book</w:t>
      </w:r>
      <w:r>
        <w:t xml:space="preserve"> </w:t>
      </w:r>
      <w:r>
        <w:t xml:space="preserve">migrated within a runway (~90 days) to unlock the best floor.</w:t>
      </w:r>
    </w:p>
    <w:p>
      <w:pPr>
        <w:numPr>
          <w:ilvl w:val="0"/>
          <w:numId w:val="1003"/>
        </w:numPr>
        <w:pStyle w:val="Compact"/>
      </w:pPr>
      <w:r>
        <w:rPr>
          <w:bCs/>
          <w:b/>
        </w:rPr>
        <w:t xml:space="preserve">Full book = best floor + co-op volume rate. Partial book = higher floor.</w:t>
      </w:r>
    </w:p>
    <w:p>
      <w:pPr>
        <w:pStyle w:val="FirstParagraph"/>
      </w:pPr>
      <w:r>
        <w:t xml:space="preserve">Lock-in becomes a carrot (better pricing) plus a gentle stick (higher floor for partial), not a barrier to signing.</w:t>
      </w:r>
    </w:p>
    <w:p>
      <w:r>
        <w:pict>
          <v:rect style="width:0;height:1.5pt" o:hralign="center" o:hrstd="t" o:hr="t"/>
        </w:pict>
      </w:r>
    </w:p>
    <w:bookmarkEnd w:id="25"/>
    <w:bookmarkStart w:id="26" w:name="Xaf56ea0366e6fb6ab98c1522caab7e3d3d6b1c5"/>
    <w:p>
      <w:pPr>
        <w:pStyle w:val="Heading2"/>
      </w:pPr>
      <w:r>
        <w:t xml:space="preserve">6. The flywheel still belongs to you</w:t>
      </w:r>
    </w:p>
    <w:p>
      <w:pPr>
        <w:pStyle w:val="FirstParagraph"/>
      </w:pPr>
      <w:r>
        <w:t xml:space="preserve">Unchanged from the fulfillment doc and reinforced here: agencies and SMBs own their</w:t>
      </w:r>
      <w:r>
        <w:t xml:space="preserve"> </w:t>
      </w:r>
      <w:r>
        <w:rPr>
          <w:bCs/>
          <w:b/>
        </w:rPr>
        <w:t xml:space="preserve">raw data</w:t>
      </w:r>
      <w:r>
        <w:t xml:space="preserve">; Orbit retains the license to</w:t>
      </w:r>
      <w:r>
        <w:t xml:space="preserve"> </w:t>
      </w:r>
      <w:r>
        <w:rPr>
          <w:bCs/>
          <w:b/>
        </w:rPr>
        <w:t xml:space="preserve">aggregated, de-identified call + outcome data</w:t>
      </w:r>
      <w:r>
        <w:t xml:space="preserve"> </w:t>
      </w:r>
      <w:r>
        <w:t xml:space="preserve">to improve the platform, agents, and vertical knowledge base. Every client across every agency feeds the intelligence — and that intelligence never leaves with a departing partner.</w:t>
      </w:r>
    </w:p>
    <w:p>
      <w:r>
        <w:pict>
          <v:rect style="width:0;height:1.5pt" o:hralign="center" o:hrstd="t" o:hr="t"/>
        </w:pict>
      </w:r>
    </w:p>
    <w:bookmarkEnd w:id="26"/>
    <w:bookmarkStart w:id="27" w:name="X053353f3d00f11a7382a7188062698f3d024fa5"/>
    <w:p>
      <w:pPr>
        <w:pStyle w:val="Heading2"/>
      </w:pPr>
      <w:r>
        <w:t xml:space="preserve">7. Get this right (the honest punch list)</w:t>
      </w:r>
    </w:p>
    <w:p>
      <w:pPr>
        <w:numPr>
          <w:ilvl w:val="0"/>
          <w:numId w:val="1004"/>
        </w:numPr>
        <w:pStyle w:val="Compact"/>
      </w:pPr>
      <w:r>
        <w:t xml:space="preserve">☐</w:t>
      </w:r>
      <w:r>
        <w:t xml:space="preserve"> </w:t>
      </w:r>
      <w:r>
        <w:rPr>
          <w:bCs/>
          <w:b/>
        </w:rPr>
        <w:t xml:space="preserve">Floor defined as sacred</w:t>
      </w:r>
      <w:r>
        <w:t xml:space="preserve"> </w:t>
      </w:r>
      <w:r>
        <w:t xml:space="preserve">— fulfillment + platform + management; only the spread is split; floor drops only with true cost.</w:t>
      </w:r>
    </w:p>
    <w:p>
      <w:pPr>
        <w:numPr>
          <w:ilvl w:val="0"/>
          <w:numId w:val="1004"/>
        </w:numPr>
        <w:pStyle w:val="Compact"/>
      </w:pPr>
      <w:r>
        <w:t xml:space="preserve">☐</w:t>
      </w:r>
      <w:r>
        <w:t xml:space="preserve"> </w:t>
      </w:r>
      <w:r>
        <w:rPr>
          <w:bCs/>
          <w:b/>
        </w:rPr>
        <w:t xml:space="preserve">Entities papered correctly</w:t>
      </w:r>
      <w:r>
        <w:t xml:space="preserve"> </w:t>
      </w:r>
      <w:r>
        <w:t xml:space="preserve">— separate LLCs, arm's-length intercompany agreements, transfer pricing; CPA + attorney.</w:t>
      </w:r>
    </w:p>
    <w:p>
      <w:pPr>
        <w:numPr>
          <w:ilvl w:val="0"/>
          <w:numId w:val="1004"/>
        </w:numPr>
        <w:pStyle w:val="Compact"/>
      </w:pPr>
      <w:r>
        <w:t xml:space="preserve">☐</w:t>
      </w:r>
      <w:r>
        <w:t xml:space="preserve"> </w:t>
      </w:r>
      <w:r>
        <w:rPr>
          <w:bCs/>
          <w:b/>
        </w:rPr>
        <w:t xml:space="preserve">1099 classification</w:t>
      </w:r>
      <w:r>
        <w:t xml:space="preserve"> </w:t>
      </w:r>
      <w:r>
        <w:t xml:space="preserve">— keep reps/setters genuinely independent (state ABC tests are strict); get counsel on the structure.</w:t>
      </w:r>
    </w:p>
    <w:p>
      <w:pPr>
        <w:numPr>
          <w:ilvl w:val="0"/>
          <w:numId w:val="1004"/>
        </w:numPr>
        <w:pStyle w:val="Compact"/>
      </w:pPr>
      <w:r>
        <w:t xml:space="preserve">☐</w:t>
      </w:r>
      <w:r>
        <w:t xml:space="preserve"> </w:t>
      </w:r>
      <w:r>
        <w:rPr>
          <w:bCs/>
          <w:b/>
        </w:rPr>
        <w:t xml:space="preserve">Enterprise staffed separately</w:t>
      </w:r>
      <w:r>
        <w:t xml:space="preserve"> </w:t>
      </w:r>
      <w:r>
        <w:t xml:space="preserve">— consultative closers, not the SMB setter engine.</w:t>
      </w:r>
    </w:p>
    <w:p>
      <w:pPr>
        <w:numPr>
          <w:ilvl w:val="0"/>
          <w:numId w:val="1004"/>
        </w:numPr>
        <w:pStyle w:val="Compact"/>
      </w:pPr>
      <w:r>
        <w:t xml:space="preserve">☐</w:t>
      </w:r>
      <w:r>
        <w:t xml:space="preserve"> </w:t>
      </w:r>
      <w:r>
        <w:rPr>
          <w:bCs/>
          <w:b/>
        </w:rPr>
        <w:t xml:space="preserve">Full-book ramp</w:t>
      </w:r>
      <w:r>
        <w:t xml:space="preserve"> </w:t>
      </w:r>
      <w:r>
        <w:t xml:space="preserve">— new clients now, existing on a runway; pricing tiers reward full migration.</w:t>
      </w:r>
    </w:p>
    <w:p>
      <w:pPr>
        <w:numPr>
          <w:ilvl w:val="0"/>
          <w:numId w:val="1004"/>
        </w:numPr>
        <w:pStyle w:val="Compact"/>
      </w:pPr>
      <w:r>
        <w:t xml:space="preserve">☐</w:t>
      </w:r>
      <w:r>
        <w:t xml:space="preserve"> </w:t>
      </w:r>
      <w:r>
        <w:rPr>
          <w:bCs/>
          <w:b/>
        </w:rPr>
        <w:t xml:space="preserve">Segmentation enforced</w:t>
      </w:r>
      <w:r>
        <w:t xml:space="preserve"> </w:t>
      </w:r>
      <w:r>
        <w:t xml:space="preserve">— agencies = SMB; Orbit = bilingual + enterprise + portfolio; written non-solicit both ways.</w:t>
      </w:r>
    </w:p>
    <w:p>
      <w:pPr>
        <w:numPr>
          <w:ilvl w:val="0"/>
          <w:numId w:val="1004"/>
        </w:numPr>
        <w:pStyle w:val="Compact"/>
      </w:pPr>
      <w:r>
        <w:t xml:space="preserve">☐</w:t>
      </w:r>
      <w:r>
        <w:t xml:space="preserve"> </w:t>
      </w:r>
      <w:r>
        <w:rPr>
          <w:bCs/>
          <w:b/>
        </w:rPr>
        <w:t xml:space="preserve">Aggregate-data license retained</w:t>
      </w:r>
      <w:r>
        <w:t xml:space="preserve"> </w:t>
      </w:r>
      <w:r>
        <w:t xml:space="preserve">by Fulfillment Co.</w:t>
      </w:r>
    </w:p>
    <w:p>
      <w:r>
        <w:pict>
          <v:rect style="width:0;height:1.5pt" o:hralign="center" o:hrstd="t" o:hr="t"/>
        </w:pict>
      </w:r>
    </w:p>
    <w:bookmarkEnd w:id="27"/>
    <w:bookmarkStart w:id="28" w:name="money-flow-summary"/>
    <w:p>
      <w:pPr>
        <w:pStyle w:val="Heading2"/>
      </w:pPr>
      <w:r>
        <w:t xml:space="preserve">Money-flow summary</w:t>
      </w:r>
    </w:p>
    <w:p>
      <w:pPr>
        <w:pStyle w:val="BlockText"/>
      </w:pPr>
      <w:r>
        <w:t xml:space="preserve">A client pays retail.</w:t>
      </w:r>
      <w:r>
        <w:t xml:space="preserve"> </w:t>
      </w:r>
      <w:r>
        <w:rPr>
          <w:bCs/>
          <w:b/>
        </w:rPr>
        <w:t xml:space="preserve">Fulfillment Co. takes the floor first</w:t>
      </w:r>
      <w:r>
        <w:t xml:space="preserve"> </w:t>
      </w:r>
      <w:r>
        <w:t xml:space="preserve">— the same floor whether that client came from an agency or Orbit's own sales arm.</w:t>
      </w:r>
      <w:r>
        <w:t xml:space="preserve"> </w:t>
      </w:r>
      <w:r>
        <w:rPr>
          <w:bCs/>
          <w:b/>
        </w:rPr>
        <w:t xml:space="preserve">The spread above splits 50/50</w:t>
      </w:r>
      <w:r>
        <w:t xml:space="preserve"> </w:t>
      </w:r>
      <w:r>
        <w:t xml:space="preserve">between the closing partner and Sales Co.</w:t>
      </w:r>
      <w:r>
        <w:t xml:space="preserve"> </w:t>
      </w:r>
      <w:r>
        <w:rPr>
          <w:bCs/>
          <w:b/>
        </w:rPr>
        <w:t xml:space="preserve">Sales Co. pays its 1099 setters</w:t>
      </w:r>
      <w:r>
        <w:t xml:space="preserve"> </w:t>
      </w:r>
      <w:r>
        <w:t xml:space="preserve">from its half. As volume grows, the floor falls with true cost, and savings flow to partners and clients — never out of platform margin.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2026-06-03T08:34:02Z</dcterms:created>
  <dcterms:modified xsi:type="dcterms:W3CDTF">2026-06-03T08:34:02Z</dcterms:modified>
</cp:coreProperties>
</file>

<file path=docProps/custom.xml><?xml version="1.0" encoding="utf-8"?>
<Properties xmlns="http://schemas.openxmlformats.org/officeDocument/2006/custom-properties" xmlns:vt="http://schemas.openxmlformats.org/officeDocument/2006/docPropsVTypes"/>
</file>