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7C99"/>
          <w:sz w:val="17"/>
          <w:szCs w:val="17"/>
        </w:rPr>
        <w:t xml:space="preserve">CLIENT AGREEMENT</w:t>
      </w:r>
    </w:p>
    <w:p>
      <w:pPr>
        <w:spacing w:after="60"/>
      </w:pPr>
      <w:r>
        <w:rPr>
          <w:b/>
          <w:bCs/>
          <w:color w:val="1A2238"/>
          <w:sz w:val="38"/>
          <w:szCs w:val="38"/>
        </w:rPr>
        <w:t xml:space="preserve">Orbit AI — Services Agreement</w:t>
      </w:r>
    </w:p>
    <w:p>
      <w:pPr>
        <w:pBdr>
          <w:bottom w:val="single" w:color="6D28D9" w:sz="16" w:space="1"/>
        </w:pBdr>
        <w:spacing w:after="160"/>
      </w:pPr>
    </w:p>
    <w:p>
      <w:pPr>
        <w:shd w:fill="FFF3D6" w:val="clear"/>
        <w:spacing w:after="200" w:before="60"/>
      </w:pPr>
      <w:r>
        <w:rPr>
          <w:b/>
          <w:bCs/>
          <w:color w:val="B45309"/>
          <w:sz w:val="20"/>
          <w:szCs w:val="20"/>
        </w:rPr>
        <w:t xml:space="preserve">DRAFT — FOR LEGAL REVIEW.  </w:t>
      </w:r>
      <w:r>
        <w:rPr>
          <w:i/>
          <w:iCs/>
          <w:color w:val="7A5B16"/>
          <w:sz w:val="20"/>
          <w:szCs w:val="20"/>
        </w:rPr>
        <w:t xml:space="preserve">This is a plain-language starting draft to align on terms — not legal advice and not ready to sign. Have a licensed attorney review and finalize it (especially fees, liability, data, and telecom/consent rules) before use. Brackets [ ] mark items to fill in.</w:t>
      </w:r>
    </w:p>
    <w:p>
      <w:pPr>
        <w:pStyle w:val="Heading1"/>
      </w:pPr>
      <w:r>
        <w:t xml:space="preserve">1. About this agreement</w:t>
      </w:r>
    </w:p>
    <w:p>
      <w:pPr>
        <w:spacing w:after="120" w:line="276"/>
      </w:pPr>
      <w:r>
        <w:t xml:space="preserve">This agreement is between Orbit AI Automation (“Orbit,” “we”) and the client named on the order form or proposal (“you”). It covers the Airlock services you order. The specific products and prices are set out in your order form or proposal, which is part of this agreement.</w:t>
      </w:r>
    </w:p>
    <w:p>
      <w:pPr>
        <w:pStyle w:val="Heading1"/>
      </w:pPr>
      <w:r>
        <w:t xml:space="preserve">2. The services</w:t>
      </w:r>
    </w:p>
    <w:p>
      <w:pPr>
        <w:spacing w:after="120" w:line="276"/>
      </w:pPr>
      <w:r>
        <w:t xml:space="preserve">We provide the Airlock products you order — which may include the AI receptionist, website and chatbot, visibility, unified inbox and CRM, and add-ons. We provide them with reasonable care and skill. Features may be improved or changed over time; we won’t materially reduce what you’re paying for without notice.</w:t>
      </w:r>
    </w:p>
    <w:p>
      <w:pPr>
        <w:pStyle w:val="Heading1"/>
      </w:pPr>
      <w:r>
        <w:t xml:space="preserve">3. Getting started &amp; your responsibilities</w:t>
      </w:r>
    </w:p>
    <w:p>
      <w:pPr>
        <w:pStyle w:val="ListParagraph"/>
        <w:numPr>
          <w:ilvl w:val="0"/>
          <w:numId w:val="2"/>
        </w:numPr>
        <w:spacing w:after="70" w:line="270"/>
      </w:pPr>
      <w:r>
        <w:t xml:space="preserve">Give us accurate business information and timely access to set things up.</w:t>
      </w:r>
    </w:p>
    <w:p>
      <w:pPr>
        <w:pStyle w:val="ListParagraph"/>
        <w:numPr>
          <w:ilvl w:val="0"/>
          <w:numId w:val="2"/>
        </w:numPr>
        <w:spacing w:after="70" w:line="270"/>
      </w:pPr>
      <w:r>
        <w:t xml:space="preserve">Keep your account credentials secure and use the service lawfully.</w:t>
      </w:r>
    </w:p>
    <w:p>
      <w:pPr>
        <w:pStyle w:val="ListParagraph"/>
        <w:numPr>
          <w:ilvl w:val="0"/>
          <w:numId w:val="2"/>
        </w:numPr>
        <w:spacing w:after="70" w:line="270"/>
      </w:pPr>
      <w:r>
        <w:t xml:space="preserve">You are responsible for the content and instructions you provide for your agents, site, and messaging.</w:t>
      </w:r>
    </w:p>
    <w:p>
      <w:pPr>
        <w:pStyle w:val="Heading1"/>
      </w:pPr>
      <w:r>
        <w:t xml:space="preserve">4. Calls, texts &amp; consent</w:t>
      </w:r>
    </w:p>
    <w:p>
      <w:pPr>
        <w:spacing w:after="120" w:line="276"/>
      </w:pPr>
      <w:r>
        <w:t xml:space="preserve">You are responsible for having the legal right and any required consent to call, text, or message your customers, and for complying with applicable rules (for example, telemarketing, do-not-call, and messaging regulations). We give you tools to operate compliantly; we are not responsible for how you choose to contact your customers.</w:t>
      </w:r>
    </w:p>
    <w:p>
      <w:pPr>
        <w:pStyle w:val="Heading1"/>
      </w:pPr>
      <w:r>
        <w:t xml:space="preserve">5. Fees &amp; billing</w:t>
      </w:r>
    </w:p>
    <w:p>
      <w:pPr>
        <w:pStyle w:val="ListParagraph"/>
        <w:numPr>
          <w:ilvl w:val="0"/>
          <w:numId w:val="2"/>
        </w:numPr>
        <w:spacing w:after="70" w:line="270"/>
      </w:pPr>
      <w:r>
        <w:t xml:space="preserve">Monthly fees are billed [monthly, in advance].</w:t>
      </w:r>
    </w:p>
    <w:p>
      <w:pPr>
        <w:pStyle w:val="ListParagraph"/>
        <w:numPr>
          <w:ilvl w:val="0"/>
          <w:numId w:val="2"/>
        </w:numPr>
        <w:spacing w:after="70" w:line="270"/>
      </w:pPr>
      <w:r>
        <w:t xml:space="preserve">Usage-based items — such as call minutes, messaging, and ad spend — are billed as used.</w:t>
      </w:r>
    </w:p>
    <w:p>
      <w:pPr>
        <w:pStyle w:val="ListParagraph"/>
        <w:numPr>
          <w:ilvl w:val="0"/>
          <w:numId w:val="2"/>
        </w:numPr>
        <w:spacing w:after="70" w:line="270"/>
      </w:pPr>
      <w:r>
        <w:t xml:space="preserve">Payment is due [on receipt / within 15 days]. Late amounts may incur a [1.5%/month] charge.</w:t>
      </w:r>
    </w:p>
    <w:p>
      <w:pPr>
        <w:pStyle w:val="ListParagraph"/>
        <w:numPr>
          <w:ilvl w:val="0"/>
          <w:numId w:val="2"/>
        </w:numPr>
        <w:spacing w:after="70" w:line="270"/>
      </w:pPr>
      <w:r>
        <w:t xml:space="preserve">Fees are exclusive of taxes, which are your responsibility.</w:t>
      </w:r>
    </w:p>
    <w:p>
      <w:pPr>
        <w:pStyle w:val="Heading1"/>
      </w:pPr>
      <w:r>
        <w:t xml:space="preserve">6. Your content &amp; data</w:t>
      </w:r>
    </w:p>
    <w:p>
      <w:pPr>
        <w:spacing w:after="120" w:line="276"/>
      </w:pPr>
      <w:r>
        <w:t xml:space="preserve">You own your business data and your customers’ information. You grant us the right to process it solely to provide and support the service. We may use de-identified, aggregated data to operate and improve the platform. Our handling of personal data is described in our Privacy Policy [and Data Processing Addendum].</w:t>
      </w:r>
    </w:p>
    <w:p>
      <w:pPr>
        <w:pStyle w:val="Heading1"/>
      </w:pPr>
      <w:r>
        <w:t xml:space="preserve">7. Our platform &amp; intellectual property</w:t>
      </w:r>
    </w:p>
    <w:p>
      <w:pPr>
        <w:spacing w:after="120" w:line="276"/>
      </w:pPr>
      <w:r>
        <w:t xml:space="preserve">We own the Airlock platform, software, models, templates, and configurations. While you’re subscribed, you have a non-exclusive right to use the service for your business. You don’t acquire ownership of the platform, and you won’t copy, resell, or reverse-engineer it.</w:t>
      </w:r>
    </w:p>
    <w:p>
      <w:pPr>
        <w:pStyle w:val="Heading1"/>
      </w:pPr>
      <w:r>
        <w:t xml:space="preserve">8. Confidentiality</w:t>
      </w:r>
    </w:p>
    <w:p>
      <w:pPr>
        <w:spacing w:after="120" w:line="276"/>
      </w:pPr>
      <w:r>
        <w:t xml:space="preserve">Each of us will protect the other’s non-public information and use it only for this relationship.</w:t>
      </w:r>
    </w:p>
    <w:p>
      <w:pPr>
        <w:pStyle w:val="Heading1"/>
      </w:pPr>
      <w:r>
        <w:t xml:space="preserve">9. Service availability</w:t>
      </w:r>
    </w:p>
    <w:p>
      <w:pPr>
        <w:spacing w:after="120" w:line="276"/>
      </w:pPr>
      <w:r>
        <w:t xml:space="preserve">We aim for high availability and use reasonable efforts to keep the service running. Specific uptime and response commitments, if any, are set out in an enterprise service-level addendum. We aren’t responsible for outages caused by third parties or telecom carriers outside our control.</w:t>
      </w:r>
    </w:p>
    <w:p>
      <w:pPr>
        <w:pStyle w:val="Heading1"/>
      </w:pPr>
      <w:r>
        <w:t xml:space="preserve">10. No guaranteed results</w:t>
      </w:r>
    </w:p>
    <w:p>
      <w:pPr>
        <w:spacing w:after="120" w:line="276"/>
      </w:pPr>
      <w:r>
        <w:t xml:space="preserve">We help you capture more calls, leads, and customers, but we don’t guarantee specific revenue or outcomes.</w:t>
      </w:r>
    </w:p>
    <w:p>
      <w:pPr>
        <w:pStyle w:val="Heading1"/>
      </w:pPr>
      <w:r>
        <w:t xml:space="preserve">11. Disclaimers</w:t>
      </w:r>
    </w:p>
    <w:p>
      <w:pPr>
        <w:spacing w:after="120" w:line="276"/>
      </w:pPr>
      <w:r>
        <w:t xml:space="preserve">Except as expressly stated, the service is provided “as is” to the fullest extent permitted by law, and we disclaim implied warranties.</w:t>
      </w:r>
    </w:p>
    <w:p>
      <w:pPr>
        <w:pStyle w:val="Heading1"/>
      </w:pPr>
      <w:r>
        <w:t xml:space="preserve">12. Limitation of liability</w:t>
      </w:r>
    </w:p>
    <w:p>
      <w:pPr>
        <w:spacing w:after="120" w:line="276"/>
      </w:pPr>
      <w:r>
        <w:t xml:space="preserve">To the extent permitted by law, neither party is liable for indirect or consequential damages, and our total liability is capped at the fees you paid in the [3] months before the claim.</w:t>
      </w:r>
    </w:p>
    <w:p>
      <w:pPr>
        <w:pStyle w:val="Heading1"/>
      </w:pPr>
      <w:r>
        <w:t xml:space="preserve">13. Indemnification</w:t>
      </w:r>
    </w:p>
    <w:p>
      <w:pPr>
        <w:spacing w:after="120" w:line="276"/>
      </w:pPr>
      <w:r>
        <w:t xml:space="preserve">You will cover claims arising from your content, your customers, or your failure to comply with laws (including consent rules). We will cover claims that the Airlock platform itself infringes a third party’s intellectual property.</w:t>
      </w:r>
    </w:p>
    <w:p>
      <w:pPr>
        <w:pStyle w:val="Heading1"/>
      </w:pPr>
      <w:r>
        <w:t xml:space="preserve">14. Term &amp; termination</w:t>
      </w:r>
    </w:p>
    <w:p>
      <w:pPr>
        <w:pStyle w:val="ListParagraph"/>
        <w:numPr>
          <w:ilvl w:val="0"/>
          <w:numId w:val="2"/>
        </w:numPr>
        <w:spacing w:after="70" w:line="270"/>
      </w:pPr>
      <w:r>
        <w:t xml:space="preserve">Unless your order says otherwise, this is month-to-month.</w:t>
      </w:r>
    </w:p>
    <w:p>
      <w:pPr>
        <w:pStyle w:val="ListParagraph"/>
        <w:numPr>
          <w:ilvl w:val="0"/>
          <w:numId w:val="2"/>
        </w:numPr>
        <w:spacing w:after="70" w:line="270"/>
      </w:pPr>
      <w:r>
        <w:t xml:space="preserve">Either party may cancel with [30] days’ written notice.</w:t>
      </w:r>
    </w:p>
    <w:p>
      <w:pPr>
        <w:pStyle w:val="ListParagraph"/>
        <w:numPr>
          <w:ilvl w:val="0"/>
          <w:numId w:val="2"/>
        </w:numPr>
        <w:spacing w:after="70" w:line="270"/>
      </w:pPr>
      <w:r>
        <w:t xml:space="preserve">On termination, we’ll provide a [30]-day window to export your data.</w:t>
      </w:r>
    </w:p>
    <w:p>
      <w:pPr>
        <w:pStyle w:val="ListParagraph"/>
        <w:numPr>
          <w:ilvl w:val="0"/>
          <w:numId w:val="2"/>
        </w:numPr>
        <w:spacing w:after="70" w:line="270"/>
      </w:pPr>
      <w:r>
        <w:t xml:space="preserve">Fees owed up to termination remain payable.</w:t>
      </w:r>
    </w:p>
    <w:p>
      <w:pPr>
        <w:pStyle w:val="Heading1"/>
      </w:pPr>
      <w:r>
        <w:t xml:space="preserve">15. Changes</w:t>
      </w:r>
    </w:p>
    <w:p>
      <w:pPr>
        <w:spacing w:after="120" w:line="276"/>
      </w:pPr>
      <w:r>
        <w:t xml:space="preserve">We may update the services or these terms with reasonable notice. If a change materially reduces the service, you may cancel.</w:t>
      </w:r>
    </w:p>
    <w:p>
      <w:pPr>
        <w:pStyle w:val="Heading1"/>
      </w:pPr>
      <w:r>
        <w:t xml:space="preserve">16. General</w:t>
      </w:r>
    </w:p>
    <w:p>
      <w:pPr>
        <w:spacing w:after="120" w:line="276"/>
      </w:pPr>
      <w:r>
        <w:t xml:space="preserve">This agreement is governed by the laws of [State]. Neither party may assign it without consent, except in a merger or sale of the business. If any part is unenforceable, the rest still applies. Together with your order form, this is the entire agreement.</w:t>
      </w:r>
    </w:p>
    <w:p>
      <w:pPr>
        <w:pStyle w:val="Heading1"/>
      </w:pPr>
      <w:r>
        <w:t xml:space="preserve">17. Contact</w:t>
      </w:r>
    </w:p>
    <w:p>
      <w:pPr>
        <w:spacing w:after="120" w:line="276"/>
      </w:pPr>
      <w:r>
        <w:t xml:space="preserve">Orbit AI Automation — [email] — orbitaiautomation.com</w:t>
      </w:r>
    </w:p>
    <w:sectPr>
      <w:headerReference w:type="default" r:id="rId7"/>
      <w:footerReference w:type="default" r:id="rId8"/>
      <w:pgSz w:w="12240" w:h="15840" w:orient="portrait"/>
      <w:pgMar w:top="108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Orbit AI Automation   ·   orbitaiautomation.com   ·   </w:t>
    </w:r>
    <w:r>
      <w:rPr>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6D28D9"/>
      <w:sz w:val="26"/>
      <w:szCs w:val="26"/>
    </w:rPr>
  </w:style>
  <w:style w:type="paragraph" w:styleId="Heading2">
    <w:name w:val="Heading 2"/>
    <w:basedOn w:val="Normal"/>
    <w:next w:val="Normal"/>
    <w:qFormat/>
    <w:pPr>
      <w:spacing w:after="80" w:before="180"/>
      <w:outlineLvl w:val="1"/>
    </w:pPr>
    <w:rPr>
      <w:rFonts w:ascii="Arial" w:cs="Arial" w:eastAsia="Arial" w:hAnsi="Arial"/>
      <w:b/>
      <w:bCs/>
      <w:color w:val="1A223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cdde2817dd973c7196b4cdc0adaf2fe64eff13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2026-06-03T09:55:34.263Z</dcterms:created>
  <dcterms:modified xsi:type="dcterms:W3CDTF">2026-06-03T09:55:34.263Z</dcterms:modified>
</cp:coreProperties>
</file>

<file path=docProps/custom.xml><?xml version="1.0" encoding="utf-8"?>
<Properties xmlns="http://schemas.openxmlformats.org/officeDocument/2006/custom-properties" xmlns:vt="http://schemas.openxmlformats.org/officeDocument/2006/docPropsVTypes"/>
</file>