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4920c059fbb30174083559887c6a6aa2839b0b4"/>
    <w:p>
      <w:pPr>
        <w:pStyle w:val="Heading1"/>
      </w:pPr>
      <w:r>
        <w:t xml:space="preserve">Orbit AI — Artifact Index &amp; Source-of-Truth Map</w:t>
      </w:r>
    </w:p>
    <w:p>
      <w:pPr>
        <w:pStyle w:val="FirstParagraph"/>
      </w:pPr>
      <w:r>
        <w:rPr>
          <w:iCs/>
          <w:i/>
        </w:rPr>
        <w:t xml:space="preserve">The map for the whole set. When something changes, change it in the artifact that "owns" it (below), then propagate. Hand this to Ace first.</w:t>
      </w:r>
    </w:p>
    <w:p>
      <w:r>
        <w:pict>
          <v:rect style="width:0;height:1.5pt" o:hralign="center" o:hrstd="t" o:hr="t"/>
        </w:pict>
      </w:r>
    </w:p>
    <w:bookmarkStart w:id="24" w:name="the-artifacts"/>
    <w:p>
      <w:pPr>
        <w:pStyle w:val="Heading2"/>
      </w:pPr>
      <w:r>
        <w:t xml:space="preserve">The artifacts</w:t>
      </w:r>
    </w:p>
    <w:bookmarkStart w:id="20" w:name="product"/>
    <w:p>
      <w:pPr>
        <w:pStyle w:val="Heading3"/>
      </w:pPr>
      <w:r>
        <w:t xml:space="preserve">Product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 (source of truth for)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orbit_ai_airlock_enrollment.jsx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Airlock app — enrollment, leak audit, Strategist Guru, website preview, receptionist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product experience &amp;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airlock-standalone.html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Hostable build of the app (drop on Cloudflare Pages / Netlify, rename to index.html)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you deploy/demo on a real domain</w:t>
            </w:r>
          </w:p>
        </w:tc>
      </w:tr>
    </w:tbl>
    <w:bookmarkEnd w:id="20"/>
    <w:bookmarkStart w:id="21" w:name="pricing--economics"/>
    <w:p>
      <w:pPr>
        <w:pStyle w:val="Heading3"/>
      </w:pPr>
      <w:r>
        <w:t xml:space="preserve">Pricing &amp; economics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 (source of truth for)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orbit-rate-card.xlsx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numeric source of truth.</w:t>
            </w:r>
            <w:r>
              <w:t xml:space="preserve"> </w:t>
            </w:r>
            <w:r>
              <w:t xml:space="preserve">11 products + tiers, floor/spread/split, markup ceiling, seat model, metered upsells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Every pricing number.</w:t>
            </w:r>
            <w:r>
              <w:t xml:space="preserve"> </w:t>
            </w:r>
            <w:r>
              <w:t xml:space="preserve">Change here first, then propagate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orbit_unit_economics.jsx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model — cost/client, build-vs-buy, floor/spread/split, volume decay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 modeling (derive the rate-card numbers here)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orbit-deals-desk-pricing.md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pricing clears — brokerage exchange, layered pricing, graduated split, the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</w:t>
            </w:r>
            <w:r>
              <w:t xml:space="preserve"> </w:t>
            </w:r>
            <w:r>
              <w:rPr>
                <w:iCs/>
                <w:i/>
              </w:rPr>
              <w:t xml:space="preserve">process</w:t>
            </w:r>
            <w:r>
              <w:t xml:space="preserve"> </w:t>
            </w:r>
            <w:r>
              <w:t xml:space="preserve">&amp; governance</w:t>
            </w:r>
          </w:p>
        </w:tc>
      </w:tr>
    </w:tbl>
    <w:bookmarkEnd w:id="21"/>
    <w:bookmarkStart w:id="22" w:name="operating-model--go-to-market"/>
    <w:p>
      <w:pPr>
        <w:pStyle w:val="Heading3"/>
      </w:pPr>
      <w:r>
        <w:t xml:space="preserve">Operating model &amp; go-to-market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 (source of truth for)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orbit-operating-model-hybrid.md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committed model</w:t>
            </w:r>
            <w:r>
              <w:t xml:space="preserve"> </w:t>
            </w:r>
            <w:r>
              <w:t xml:space="preserve">— two entities, 1099 network, segmentation, lock-in, sacred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structure &amp; GTM (supersedes §5 of the fulfillment doc)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orbit-fulfillment-partner-model.md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Agency wholesale structure — ownership matrix, data rights, tiers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Agency channel terms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orbit-enterprise-play.md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direct lane — consultative motion, value pricing, land-and-expand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/ portfolio / bilingual-direct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orbit-partner-deck.pptx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Outward-facing agency pitch (12 slides)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partners</w:t>
            </w:r>
            <w:r>
              <w:t xml:space="preserve"> </w:t>
            </w:r>
            <w:r>
              <w:rPr>
                <w:iCs/>
                <w:i/>
              </w:rPr>
              <w:t xml:space="preserve">see</w:t>
            </w:r>
            <w:r>
              <w:t xml:space="preserve"> </w:t>
            </w:r>
            <w:r>
              <w:t xml:space="preserve">— never internal mechanics</w:t>
            </w:r>
          </w:p>
        </w:tc>
      </w:tr>
    </w:tbl>
    <w:bookmarkEnd w:id="22"/>
    <w:bookmarkStart w:id="23" w:name="growth"/>
    <w:p>
      <w:pPr>
        <w:pStyle w:val="Heading3"/>
      </w:pPr>
      <w:r>
        <w:t xml:space="preserve">Growth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 (source of truth for)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orbit-contributor-program.md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co-creation — rev-share/credits/beta, IP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contribution terms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rules-of-the-road"/>
    <w:p>
      <w:pPr>
        <w:pStyle w:val="Heading2"/>
      </w:pPr>
      <w:r>
        <w:t xml:space="preserve">Rules of the road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rate card (</w:t>
      </w:r>
      <w:r>
        <w:rPr>
          <w:rStyle w:val="VerbatimChar"/>
          <w:bCs/>
          <w:b/>
        </w:rPr>
        <w:t xml:space="preserve">.xlsx</w:t>
      </w:r>
      <w:r>
        <w:rPr>
          <w:bCs/>
          <w:b/>
        </w:rPr>
        <w:t xml:space="preserve">) is the only place numbers live.</w:t>
      </w:r>
      <w:r>
        <w:t xml:space="preserve"> </w:t>
      </w:r>
      <w:r>
        <w:t xml:space="preserve">The deck, the calculator, and every doc</w:t>
      </w:r>
      <w:r>
        <w:t xml:space="preserve"> </w:t>
      </w:r>
      <w:r>
        <w:rPr>
          <w:iCs/>
          <w:i/>
        </w:rPr>
        <w:t xml:space="preserve">reference</w:t>
      </w:r>
      <w:r>
        <w:t xml:space="preserve"> </w:t>
      </w:r>
      <w:r>
        <w:t xml:space="preserve">it. When a price, floor, or split changes, change it there first.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hybrid operating model is the law on structure &amp; GTM.</w:t>
      </w:r>
      <w:r>
        <w:t xml:space="preserve"> </w:t>
      </w:r>
      <w:r>
        <w:t xml:space="preserve">It supersedes Section 5 of the fulfillment doc. If two docs disagree on structure, the operating model wins.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deck is outward-only.</w:t>
      </w:r>
      <w:r>
        <w:t xml:space="preserve"> </w:t>
      </w:r>
      <w:r>
        <w:t xml:space="preserve">Partners see "access + your markup." The floor/spread, entity structure, and Deals Desk mechanics live in the operating-model and deals-desk docs — never put them in the deck.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Every number is illustrative until set in the rate card.</w:t>
      </w:r>
      <w:r>
        <w:t xml:space="preserve"> </w:t>
      </w:r>
      <w:r>
        <w:t xml:space="preserve">Don't quote a partner or client a figure that hasn't been validated there.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Read order for Ace:</w:t>
      </w:r>
      <w:r>
        <w:t xml:space="preserve"> </w:t>
      </w:r>
      <w:r>
        <w:t xml:space="preserve">operating model → rate card → deals-desk → channel docs (fulfillment + enterprise) → deck → contributor program. The app + standalone are the product itself.</w:t>
      </w:r>
    </w:p>
    <w:p>
      <w:r>
        <w:pict>
          <v:rect style="width:0;height:1.5pt" o:hralign="center" o:hrstd="t" o:hr="t"/>
        </w:pict>
      </w:r>
    </w:p>
    <w:bookmarkEnd w:id="25"/>
    <w:bookmarkStart w:id="26" w:name="open-decisions--still-needs-you-not-me"/>
    <w:p>
      <w:pPr>
        <w:pStyle w:val="Heading2"/>
      </w:pPr>
      <w:r>
        <w:t xml:space="preserve">Open decisions / still needs you (not me)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Finalize the floor numbers</w:t>
      </w:r>
      <w:r>
        <w:t xml:space="preserve"> </w:t>
      </w:r>
      <w:r>
        <w:t xml:space="preserve">in the rate card (true cost + platform + management), then propagate to deck &amp; docs.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Commit the entity structure with a CPA + attorney</w:t>
      </w:r>
      <w:r>
        <w:t xml:space="preserve"> </w:t>
      </w:r>
      <w:r>
        <w:t xml:space="preserve">— two arm's-length LLCs, transfer pricing, and</w:t>
      </w:r>
      <w:r>
        <w:t xml:space="preserve"> </w:t>
      </w:r>
      <w:r>
        <w:rPr>
          <w:bCs/>
          <w:b/>
        </w:rPr>
        <w:t xml:space="preserve">1099 classification</w:t>
      </w:r>
      <w:r>
        <w:t xml:space="preserve"> </w:t>
      </w:r>
      <w:r>
        <w:t xml:space="preserve">for the sales network.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Scope the Customer Portal build</w:t>
      </w:r>
      <w:r>
        <w:t xml:space="preserve"> </w:t>
      </w:r>
      <w:r>
        <w:t xml:space="preserve">— it's real software with support obligations, not a config; run it through build-vs-buy.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Productize the Deals Desk</w:t>
      </w:r>
      <w:r>
        <w:t xml:space="preserve"> </w:t>
      </w:r>
      <w:r>
        <w:t xml:space="preserve">— published rate card auto-clears standard deals; humans handle only exceptions, or it bottlenecks.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Paper the contributor IP terms</w:t>
      </w:r>
      <w:r>
        <w:t xml:space="preserve"> </w:t>
      </w:r>
      <w:r>
        <w:t xml:space="preserve">— ownership up front, caps, time-boxing, novelty/attribution gate.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Data-rights DPA</w:t>
      </w:r>
      <w:r>
        <w:t xml:space="preserve"> </w:t>
      </w:r>
      <w:r>
        <w:t xml:space="preserve">— the clause that keeps the aggregate-data flywheel yours.</w:t>
      </w:r>
    </w:p>
    <w:p>
      <w:pPr>
        <w:pStyle w:val="FirstParagraph"/>
      </w:pPr>
      <w:r>
        <w:rPr>
          <w:iCs/>
          <w:i/>
        </w:rPr>
        <w:t xml:space="preserve">GTM lane is already committed: agencies = SMB; Orbit-direct = bilingual, enterprise, and portfolio.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2026-06-03T08:34:02Z</dcterms:created>
  <dcterms:modified xsi:type="dcterms:W3CDTF">2026-06-03T08:34:02Z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