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21e59037f78984f1b56c5820af98558f776a19"/>
    <w:p>
      <w:pPr>
        <w:pStyle w:val="Heading1"/>
      </w:pPr>
      <w:r>
        <w:t xml:space="preserve">Orbit AI — Deals Desk &amp; Pricing Architecture</w:t>
      </w:r>
    </w:p>
    <w:p>
      <w:pPr>
        <w:pStyle w:val="FirstParagraph"/>
      </w:pPr>
      <w:r>
        <w:rPr>
          <w:iCs/>
          <w:i/>
        </w:rPr>
        <w:t xml:space="preserve">Refines the pricing in the Operating Model. All figures illustrative — set the real rate card with the calculator.</w:t>
      </w:r>
    </w:p>
    <w:p>
      <w:r>
        <w:pict>
          <v:rect style="width:0;height:1.5pt" o:hralign="center" o:hrstd="t" o:hr="t"/>
        </w:pict>
      </w:r>
    </w:p>
    <w:bookmarkStart w:id="20" w:name="Xf88d623be7f5126024d107d76e3625b9b895d00"/>
    <w:p>
      <w:pPr>
        <w:pStyle w:val="Heading2"/>
      </w:pPr>
      <w:r>
        <w:t xml:space="preserve">1. Pricing has three layers (not one "per client" fee)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· Co-op access fee</w:t>
            </w:r>
            <w:r>
              <w:t xml:space="preserve"> </w:t>
            </w:r>
            <w:r>
              <w:t xml:space="preserve">(per client /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membership — being</w:t>
            </w:r>
            <w:r>
              <w:t xml:space="preserve"> </w:t>
            </w:r>
            <w:r>
              <w:rPr>
                <w:iCs/>
                <w:i/>
              </w:rPr>
              <w:t xml:space="preserve">on the network</w:t>
            </w:r>
            <w:r>
              <w:t xml:space="preserve">. Covers dashboard, CRM, rails.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 (by partner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· Product wholesale</w:t>
            </w:r>
            <w:r>
              <w:t xml:space="preserve"> </w:t>
            </w:r>
            <w:r>
              <w:t xml:space="preserve">(per client / mo, à la carte)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product priced on its own:</w:t>
            </w:r>
            <w:r>
              <w:t xml:space="preserve"> </w:t>
            </w:r>
            <w:r>
              <w:rPr>
                <w:bCs/>
                <w:b/>
              </w:rPr>
              <w:t xml:space="preserve">AI Receptionist</w:t>
            </w:r>
            <w:r>
              <w:t xml:space="preserve"> </w:t>
            </w:r>
            <w:r>
              <w:t xml:space="preserve">(base + pooled minutes),</w:t>
            </w:r>
            <w:r>
              <w:t xml:space="preserve"> </w:t>
            </w:r>
            <w:r>
              <w:rPr>
                <w:bCs/>
                <w:b/>
              </w:rPr>
              <w:t xml:space="preserve">Chatbot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Website</w:t>
            </w:r>
            <w:r>
              <w:t xml:space="preserve">. Client buys what they want.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 (wholesale 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· The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− (access + wholesale). The commissionable margin.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producer's markup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Retail = Co-op access + Product wholesale + Spread.</w:t>
      </w:r>
    </w:p>
    <w:p>
      <w:pPr>
        <w:pStyle w:val="BodyText"/>
      </w:pPr>
      <w:r>
        <w:t xml:space="preserve">Illustrative rate card (per client / mo): access $39 · receptionist $49 + minutes · chatbot $19 · website</w:t>
      </w:r>
      <w:r>
        <w:t xml:space="preserve"> </w:t>
      </w:r>
      <m:oMath>
        <m:r>
          <m:t>29</m:t>
        </m:r>
        <m:r>
          <m:rPr>
            <m:sty m:val="p"/>
          </m:rPr>
          <m:t>.</m:t>
        </m:r>
        <m:r>
          <m:t>A</m:t>
        </m:r>
        <m:r>
          <m:t>c</m:t>
        </m:r>
        <m:r>
          <m:t>l</m:t>
        </m:r>
        <m:r>
          <m:t>i</m:t>
        </m:r>
        <m:r>
          <m:t>e</m:t>
        </m:r>
        <m:r>
          <m:t>n</m:t>
        </m:r>
        <m:r>
          <m:t>t</m:t>
        </m:r>
        <m:r>
          <m:t>o</m:t>
        </m:r>
        <m:r>
          <m:t>n</m:t>
        </m:r>
        <m:r>
          <m:t>a</m:t>
        </m:r>
        <m:r>
          <m:t>l</m:t>
        </m:r>
        <m:r>
          <m:t>l</m:t>
        </m:r>
        <m:r>
          <m:t>t</m:t>
        </m:r>
        <m:r>
          <m:t>h</m:t>
        </m:r>
        <m:r>
          <m:t>r</m:t>
        </m:r>
        <m:r>
          <m:t>e</m:t>
        </m:r>
        <m:r>
          <m:t>e</m:t>
        </m:r>
        <m:r>
          <m:t>c</m:t>
        </m:r>
        <m:r>
          <m:t>a</m:t>
        </m:r>
        <m:r>
          <m:t>r</m:t>
        </m:r>
        <m:r>
          <m:t>r</m:t>
        </m:r>
        <m:r>
          <m:t>i</m:t>
        </m:r>
        <m:r>
          <m:t>e</m:t>
        </m:r>
        <m:r>
          <m:t>s</m:t>
        </m:r>
        <m:r>
          <m:t> </m:t>
        </m:r>
      </m:oMath>
      <w:r>
        <w:t xml:space="preserve">136 of access+wholesale; at a</w:t>
      </w:r>
      <w:r>
        <w:t xml:space="preserve"> </w:t>
      </w:r>
      <m:oMath>
        <m:r>
          <m:t>397</m:t>
        </m:r>
        <m:r>
          <m:t>r</m:t>
        </m:r>
        <m:r>
          <m:t>e</m:t>
        </m:r>
        <m:r>
          <m:t>t</m:t>
        </m:r>
        <m:r>
          <m:t>a</m:t>
        </m:r>
        <m:r>
          <m:t>i</m:t>
        </m:r>
        <m:r>
          <m:t>l</m:t>
        </m:r>
        <m:r>
          <m:t>t</m:t>
        </m:r>
        <m:r>
          <m:t>h</m:t>
        </m:r>
        <m:r>
          <m:t>e</m:t>
        </m:r>
        <m:r>
          <m:t>s</m:t>
        </m:r>
        <m:r>
          <m:t>p</m:t>
        </m:r>
        <m:r>
          <m:t>r</m:t>
        </m:r>
        <m:r>
          <m:t>e</m:t>
        </m:r>
        <m:r>
          <m:t>a</m:t>
        </m:r>
        <m:r>
          <m:t>d</m:t>
        </m:r>
        <m:r>
          <m:t>i</m:t>
        </m:r>
        <m:r>
          <m:t>s</m:t>
        </m:r>
        <m:r>
          <m:t> </m:t>
        </m:r>
      </m:oMath>
      <w:r>
        <w:t xml:space="preserve">261 — and the spread is the only thing that ever splits.</w:t>
      </w:r>
    </w:p>
    <w:p>
      <w:r>
        <w:pict>
          <v:rect style="width:0;height:1.5pt" o:hralign="center" o:hrstd="t" o:hr="t"/>
        </w:pict>
      </w:r>
    </w:p>
    <w:bookmarkEnd w:id="20"/>
    <w:bookmarkStart w:id="21" w:name="X99e244fe944c8c777067e7f46eb089637afeb29"/>
    <w:p>
      <w:pPr>
        <w:pStyle w:val="Heading2"/>
      </w:pPr>
      <w:r>
        <w:t xml:space="preserve">2. The Deals Desk = your brokerage exchange</w:t>
      </w:r>
    </w:p>
    <w:p>
      <w:pPr>
        <w:pStyle w:val="FirstParagraph"/>
      </w:pPr>
      <w:r>
        <w:t xml:space="preserve">Model it on a brokerage (freight / real-estate): producers bring deals, the Desk clears them at wholesale, the spread is split. The Desk's cut covers platform, fulfillment, technology, and bad debt — exactly what a brokerage's split covers.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source of truth.</w:t>
      </w:r>
      <w:r>
        <w:t xml:space="preserve"> </w:t>
      </w:r>
      <w:r>
        <w:t xml:space="preserve">Every pricing request and every fulfillment order routes through the Desk — one ledger, no pricing conflict, no margin leakage.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Neutral utility.</w:t>
      </w:r>
      <w:r>
        <w:t xml:space="preserve"> </w:t>
      </w:r>
      <w:r>
        <w:t xml:space="preserve">It's the Fulfillment Co.: it charges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floor (access + wholesale) to your own reps and to agencies. No preferential pricing.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"100% net positive."</w:t>
      </w:r>
      <w:r>
        <w:t xml:space="preserve"> </w:t>
      </w:r>
      <w:r>
        <w:t xml:space="preserve">The Desk never clears below the floor. The floor is its veto, so every cleared deal is margin-positive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producer is paid.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Centralized fulfillment + service.</w:t>
      </w:r>
      <w:r>
        <w:t xml:space="preserve"> </w:t>
      </w:r>
      <w:r>
        <w:t xml:space="preserve">Producers sell and account-manage; the Desk builds and runs. One service engine, not many.</w:t>
      </w:r>
    </w:p>
    <w:p>
      <w:r>
        <w:pict>
          <v:rect style="width:0;height:1.5pt" o:hralign="center" o:hrstd="t" o:hr="t"/>
        </w:pict>
      </w:r>
    </w:p>
    <w:bookmarkEnd w:id="21"/>
    <w:bookmarkStart w:id="22" w:name="X0163727d8b8031a66ce83d2ca25df8e9bb6f27b"/>
    <w:p>
      <w:pPr>
        <w:pStyle w:val="Heading2"/>
      </w:pPr>
      <w:r>
        <w:t xml:space="preserve">3. Who clears through the Desk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client?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rep</w:t>
            </w:r>
            <w:r>
              <w:t xml:space="preserve"> </w:t>
            </w:r>
            <w:r>
              <w:t xml:space="preserve">(1099)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of the spread (graduated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manager / customer success for their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Agency</w:t>
            </w:r>
            <w:r>
              <w:t xml:space="preserve"> </w:t>
            </w:r>
            <w:r>
              <w:t xml:space="preserve">(channel)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markup (spread above wholesale)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relationship + retail price</w:t>
            </w:r>
          </w:p>
        </w:tc>
      </w:tr>
    </w:tbl>
    <w:p>
      <w:pPr>
        <w:pStyle w:val="BodyText"/>
      </w:pPr>
      <w:r>
        <w:t xml:space="preserve">Segmented per the operating model: agencies work</w:t>
      </w:r>
      <w:r>
        <w:t xml:space="preserve"> </w:t>
      </w:r>
      <w:r>
        <w:rPr>
          <w:bCs/>
          <w:b/>
        </w:rPr>
        <w:t xml:space="preserve">SMB</w:t>
      </w:r>
      <w:r>
        <w:t xml:space="preserve">; direct reps + Orbit work</w:t>
      </w:r>
      <w:r>
        <w:t xml:space="preserve"> </w:t>
      </w:r>
      <w:r>
        <w:rPr>
          <w:bCs/>
          <w:b/>
        </w:rPr>
        <w:t xml:space="preserve">bilingual, enterprise, and portfolio</w:t>
      </w:r>
      <w:r>
        <w:t xml:space="preserve">. The Desk enforces that split and owns the</w:t>
      </w:r>
      <w:r>
        <w:t xml:space="preserve"> </w:t>
      </w:r>
      <w:r>
        <w:rPr>
          <w:bCs/>
          <w:b/>
        </w:rPr>
        <w:t xml:space="preserve">house-account registry</w:t>
      </w:r>
      <w:r>
        <w:t xml:space="preserve"> </w:t>
      </w:r>
      <w:r>
        <w:t xml:space="preserve">that prevents two producers chasing the same client.</w:t>
      </w:r>
    </w:p>
    <w:p>
      <w:r>
        <w:pict>
          <v:rect style="width:0;height:1.5pt" o:hralign="center" o:hrstd="t" o:hr="t"/>
        </w:pict>
      </w:r>
    </w:p>
    <w:bookmarkEnd w:id="22"/>
    <w:bookmarkStart w:id="23" w:name="X466878f6530c433fa3a60600048000a9b14ce13"/>
    <w:p>
      <w:pPr>
        <w:pStyle w:val="Heading2"/>
      </w:pPr>
      <w:r>
        <w:t xml:space="preserve">4. Graduated split — the take-rate compresses with volume</w:t>
      </w:r>
    </w:p>
    <w:p>
      <w:pPr>
        <w:pStyle w:val="FirstParagraph"/>
      </w:pPr>
      <w:r>
        <w:t xml:space="preserve">Like a brokerage cap: the platform's</w:t>
      </w:r>
      <w:r>
        <w:t xml:space="preserve"> </w:t>
      </w:r>
      <w:r>
        <w:rPr>
          <w:bCs/>
          <w:b/>
        </w:rPr>
        <w:t xml:space="preserve">percentage</w:t>
      </w:r>
      <w:r>
        <w:t xml:space="preserve"> </w:t>
      </w:r>
      <w:r>
        <w:t xml:space="preserve">take falls as a producer's volume grows, while absolute dollars keep rising. Rewards production and locks in loyalty.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Producer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share of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</w:tbl>
    <w:p>
      <w:pPr>
        <w:pStyle w:val="BodyText"/>
      </w:pPr>
      <w:r>
        <w:rPr>
          <w:iCs/>
          <w:i/>
        </w:rPr>
        <w:t xml:space="preserve">Illustrative.</w:t>
      </w:r>
      <w:r>
        <w:t xml:space="preserve"> </w:t>
      </w:r>
      <w:r>
        <w:rPr>
          <w:bCs/>
          <w:b/>
        </w:rPr>
        <w:t xml:space="preserve">Rule:</w:t>
      </w:r>
      <w:r>
        <w:t xml:space="preserve"> </w:t>
      </w:r>
      <w:r>
        <w:t xml:space="preserve">the compression must be outpaced by volume growth, so platform absolute margin always rises. Tie these bands to the same volume bands as the floor decay in the calculator.</w:t>
      </w:r>
    </w:p>
    <w:p>
      <w:r>
        <w:pict>
          <v:rect style="width:0;height:1.5pt" o:hralign="center" o:hrstd="t" o:hr="t"/>
        </w:pict>
      </w:r>
    </w:p>
    <w:bookmarkEnd w:id="23"/>
    <w:bookmarkStart w:id="24" w:name="X20461d39dd343b26a205d71f24c881188ef9cf9"/>
    <w:p>
      <w:pPr>
        <w:pStyle w:val="Heading2"/>
      </w:pPr>
      <w:r>
        <w:t xml:space="preserve">5. Get this right (honest)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Productize standard pricing or the Desk becomes a bottleneck.</w:t>
      </w:r>
      <w:r>
        <w:t xml:space="preserve"> </w:t>
      </w:r>
      <w:r>
        <w:t xml:space="preserve">Publish a rate card; standard SMB deals auto-clear by rule (self-serve). The human Desk handles only non-standard / custom / enterprise pricing, exceptions, and conflict resolution — never every transaction. A desk that manually touches every SMB deal cannot scale.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floor is the only inviolable rule.</w:t>
      </w:r>
      <w:r>
        <w:t xml:space="preserve"> </w:t>
      </w:r>
      <w:r>
        <w:t xml:space="preserve">Never clear below it — that's what makes "100% net positive" true.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registry is the Desk's referee tool.</w:t>
      </w:r>
      <w:r>
        <w:t xml:space="preserve"> </w:t>
      </w:r>
      <w:r>
        <w:t xml:space="preserve">Centralized pricing is what lets it catch channel conflict before it happens; the segmentation rules and house-account list live inside the Desk.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 the compression with volume.</w:t>
      </w:r>
      <w:r>
        <w:t xml:space="preserve"> </w:t>
      </w:r>
      <w:r>
        <w:t xml:space="preserve">Model the graduated split against real volume bands so the platform's absolute margin grows even as its percentage shrinks.</w:t>
      </w:r>
    </w:p>
    <w:p>
      <w:r>
        <w:pict>
          <v:rect style="width:0;height:1.5pt" o:hralign="center" o:hrstd="t" o:hr="t"/>
        </w:pict>
      </w:r>
    </w:p>
    <w:bookmarkEnd w:id="24"/>
    <w:bookmarkStart w:id="25" w:name="money-flow"/>
    <w:p>
      <w:pPr>
        <w:pStyle w:val="Heading2"/>
      </w:pPr>
      <w:r>
        <w:t xml:space="preserve">Money flow</w:t>
      </w:r>
    </w:p>
    <w:p>
      <w:pPr>
        <w:pStyle w:val="BlockText"/>
      </w:pPr>
      <w:r>
        <w:t xml:space="preserve">A producer brings a deal. The</w:t>
      </w:r>
      <w:r>
        <w:t xml:space="preserve"> </w:t>
      </w:r>
      <w:r>
        <w:rPr>
          <w:bCs/>
          <w:b/>
        </w:rPr>
        <w:t xml:space="preserve">Deals Desk prices it off the wholesale book</w:t>
      </w:r>
      <w:r>
        <w:t xml:space="preserve"> </w:t>
      </w:r>
      <w:r>
        <w:t xml:space="preserve">(access + product wholesale = the floor) and</w:t>
      </w:r>
      <w:r>
        <w:t xml:space="preserve"> </w:t>
      </w:r>
      <w:r>
        <w:rPr>
          <w:bCs/>
          <w:b/>
        </w:rPr>
        <w:t xml:space="preserve">never clears below it</w:t>
      </w:r>
      <w:r>
        <w:t xml:space="preserve">. The</w:t>
      </w:r>
      <w:r>
        <w:t xml:space="preserve"> </w:t>
      </w:r>
      <w:r>
        <w:rPr>
          <w:bCs/>
          <w:b/>
        </w:rPr>
        <w:t xml:space="preserve">spread above</w:t>
      </w:r>
      <w:r>
        <w:t xml:space="preserve"> </w:t>
      </w:r>
      <w:r>
        <w:t xml:space="preserve">is split — 50/50 for direct reps (improving with volume), the agency's markup for channel. The Desk takes its guaranteed floor first and its share of the spread second; the producer is paid from what's left. Standard deals clear automatically by rate card; only exceptions reach a human.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2026-06-03T08:34:02Z</dcterms:created>
  <dcterms:modified xsi:type="dcterms:W3CDTF">2026-06-03T08:34:02Z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