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orbit-ai--fulfillment-partner-model"/>
    <w:p>
      <w:pPr>
        <w:pStyle w:val="Heading1"/>
      </w:pPr>
      <w:r>
        <w:t xml:space="preserve">Orbit AI — Fulfillment-Partner Model</w:t>
      </w:r>
    </w:p>
    <w:p>
      <w:pPr>
        <w:pStyle w:val="FirstParagraph"/>
      </w:pPr>
      <w:r>
        <w:rPr>
          <w:bCs/>
          <w:b/>
        </w:rPr>
        <w:t xml:space="preserve">White-label wholesale for agencies, structured so the moat stays on your rails.</w:t>
      </w:r>
    </w:p>
    <w:p>
      <w:pPr>
        <w:pStyle w:val="BodyText"/>
      </w:pPr>
      <w:r>
        <w:rPr>
          <w:iCs/>
          <w:i/>
        </w:rPr>
        <w:t xml:space="preserve">All pricing below is an illustrative starting point built on the real cost base we modeled (Telnyx voice ≈ $0.05/min bundled; site + chatbot generation ≈ cents). Adjust to your actual rates before you quote anyone.</w:t>
      </w:r>
    </w:p>
    <w:p>
      <w:r>
        <w:pict>
          <v:rect style="width:0;height:1.5pt" o:hralign="center" o:hrstd="t" o:hr="t"/>
        </w:pict>
      </w:r>
    </w:p>
    <w:bookmarkStart w:id="20" w:name="Xc282d217b483521dc0e680de6191c685e8f9f1b"/>
    <w:p>
      <w:pPr>
        <w:pStyle w:val="Heading2"/>
      </w:pPr>
      <w:r>
        <w:t xml:space="preserve">1. The model in one line</w:t>
      </w:r>
    </w:p>
    <w:p>
      <w:pPr>
        <w:pStyle w:val="FirstParagraph"/>
      </w:pPr>
      <w:r>
        <w:t xml:space="preserve">Agencies sell the Airlock stack (bilingual AI receptionist + website + chatbot + CRM) to their SMB clients under</w:t>
      </w:r>
      <w:r>
        <w:t xml:space="preserve"> </w:t>
      </w:r>
      <w:r>
        <w:rPr>
          <w:bCs/>
          <w:b/>
        </w:rPr>
        <w:t xml:space="preserve">their own brand</w:t>
      </w:r>
      <w:r>
        <w:t xml:space="preserve">. Orbit fulfills everything behind the scenes and runs it on Orbit's platform. The agency owns the customer; Orbit owns the rails and the data flywheel.</w:t>
      </w:r>
    </w:p>
    <w:p>
      <w:pPr>
        <w:pStyle w:val="BodyText"/>
      </w:pPr>
      <w:r>
        <w:t xml:space="preserve">The whole game is</w:t>
      </w:r>
      <w:r>
        <w:t xml:space="preserve"> </w:t>
      </w:r>
      <w:r>
        <w:rPr>
          <w:bCs/>
          <w:b/>
        </w:rPr>
        <w:t xml:space="preserve">who owns what</w:t>
      </w:r>
      <w:r>
        <w:t xml:space="preserve">. Get that right and you become infrastructure (defensible). Get it wrong and you're a swappable build shop (commodity).</w:t>
      </w:r>
    </w:p>
    <w:p>
      <w:r>
        <w:pict>
          <v:rect style="width:0;height:1.5pt" o:hralign="center" o:hrstd="t" o:hr="t"/>
        </w:pict>
      </w:r>
    </w:p>
    <w:bookmarkEnd w:id="20"/>
    <w:bookmarkStart w:id="21" w:name="Xb534a18e7e217e195335019870640fbea03d84a"/>
    <w:p>
      <w:pPr>
        <w:pStyle w:val="Heading2"/>
      </w:pPr>
      <w:r>
        <w:t xml:space="preserve">2. Ownership matrix — the most important page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 owns /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relationship, retail billing, brand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White-label dashboard &amp;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(branded)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is Orbit's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SMB's domain &amp; 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to agency/SMB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provisioned through Orbit's Telnyx</w:t>
            </w:r>
            <w:r>
              <w:t xml:space="preserve"> </w:t>
            </w:r>
            <w:r>
              <w:t xml:space="preserve">(lives on your rails)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code &amp;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while subscribed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+ hosted on Orbit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SMB's raw lead/CRM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(their data, exportable)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 record is Orbit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Receptionist persona / scripts (their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Orbit's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Aggregate, de-identified call &amp; outcome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Orbit — this is the flywheel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knowledge base, agent logic, integrations, model tuning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Orbit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principle:</w:t>
      </w:r>
      <w:r>
        <w:t xml:space="preserve"> </w:t>
      </w:r>
      <w:r>
        <w:t xml:space="preserve">the agency keeps everything client-facing and their own data. Orbit keeps the</w:t>
      </w:r>
      <w:r>
        <w:t xml:space="preserve"> </w:t>
      </w:r>
      <w:r>
        <w:rPr>
          <w:iCs/>
          <w:i/>
        </w:rPr>
        <w:t xml:space="preserve">platform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aggregate intelligence</w:t>
      </w:r>
      <w:r>
        <w:t xml:space="preserve">. They can leave with their data; they cannot leave with the intelligence trained across every agency.</w:t>
      </w:r>
    </w:p>
    <w:p>
      <w:r>
        <w:pict>
          <v:rect style="width:0;height:1.5pt" o:hralign="center" o:hrstd="t" o:hr="t"/>
        </w:pict>
      </w:r>
    </w:p>
    <w:bookmarkEnd w:id="21"/>
    <w:bookmarkStart w:id="22" w:name="Xcfecf05825cdfefaad3a746df7e1d3315499dd8"/>
    <w:p>
      <w:pPr>
        <w:pStyle w:val="Heading2"/>
      </w:pPr>
      <w:r>
        <w:t xml:space="preserve">3. Data rights — keeping the flywheel yours</w:t>
      </w:r>
    </w:p>
    <w:p>
      <w:pPr>
        <w:pStyle w:val="FirstParagraph"/>
      </w:pPr>
      <w:r>
        <w:t xml:space="preserve">Put this in plain language in the agreement (and in your DPA):</w:t>
      </w:r>
    </w:p>
    <w:p>
      <w:pPr>
        <w:numPr>
          <w:ilvl w:val="0"/>
          <w:numId w:val="1001"/>
        </w:numPr>
        <w:pStyle w:val="Compact"/>
      </w:pPr>
      <w:r>
        <w:t xml:space="preserve">The agency and its SMB clients</w:t>
      </w:r>
      <w:r>
        <w:t xml:space="preserve"> </w:t>
      </w:r>
      <w:r>
        <w:rPr>
          <w:bCs/>
          <w:b/>
        </w:rPr>
        <w:t xml:space="preserve">own their raw data</w:t>
      </w:r>
      <w:r>
        <w:t xml:space="preserve"> </w:t>
      </w:r>
      <w:r>
        <w:t xml:space="preserve">— leads, transcripts, recordings. They can export it in standard formats at any time. (Non-negotiable for trust.)</w:t>
      </w:r>
    </w:p>
    <w:p>
      <w:pPr>
        <w:numPr>
          <w:ilvl w:val="0"/>
          <w:numId w:val="1001"/>
        </w:numPr>
        <w:pStyle w:val="Compact"/>
      </w:pPr>
      <w:r>
        <w:t xml:space="preserve">Orbit retains a</w:t>
      </w:r>
      <w:r>
        <w:t xml:space="preserve"> </w:t>
      </w:r>
      <w:r>
        <w:rPr>
          <w:bCs/>
          <w:b/>
        </w:rPr>
        <w:t xml:space="preserve">perpetual, irrevocable license to use de-identified and aggregated data</w:t>
      </w:r>
      <w:r>
        <w:t xml:space="preserve"> </w:t>
      </w:r>
      <w:r>
        <w:t xml:space="preserve">to operate and improve the platform, agents, and vertical knowledge base. Standard SaaS language — and it's the entire moat.</w:t>
      </w:r>
    </w:p>
    <w:p>
      <w:pPr>
        <w:numPr>
          <w:ilvl w:val="0"/>
          <w:numId w:val="1001"/>
        </w:numPr>
        <w:pStyle w:val="Compact"/>
      </w:pPr>
      <w:r>
        <w:t xml:space="preserve">On churn: they export raw data; the</w:t>
      </w:r>
      <w:r>
        <w:t xml:space="preserve"> </w:t>
      </w:r>
      <w:r>
        <w:rPr>
          <w:bCs/>
          <w:b/>
        </w:rPr>
        <w:t xml:space="preserve">trained agents, aggregate-tuned scripts, and platform stay with Orbit.</w:t>
      </w:r>
      <w:r>
        <w:t xml:space="preserve"> </w:t>
      </w:r>
      <w:r>
        <w:t xml:space="preserve">They leave with their contacts, not your brain.</w:t>
      </w:r>
    </w:p>
    <w:p>
      <w:pPr>
        <w:pStyle w:val="FirstParagraph"/>
      </w:pPr>
      <w:r>
        <w:t xml:space="preserve">That single asymmetry — they own raw data, you own aggregate learning — is what turns "fulfillment vendor" into "infrastructure."</w:t>
      </w:r>
    </w:p>
    <w:p>
      <w:r>
        <w:pict>
          <v:rect style="width:0;height:1.5pt" o:hralign="center" o:hrstd="t" o:hr="t"/>
        </w:pict>
      </w:r>
    </w:p>
    <w:bookmarkEnd w:id="22"/>
    <w:bookmarkStart w:id="23" w:name="X93159a9b3122042354e92d0b5194f610dd66ccb"/>
    <w:p>
      <w:pPr>
        <w:pStyle w:val="Heading2"/>
      </w:pPr>
      <w:r>
        <w:t xml:space="preserve">4. Wholesale pricing (what the agency pays Orbit)</w:t>
      </w:r>
    </w:p>
    <w:p>
      <w:pPr>
        <w:pStyle w:val="FirstParagraph"/>
      </w:pPr>
      <w:r>
        <w:t xml:space="preserve">Two-layer logic: a</w:t>
      </w:r>
      <w:r>
        <w:t xml:space="preserve"> </w:t>
      </w:r>
      <w:r>
        <w:rPr>
          <w:bCs/>
          <w:b/>
        </w:rPr>
        <w:t xml:space="preserve">value-based platform + per-client fee</w:t>
      </w:r>
      <w:r>
        <w:t xml:space="preserve"> </w:t>
      </w:r>
      <w:r>
        <w:t xml:space="preserve">(where your margin lives) and</w:t>
      </w:r>
      <w:r>
        <w:t xml:space="preserve"> </w:t>
      </w:r>
      <w:r>
        <w:rPr>
          <w:bCs/>
          <w:b/>
        </w:rPr>
        <w:t xml:space="preserve">near-pass-through voice minutes at cost +10%</w:t>
      </w:r>
      <w:r>
        <w:t xml:space="preserve"> </w:t>
      </w:r>
      <w:r>
        <w:t xml:space="preserve">(the co-op transparency layer — accessibility without starving margin). Volume lowers their per-unit cost as they grow (the legitimate co-op benefit).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SMB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managed client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voice min incl.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/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+ custom voices, priority builds, dedicated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Per-managed-client fee covers:</w:t>
      </w:r>
      <w:r>
        <w:t xml:space="preserve"> </w:t>
      </w:r>
      <w:r>
        <w:t xml:space="preserve">generated + hosted website, chatbot, receptionist configuration, CRM sync, and the white-label dashboard.</w:t>
      </w:r>
      <w:r>
        <w:t xml:space="preserve"> </w:t>
      </w:r>
      <w:r>
        <w:rPr>
          <w:bCs/>
          <w:b/>
        </w:rPr>
        <w:t xml:space="preserve">Voice minutes are pooled across all the agency's clients</w:t>
      </w:r>
      <w:r>
        <w:t xml:space="preserve"> </w:t>
      </w:r>
      <w:r>
        <w:t xml:space="preserve">and billed at roughly your Telnyx cost +10%.</w:t>
      </w:r>
    </w:p>
    <w:p>
      <w:pPr>
        <w:pStyle w:val="BodyText"/>
      </w:pPr>
      <w:r>
        <w:rPr>
          <w:bCs/>
          <w:b/>
        </w:rPr>
        <w:t xml:space="preserve">Margin sanity check (Launch tier):</w:t>
      </w:r>
      <w:r>
        <w:t xml:space="preserve"> </w:t>
      </w:r>
      <w:r>
        <w:t xml:space="preserve">per-client base $39 vs. your true recurring cost ≈</w:t>
      </w:r>
      <w:r>
        <w:t xml:space="preserve"> </w:t>
      </w:r>
      <m:oMath>
        <m:r>
          <m:t>2.50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t>o</m:t>
            </m:r>
            <m:r>
              <m:t>s</m:t>
            </m:r>
            <m:r>
              <m:t>t</m:t>
            </m:r>
            <m:r>
              <m:t>i</m:t>
            </m:r>
            <m:r>
              <m:t>n</m:t>
            </m:r>
            <m:r>
              <m:t>g</m:t>
            </m:r>
            <m:r>
              <m:rPr>
                <m:sty m:val="p"/>
              </m:rPr>
              <m:t>+</m:t>
            </m:r>
            <m:r>
              <m:t>c</m:t>
            </m:r>
            <m:r>
              <m:t>h</m:t>
            </m:r>
            <m:r>
              <m:t>a</m:t>
            </m:r>
            <m:r>
              <m:t>t</m:t>
            </m:r>
            <m:r>
              <m:t>b</m:t>
            </m:r>
            <m:r>
              <m:t>o</m:t>
            </m:r>
            <m:r>
              <m:t>t</m:t>
            </m:r>
            <m:r>
              <m:rPr>
                <m:sty m:val="p"/>
              </m:rPr>
              <m:t>+</m:t>
            </m:r>
            <m:r>
              <m:t>p</m:t>
            </m:r>
            <m:r>
              <m:t>r</m:t>
            </m:r>
            <m:r>
              <m:t>e</m:t>
            </m:r>
            <m:r>
              <m:t>m</m:t>
            </m:r>
            <m:r>
              <m:t>i</m:t>
            </m:r>
            <m:r>
              <m:t>u</m:t>
            </m:r>
            <m:r>
              <m:t>m</m:t>
            </m:r>
            <m:r>
              <m:t>u</m:t>
            </m:r>
            <m:r>
              <m:t>p</m:t>
            </m:r>
            <m:r>
              <m:t>k</m:t>
            </m:r>
            <m:r>
              <m:t>e</m:t>
            </m:r>
            <m:r>
              <m:t>e</m:t>
            </m:r>
            <m:r>
              <m:t>p</m:t>
            </m:r>
          </m:e>
        </m:d>
        <m:r>
          <m:rPr>
            <m:sty m:val="p"/>
          </m:rPr>
          <m:t>→</m:t>
        </m:r>
        <m:r>
          <m:t> </m:t>
        </m:r>
      </m:oMath>
      <w:r>
        <w:t xml:space="preserve">36 contribution per client before support,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 platform fee. Minutes at +10% cover themselves. You keep real margin to fund the moat while the commodity layer stays honest.</w:t>
      </w:r>
    </w:p>
    <w:p>
      <w:pPr>
        <w:pStyle w:val="BodyText"/>
      </w:pPr>
      <w:r>
        <w:rPr>
          <w:bCs/>
          <w:b/>
        </w:rPr>
        <w:t xml:space="preserve">Agency economics (their incentive):</w:t>
      </w:r>
      <w:r>
        <w:t xml:space="preserve"> </w:t>
      </w:r>
      <w:r>
        <w:t xml:space="preserve">they retail the bundle at ~</w:t>
      </w:r>
      <m:oMath>
        <m:r>
          <m:t>297</m:t>
        </m:r>
        <m:r>
          <m:rPr>
            <m:sty m:val="p"/>
          </m:rPr>
          <m:t>/</m:t>
        </m:r>
        <m:r>
          <m:t>c</m:t>
        </m:r>
        <m:r>
          <m:t>l</m:t>
        </m:r>
        <m:r>
          <m:t>i</m:t>
        </m:r>
        <m:r>
          <m:t>e</m:t>
        </m:r>
        <m:r>
          <m:t>n</m:t>
        </m:r>
        <m:r>
          <m:t>t</m:t>
        </m:r>
        <m:r>
          <m:rPr>
            <m:sty m:val="p"/>
          </m:rPr>
          <m:t>,</m:t>
        </m:r>
        <m:r>
          <m:t>p</m:t>
        </m:r>
        <m:r>
          <m:t>a</m:t>
        </m:r>
        <m:r>
          <m:t>y</m:t>
        </m:r>
        <m:r>
          <m:t>y</m:t>
        </m:r>
        <m:r>
          <m:t>o</m:t>
        </m:r>
        <m:r>
          <m:t>u</m:t>
        </m:r>
        <m:r>
          <m:t> </m:t>
        </m:r>
      </m:oMath>
      <w:r>
        <w:t xml:space="preserve">39 + minutes, and keep $200+. That spread is why they say yes — and why they build their book on you.</w:t>
      </w:r>
    </w:p>
    <w:p>
      <w:r>
        <w:pict>
          <v:rect style="width:0;height:1.5pt" o:hralign="center" o:hrstd="t" o:hr="t"/>
        </w:pict>
      </w:r>
    </w:p>
    <w:bookmarkEnd w:id="23"/>
    <w:bookmarkStart w:id="24" w:name="X3e46193e41ca0f6d7c73af1dd860a2345be1759"/>
    <w:p>
      <w:pPr>
        <w:pStyle w:val="Heading2"/>
      </w:pPr>
      <w:r>
        <w:t xml:space="preserve">5. GTM segmentation — kill channel conflict before it starts</w:t>
      </w:r>
    </w:p>
    <w:p>
      <w:pPr>
        <w:pStyle w:val="FirstParagraph"/>
      </w:pPr>
      <w:r>
        <w:t xml:space="preserve">If you sell direct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wholesale in the same market, agencies won't trust you. Pick a lane and write it down: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Recommended: wholesale-first with one carved-out direct lane.</w:t>
      </w:r>
      <w:r>
        <w:t xml:space="preserve"> </w:t>
      </w:r>
      <w:r>
        <w:t xml:space="preserve">Orbit sells direct only in the</w:t>
      </w:r>
      <w:r>
        <w:t xml:space="preserve"> </w:t>
      </w:r>
      <w:r>
        <w:rPr>
          <w:bCs/>
          <w:b/>
        </w:rPr>
        <w:t xml:space="preserve">bilingual EN/ES SMB niche</w:t>
      </w:r>
      <w:r>
        <w:t xml:space="preserve"> </w:t>
      </w:r>
      <w:r>
        <w:t xml:space="preserve">(your specialist wedge); everything else goes through agencies.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Non-solicit clause:</w:t>
      </w:r>
      <w:r>
        <w:t xml:space="preserve"> </w:t>
      </w:r>
      <w:r>
        <w:t xml:space="preserve">Orbit will not directly market to an agency's named, registered clients.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price undercutting:</w:t>
      </w:r>
      <w:r>
        <w:t xml:space="preserve"> </w:t>
      </w:r>
      <w:r>
        <w:t xml:space="preserve">Orbit's direct retail price never sits below what its agencies can profitably sell 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House accounts vs. channel:</w:t>
      </w:r>
      <w:r>
        <w:t xml:space="preserve"> </w:t>
      </w:r>
      <w:r>
        <w:t xml:space="preserve">maintain a clear registry so a lead is unambiguously "Orbit-direct" or "belongs to Agency X."</w:t>
      </w:r>
    </w:p>
    <w:p>
      <w:r>
        <w:pict>
          <v:rect style="width:0;height:1.5pt" o:hralign="center" o:hrstd="t" o:hr="t"/>
        </w:pict>
      </w:r>
    </w:p>
    <w:bookmarkEnd w:id="24"/>
    <w:bookmarkStart w:id="25" w:name="X222add4a95f84de888dcf2693f7403368d76e5b"/>
    <w:p>
      <w:pPr>
        <w:pStyle w:val="Heading2"/>
      </w:pPr>
      <w:r>
        <w:t xml:space="preserve">6. Key terms for the agency agreement</w:t>
      </w:r>
    </w:p>
    <w:p>
      <w:pPr>
        <w:numPr>
          <w:ilvl w:val="0"/>
          <w:numId w:val="1003"/>
        </w:numPr>
        <w:pStyle w:val="Compact"/>
      </w:pPr>
      <w:r>
        <w:t xml:space="preserve">White-label / brand-usage rights and limits.</w:t>
      </w:r>
    </w:p>
    <w:p>
      <w:pPr>
        <w:numPr>
          <w:ilvl w:val="0"/>
          <w:numId w:val="1003"/>
        </w:numPr>
        <w:pStyle w:val="Compact"/>
      </w:pPr>
      <w:r>
        <w:t xml:space="preserve">Data rights + DPA (Section 3 — get this exactly right).</w:t>
      </w:r>
    </w:p>
    <w:p>
      <w:pPr>
        <w:numPr>
          <w:ilvl w:val="0"/>
          <w:numId w:val="1003"/>
        </w:numPr>
        <w:pStyle w:val="Compact"/>
      </w:pPr>
      <w:r>
        <w:t xml:space="preserve">SLA: uptime, target voice latency (&lt;500ms on Telnyx), support response times by tier.</w:t>
      </w:r>
    </w:p>
    <w:p>
      <w:pPr>
        <w:numPr>
          <w:ilvl w:val="0"/>
          <w:numId w:val="1003"/>
        </w:numPr>
        <w:pStyle w:val="Compact"/>
      </w:pPr>
      <w:r>
        <w:t xml:space="preserve">Pricing, pooled-minute true-up, volume re-tiering as client count grows.</w:t>
      </w:r>
    </w:p>
    <w:p>
      <w:pPr>
        <w:numPr>
          <w:ilvl w:val="0"/>
          <w:numId w:val="1003"/>
        </w:numPr>
        <w:pStyle w:val="Compact"/>
      </w:pPr>
      <w:r>
        <w:t xml:space="preserve">Non-solicit / channel-conflict clauses (Section 5).</w:t>
      </w:r>
    </w:p>
    <w:p>
      <w:pPr>
        <w:numPr>
          <w:ilvl w:val="0"/>
          <w:numId w:val="1003"/>
        </w:numPr>
        <w:pStyle w:val="Compact"/>
      </w:pPr>
      <w:r>
        <w:t xml:space="preserve">Ramp commitment / minimums so partners are real, not tire-kickers.</w:t>
      </w:r>
    </w:p>
    <w:p>
      <w:pPr>
        <w:numPr>
          <w:ilvl w:val="0"/>
          <w:numId w:val="1003"/>
        </w:numPr>
        <w:pStyle w:val="Compact"/>
      </w:pPr>
      <w:r>
        <w:t xml:space="preserve">Term, offboarding, and data-export process.</w:t>
      </w:r>
    </w:p>
    <w:p>
      <w:pPr>
        <w:numPr>
          <w:ilvl w:val="0"/>
          <w:numId w:val="1003"/>
        </w:numPr>
        <w:pStyle w:val="Compact"/>
      </w:pPr>
      <w:r>
        <w:t xml:space="preserve">Compliance: 10DLC / STIR-SHAKEN registration — Orbit provisions the rails; the agency/SMB attests to the campaign. Spell out who is responsible for what.</w:t>
      </w:r>
    </w:p>
    <w:p>
      <w:r>
        <w:pict>
          <v:rect style="width:0;height:1.5pt" o:hralign="center" o:hrstd="t" o:hr="t"/>
        </w:pict>
      </w:r>
    </w:p>
    <w:bookmarkEnd w:id="25"/>
    <w:bookmarkStart w:id="26" w:name="X8fab77300c0fc5fb2c8fd28f5b2c06a7c727e4a"/>
    <w:p>
      <w:pPr>
        <w:pStyle w:val="Heading2"/>
      </w:pPr>
      <w:r>
        <w:t xml:space="preserve">7. First-10-agencies rollout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 where your KB is deepest</w:t>
      </w:r>
      <w:r>
        <w:t xml:space="preserve"> </w:t>
      </w:r>
      <w:r>
        <w:t xml:space="preserve">— home services and restaurants — and where bilingual is a live advantage.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Offer a Launch Partner / founder deal</w:t>
      </w:r>
      <w:r>
        <w:t xml:space="preserve"> </w:t>
      </w:r>
      <w:r>
        <w:t xml:space="preserve">to the first cohort: better rates in exchange for co-building the vertical playbook and giving you outcome 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Instrument data capture from call #1</w:t>
      </w:r>
      <w:r>
        <w:t xml:space="preserve"> </w:t>
      </w:r>
      <w:r>
        <w:t xml:space="preserve">— every transcript, disposition, and booking feeds the flywheel. This is the whole point; don't bolt it on later.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Turn their first wins into case studies</w:t>
      </w:r>
      <w:r>
        <w:t xml:space="preserve"> </w:t>
      </w:r>
      <w:r>
        <w:t xml:space="preserve">(e.g., "recovered X missed calls / $Y in booked work") — those become the pitch for agencies 11–50.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Re-tier partners up</w:t>
      </w:r>
      <w:r>
        <w:t xml:space="preserve"> </w:t>
      </w:r>
      <w:r>
        <w:t xml:space="preserve">as their client counts grow, so their cost drops</w:t>
      </w:r>
      <w:r>
        <w:t xml:space="preserve"> </w:t>
      </w:r>
      <w:r>
        <w:rPr>
          <w:iCs/>
          <w:i/>
        </w:rPr>
        <w:t xml:space="preserve">through you</w:t>
      </w:r>
      <w:r>
        <w:t xml:space="preserve"> </w:t>
      </w:r>
      <w:r>
        <w:t xml:space="preserve">— reinforcing the co-op lock-in.</w:t>
      </w:r>
    </w:p>
    <w:p>
      <w:r>
        <w:pict>
          <v:rect style="width:0;height:1.5pt" o:hralign="center" o:hrstd="t" o:hr="t"/>
        </w:pict>
      </w:r>
    </w:p>
    <w:bookmarkEnd w:id="26"/>
    <w:bookmarkStart w:id="27" w:name="X43edf61d122af5e653a26b5c0e2142280080620"/>
    <w:p>
      <w:pPr>
        <w:pStyle w:val="Heading2"/>
      </w:pPr>
      <w:r>
        <w:t xml:space="preserve">8. Defensibility checklist (does this raise or lower your moat?)</w:t>
      </w:r>
    </w:p>
    <w:p>
      <w:pPr>
        <w:pStyle w:val="FirstParagraph"/>
      </w:pPr>
      <w:r>
        <w:t xml:space="preserve">You're building infrastructure only if you can check all of these:</w:t>
      </w:r>
    </w:p>
    <w:p>
      <w:pPr>
        <w:numPr>
          <w:ilvl w:val="0"/>
          <w:numId w:val="1005"/>
        </w:numPr>
        <w:pStyle w:val="Compact"/>
      </w:pPr>
      <w:r>
        <w:t xml:space="preserve">☐ Aggregate / de-identified data license retained by Orbit</w:t>
      </w:r>
    </w:p>
    <w:p>
      <w:pPr>
        <w:numPr>
          <w:ilvl w:val="0"/>
          <w:numId w:val="1005"/>
        </w:numPr>
        <w:pStyle w:val="Compact"/>
      </w:pPr>
      <w:r>
        <w:t xml:space="preserve">☐ The agency's</w:t>
      </w:r>
      <w:r>
        <w:t xml:space="preserve"> </w:t>
      </w:r>
      <w:r>
        <w:rPr>
          <w:bCs/>
          <w:b/>
        </w:rPr>
        <w:t xml:space="preserve">entire book runs on Orbit's platform</w:t>
      </w:r>
      <w:r>
        <w:t xml:space="preserve"> </w:t>
      </w:r>
      <w:r>
        <w:t xml:space="preserve">(migration = rebuild)</w:t>
      </w:r>
    </w:p>
    <w:p>
      <w:pPr>
        <w:numPr>
          <w:ilvl w:val="0"/>
          <w:numId w:val="1005"/>
        </w:numPr>
        <w:pStyle w:val="Compact"/>
      </w:pPr>
      <w:r>
        <w:t xml:space="preserve">☐ Phone numbers provisioned through Orbit's Telnyx</w:t>
      </w:r>
    </w:p>
    <w:p>
      <w:pPr>
        <w:numPr>
          <w:ilvl w:val="0"/>
          <w:numId w:val="1005"/>
        </w:numPr>
        <w:pStyle w:val="Compact"/>
      </w:pPr>
      <w:r>
        <w:t xml:space="preserve">☐ Pooled-volume pricing so scaling lowers their cost</w:t>
      </w:r>
      <w:r>
        <w:t xml:space="preserve"> </w:t>
      </w:r>
      <w:r>
        <w:rPr>
          <w:iCs/>
          <w:i/>
        </w:rPr>
        <w:t xml:space="preserve">via you</w:t>
      </w:r>
    </w:p>
    <w:p>
      <w:pPr>
        <w:numPr>
          <w:ilvl w:val="0"/>
          <w:numId w:val="1005"/>
        </w:numPr>
        <w:pStyle w:val="Compact"/>
      </w:pPr>
      <w:r>
        <w:t xml:space="preserve">☐ Non-solicit clause protecting the channel</w:t>
      </w:r>
    </w:p>
    <w:p>
      <w:pPr>
        <w:numPr>
          <w:ilvl w:val="0"/>
          <w:numId w:val="1005"/>
        </w:numPr>
        <w:pStyle w:val="Compact"/>
      </w:pPr>
      <w:r>
        <w:t xml:space="preserve">☐ Vertical knowledge base stays proprietary, never exported</w:t>
      </w:r>
    </w:p>
    <w:p>
      <w:pPr>
        <w:numPr>
          <w:ilvl w:val="0"/>
          <w:numId w:val="1005"/>
        </w:numPr>
        <w:pStyle w:val="Compact"/>
      </w:pPr>
      <w:r>
        <w:t xml:space="preserve">☐ One clear GTM lane (no silent direct-vs-channel conflict)</w:t>
      </w:r>
    </w:p>
    <w:p>
      <w:pPr>
        <w:pStyle w:val="FirstParagraph"/>
      </w:pPr>
      <w:r>
        <w:t xml:space="preserve">Miss the first two and you're a build shop. Hit all seven and you're the Stripe of SMB front-desk AI.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2026-06-03T08:34:02Z</dcterms:created>
  <dcterms:modified xsi:type="dcterms:W3CDTF">2026-06-03T08:34:02Z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