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12D25" w14:textId="77777777" w:rsidR="003662E7" w:rsidRPr="003662E7" w:rsidRDefault="00A51C5B" w:rsidP="003662E7">
      <w:pPr>
        <w:pStyle w:val="Normal2"/>
        <w:jc w:val="center"/>
        <w:rPr>
          <w:rFonts w:ascii="Arial" w:eastAsia="Arial" w:hAnsi="Arial" w:cs="Arial"/>
          <w:b/>
          <w:bCs/>
          <w:sz w:val="22"/>
          <w:szCs w:val="22"/>
        </w:rPr>
      </w:pPr>
      <w:r w:rsidRPr="000F7299">
        <w:rPr>
          <w:rFonts w:ascii="Arial" w:eastAsia="Arial" w:hAnsi="Arial" w:cs="Arial"/>
          <w:b/>
          <w:bCs/>
          <w:sz w:val="22"/>
          <w:szCs w:val="22"/>
        </w:rPr>
        <w:t xml:space="preserve">RESOLUCIÓN </w:t>
      </w:r>
      <w:r w:rsidR="003662E7" w:rsidRPr="003662E7">
        <w:rPr>
          <w:rFonts w:ascii="Arial" w:eastAsia="Arial" w:hAnsi="Arial" w:cs="Arial"/>
          <w:b/>
          <w:bCs/>
          <w:sz w:val="22"/>
          <w:szCs w:val="22"/>
        </w:rPr>
        <w:t>CATASTRAL No. ${</w:t>
      </w:r>
      <w:proofErr w:type="spellStart"/>
      <w:r w:rsidR="003662E7" w:rsidRPr="003662E7">
        <w:rPr>
          <w:rFonts w:ascii="Arial" w:eastAsia="Arial" w:hAnsi="Arial" w:cs="Arial"/>
          <w:b/>
          <w:bCs/>
          <w:sz w:val="22"/>
          <w:szCs w:val="22"/>
        </w:rPr>
        <w:t>no_resolucion</w:t>
      </w:r>
      <w:proofErr w:type="spellEnd"/>
      <w:r w:rsidR="003662E7" w:rsidRPr="003662E7">
        <w:rPr>
          <w:rFonts w:ascii="Arial" w:eastAsia="Arial" w:hAnsi="Arial" w:cs="Arial"/>
          <w:b/>
          <w:bCs/>
          <w:sz w:val="22"/>
          <w:szCs w:val="22"/>
        </w:rPr>
        <w:t>}</w:t>
      </w:r>
    </w:p>
    <w:p w14:paraId="00000003" w14:textId="35227FCB" w:rsidR="00CB35C0" w:rsidRDefault="003662E7" w:rsidP="003662E7">
      <w:pPr>
        <w:pStyle w:val="Normal2"/>
        <w:jc w:val="center"/>
        <w:rPr>
          <w:rFonts w:ascii="Arial" w:eastAsia="Arial" w:hAnsi="Arial" w:cs="Arial"/>
          <w:b/>
          <w:bCs/>
          <w:sz w:val="22"/>
          <w:szCs w:val="22"/>
        </w:rPr>
      </w:pPr>
      <w:r w:rsidRPr="003662E7">
        <w:rPr>
          <w:rFonts w:ascii="Arial" w:eastAsia="Arial" w:hAnsi="Arial" w:cs="Arial"/>
          <w:b/>
          <w:bCs/>
          <w:sz w:val="22"/>
          <w:szCs w:val="22"/>
        </w:rPr>
        <w:t>(${</w:t>
      </w:r>
      <w:proofErr w:type="spellStart"/>
      <w:r w:rsidRPr="003662E7">
        <w:rPr>
          <w:rFonts w:ascii="Arial" w:eastAsia="Arial" w:hAnsi="Arial" w:cs="Arial"/>
          <w:b/>
          <w:bCs/>
          <w:sz w:val="22"/>
          <w:szCs w:val="22"/>
        </w:rPr>
        <w:t>dia</w:t>
      </w:r>
      <w:proofErr w:type="spellEnd"/>
      <w:r w:rsidRPr="003662E7">
        <w:rPr>
          <w:rFonts w:ascii="Arial" w:eastAsia="Arial" w:hAnsi="Arial" w:cs="Arial"/>
          <w:b/>
          <w:bCs/>
          <w:sz w:val="22"/>
          <w:szCs w:val="22"/>
        </w:rPr>
        <w:t>} DE ${mes} DE ${vigencia})</w:t>
      </w:r>
    </w:p>
    <w:p w14:paraId="078D5EEC" w14:textId="77777777" w:rsidR="003662E7" w:rsidRPr="000F7299" w:rsidRDefault="003662E7" w:rsidP="003662E7">
      <w:pPr>
        <w:pStyle w:val="Normal2"/>
        <w:jc w:val="center"/>
        <w:rPr>
          <w:rFonts w:ascii="Arial" w:eastAsia="Arial" w:hAnsi="Arial" w:cs="Arial"/>
          <w:b/>
          <w:sz w:val="22"/>
          <w:szCs w:val="22"/>
        </w:rPr>
      </w:pPr>
    </w:p>
    <w:p w14:paraId="00000004" w14:textId="77777777" w:rsidR="00CB35C0" w:rsidRPr="000F7299" w:rsidRDefault="00CB35C0" w:rsidP="00FD349E">
      <w:pPr>
        <w:pStyle w:val="Normal2"/>
        <w:jc w:val="center"/>
        <w:rPr>
          <w:rFonts w:ascii="Arial" w:eastAsia="Arial" w:hAnsi="Arial" w:cs="Arial"/>
          <w:sz w:val="22"/>
          <w:szCs w:val="22"/>
        </w:rPr>
      </w:pPr>
    </w:p>
    <w:p w14:paraId="00000005" w14:textId="4F111C45" w:rsidR="00CB35C0" w:rsidRPr="000F7299" w:rsidRDefault="00A51C5B" w:rsidP="00FD349E">
      <w:pPr>
        <w:pStyle w:val="Normal2"/>
        <w:jc w:val="center"/>
        <w:rPr>
          <w:rFonts w:ascii="Arial" w:eastAsia="Arial" w:hAnsi="Arial" w:cs="Arial"/>
          <w:sz w:val="22"/>
          <w:szCs w:val="22"/>
        </w:rPr>
      </w:pPr>
      <w:r w:rsidRPr="000F7299">
        <w:rPr>
          <w:rFonts w:ascii="Arial" w:eastAsia="Arial" w:hAnsi="Arial" w:cs="Arial"/>
          <w:i/>
          <w:iCs/>
          <w:sz w:val="22"/>
          <w:szCs w:val="22"/>
        </w:rPr>
        <w:t>“</w:t>
      </w:r>
      <w:r w:rsidRPr="000F7299">
        <w:rPr>
          <w:rFonts w:ascii="Arial" w:eastAsia="Arial" w:hAnsi="Arial" w:cs="Arial"/>
          <w:color w:val="000000"/>
          <w:sz w:val="22"/>
          <w:szCs w:val="22"/>
        </w:rPr>
        <w:t xml:space="preserve">POR LA CUAL SE </w:t>
      </w:r>
      <w:r w:rsidRPr="000F7299">
        <w:rPr>
          <w:rFonts w:ascii="Arial" w:eastAsia="Arial" w:hAnsi="Arial" w:cs="Arial"/>
          <w:sz w:val="22"/>
          <w:szCs w:val="22"/>
        </w:rPr>
        <w:t>ORDENA</w:t>
      </w:r>
      <w:r w:rsidRPr="000F7299">
        <w:rPr>
          <w:rFonts w:ascii="Arial" w:eastAsia="Arial" w:hAnsi="Arial" w:cs="Arial"/>
          <w:color w:val="000000"/>
          <w:sz w:val="22"/>
          <w:szCs w:val="22"/>
        </w:rPr>
        <w:t xml:space="preserve"> UNOS </w:t>
      </w:r>
      <w:r w:rsidR="5C438B8A" w:rsidRPr="000F7299">
        <w:rPr>
          <w:rFonts w:ascii="Arial" w:eastAsia="Arial" w:hAnsi="Arial" w:cs="Arial"/>
          <w:color w:val="000000"/>
          <w:sz w:val="22"/>
          <w:szCs w:val="22"/>
        </w:rPr>
        <w:t>CAMBIOS EN</w:t>
      </w:r>
      <w:r w:rsidRPr="000F7299">
        <w:rPr>
          <w:rFonts w:ascii="Arial" w:eastAsia="Arial" w:hAnsi="Arial" w:cs="Arial"/>
          <w:color w:val="000000"/>
          <w:sz w:val="22"/>
          <w:szCs w:val="22"/>
        </w:rPr>
        <w:t xml:space="preserve"> EL CATASTRO DEL MUNICIPIO</w:t>
      </w:r>
      <w:r w:rsidRPr="000F7299">
        <w:rPr>
          <w:rFonts w:ascii="Arial" w:eastAsia="Arial" w:hAnsi="Arial" w:cs="Arial"/>
          <w:sz w:val="22"/>
          <w:szCs w:val="22"/>
        </w:rPr>
        <w:t xml:space="preserve"> </w:t>
      </w:r>
      <w:r w:rsidRPr="000F7299">
        <w:rPr>
          <w:rFonts w:ascii="Arial" w:eastAsia="Arial" w:hAnsi="Arial" w:cs="Arial"/>
          <w:color w:val="000000"/>
          <w:sz w:val="22"/>
          <w:szCs w:val="22"/>
        </w:rPr>
        <w:t xml:space="preserve">DE </w:t>
      </w:r>
      <w:r w:rsidRPr="000F7299">
        <w:rPr>
          <w:rFonts w:ascii="Arial" w:eastAsia="Arial" w:hAnsi="Arial" w:cs="Arial"/>
          <w:sz w:val="22"/>
          <w:szCs w:val="22"/>
        </w:rPr>
        <w:t>FUSAGASUGÁ</w:t>
      </w:r>
      <w:r w:rsidRPr="000F7299">
        <w:rPr>
          <w:rFonts w:ascii="Arial" w:eastAsia="Arial" w:hAnsi="Arial" w:cs="Arial"/>
          <w:color w:val="000000"/>
          <w:sz w:val="22"/>
          <w:szCs w:val="22"/>
        </w:rPr>
        <w:t xml:space="preserve"> Y SE RESUELVE UNA SOLICITUD </w:t>
      </w:r>
      <w:r w:rsidR="14F0A5F9" w:rsidRPr="000F7299">
        <w:rPr>
          <w:rFonts w:ascii="Arial" w:eastAsia="Arial" w:hAnsi="Arial" w:cs="Arial"/>
          <w:color w:val="000000"/>
          <w:sz w:val="22"/>
          <w:szCs w:val="22"/>
        </w:rPr>
        <w:t>DE SEGREGACIÓN</w:t>
      </w:r>
      <w:r w:rsidRPr="000F7299">
        <w:rPr>
          <w:rFonts w:ascii="Arial" w:eastAsia="Arial" w:hAnsi="Arial" w:cs="Arial"/>
          <w:color w:val="000000"/>
          <w:sz w:val="22"/>
          <w:szCs w:val="22"/>
        </w:rPr>
        <w:t xml:space="preserve"> CATASTRAL</w:t>
      </w:r>
      <w:r w:rsidRPr="000F7299">
        <w:rPr>
          <w:rFonts w:ascii="Arial" w:eastAsia="Arial" w:hAnsi="Arial" w:cs="Arial"/>
          <w:i/>
          <w:iCs/>
          <w:sz w:val="22"/>
          <w:szCs w:val="22"/>
        </w:rPr>
        <w:t>”.</w:t>
      </w:r>
    </w:p>
    <w:p w14:paraId="00000006" w14:textId="77777777" w:rsidR="00CB35C0" w:rsidRDefault="00CB35C0" w:rsidP="00FD349E">
      <w:pPr>
        <w:pStyle w:val="Normal2"/>
        <w:pBdr>
          <w:top w:val="nil"/>
          <w:left w:val="nil"/>
          <w:bottom w:val="nil"/>
          <w:right w:val="nil"/>
          <w:between w:val="nil"/>
        </w:pBdr>
        <w:jc w:val="center"/>
        <w:rPr>
          <w:rFonts w:ascii="Arial" w:eastAsia="Arial" w:hAnsi="Arial" w:cs="Arial"/>
          <w:i/>
          <w:color w:val="000000"/>
        </w:rPr>
      </w:pPr>
    </w:p>
    <w:p w14:paraId="00000007" w14:textId="77777777" w:rsidR="00CB35C0" w:rsidRDefault="00A51C5B" w:rsidP="00FD349E">
      <w:pPr>
        <w:pStyle w:val="Normal2"/>
        <w:pBdr>
          <w:top w:val="nil"/>
          <w:left w:val="nil"/>
          <w:bottom w:val="nil"/>
          <w:right w:val="nil"/>
          <w:between w:val="nil"/>
        </w:pBdr>
        <w:jc w:val="center"/>
        <w:rPr>
          <w:rFonts w:ascii="Arial" w:eastAsia="Arial" w:hAnsi="Arial" w:cs="Arial"/>
        </w:rPr>
      </w:pPr>
      <w:r w:rsidRPr="4594EAD5">
        <w:rPr>
          <w:rFonts w:ascii="Arial" w:eastAsia="Arial" w:hAnsi="Arial" w:cs="Arial"/>
        </w:rPr>
        <w:t> </w:t>
      </w:r>
    </w:p>
    <w:p w14:paraId="726CA5D0" w14:textId="77777777" w:rsidR="000F7299" w:rsidRPr="00262EB3" w:rsidRDefault="000F7299" w:rsidP="00FD349E">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4D22223C" w14:textId="77777777" w:rsidR="000F7299" w:rsidRPr="00262EB3" w:rsidRDefault="000F7299" w:rsidP="00FD349E">
      <w:pPr>
        <w:pStyle w:val="Normal2"/>
        <w:jc w:val="both"/>
        <w:rPr>
          <w:rFonts w:ascii="Arial" w:eastAsia="Arial" w:hAnsi="Arial" w:cs="Arial"/>
          <w:sz w:val="22"/>
          <w:szCs w:val="22"/>
        </w:rPr>
      </w:pPr>
    </w:p>
    <w:p w14:paraId="3188336F" w14:textId="77777777" w:rsidR="000F7299" w:rsidRPr="00262EB3" w:rsidRDefault="000F7299" w:rsidP="00FD349E">
      <w:pPr>
        <w:pStyle w:val="Normal2"/>
        <w:jc w:val="center"/>
        <w:rPr>
          <w:rFonts w:ascii="Arial" w:eastAsia="Arial" w:hAnsi="Arial" w:cs="Arial"/>
          <w:b/>
          <w:bCs/>
          <w:sz w:val="22"/>
          <w:szCs w:val="22"/>
        </w:rPr>
      </w:pPr>
      <w:r w:rsidRPr="00262EB3">
        <w:rPr>
          <w:rFonts w:ascii="Arial" w:eastAsia="Arial" w:hAnsi="Arial" w:cs="Arial"/>
          <w:b/>
          <w:bCs/>
          <w:sz w:val="22"/>
          <w:szCs w:val="22"/>
        </w:rPr>
        <w:t>CONSIDERANDO</w:t>
      </w:r>
    </w:p>
    <w:p w14:paraId="512A08C8" w14:textId="77777777" w:rsidR="000F7299" w:rsidRPr="00262EB3" w:rsidRDefault="000F7299" w:rsidP="00FD349E">
      <w:pPr>
        <w:pStyle w:val="Normal2"/>
        <w:jc w:val="center"/>
        <w:rPr>
          <w:rFonts w:ascii="Arial" w:eastAsia="Arial" w:hAnsi="Arial" w:cs="Arial"/>
          <w:b/>
          <w:sz w:val="22"/>
          <w:szCs w:val="22"/>
        </w:rPr>
      </w:pPr>
    </w:p>
    <w:p w14:paraId="549FCA3B" w14:textId="77777777" w:rsidR="000F7299" w:rsidRPr="00262EB3" w:rsidRDefault="000F7299" w:rsidP="00FD349E">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111E10A7" w14:textId="77777777" w:rsidR="000F7299" w:rsidRPr="00262EB3" w:rsidRDefault="000F7299" w:rsidP="00FD349E">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49719AA1" w14:textId="77777777" w:rsidR="000F7299" w:rsidRPr="00262EB3" w:rsidRDefault="000F7299" w:rsidP="00FD349E">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2645E2AA" w14:textId="77777777" w:rsidR="000F7299" w:rsidRPr="00262EB3" w:rsidRDefault="000F7299" w:rsidP="00FD349E">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621554DE" w14:textId="77777777" w:rsidR="000F7299" w:rsidRPr="00262EB3" w:rsidRDefault="000F7299" w:rsidP="00FD349E">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lastRenderedPageBreak/>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765C2EE" w14:textId="77777777" w:rsidR="000F7299" w:rsidRPr="00262EB3" w:rsidRDefault="000F7299" w:rsidP="00FD349E">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5F40F15" w14:textId="77777777" w:rsidR="000F7299" w:rsidRPr="00F334CF" w:rsidRDefault="000F7299" w:rsidP="00FD349E">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5891915" w14:textId="77777777" w:rsidR="000F7299" w:rsidRDefault="000F7299" w:rsidP="00FD349E">
      <w:pPr>
        <w:pStyle w:val="Textocomentario"/>
        <w:jc w:val="both"/>
        <w:rPr>
          <w:rFonts w:ascii="Arial" w:eastAsia="Arial" w:hAnsi="Arial" w:cs="Arial"/>
          <w:sz w:val="22"/>
          <w:szCs w:val="22"/>
        </w:rPr>
      </w:pPr>
    </w:p>
    <w:p w14:paraId="3EF384AD" w14:textId="6D425A24" w:rsidR="000F7299" w:rsidRPr="005F2CE3" w:rsidRDefault="000F7299" w:rsidP="00FD349E">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1F35B7D7" w14:textId="77777777" w:rsidR="000F7299" w:rsidRPr="00C269A3" w:rsidRDefault="000F7299" w:rsidP="00FD349E">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6ADA8885" w14:textId="77777777" w:rsidR="000F7299" w:rsidRDefault="000F7299" w:rsidP="00FD349E">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Pr>
          <w:rFonts w:ascii="Arial" w:eastAsia="Arial" w:hAnsi="Arial" w:cs="Arial"/>
          <w:i/>
          <w:iCs/>
          <w:sz w:val="22"/>
          <w:szCs w:val="22"/>
        </w:rPr>
        <w:t xml:space="preserve">o”. </w:t>
      </w:r>
    </w:p>
    <w:bookmarkEnd w:id="3"/>
    <w:p w14:paraId="7BA45DFD" w14:textId="07A290AA" w:rsidR="00143F7A" w:rsidRDefault="003662E7" w:rsidP="00FD349E">
      <w:pPr>
        <w:pStyle w:val="Normal2"/>
        <w:pBdr>
          <w:top w:val="nil"/>
          <w:left w:val="nil"/>
          <w:bottom w:val="nil"/>
          <w:right w:val="nil"/>
          <w:between w:val="nil"/>
        </w:pBdr>
        <w:jc w:val="both"/>
        <w:rPr>
          <w:rFonts w:ascii="Arial" w:eastAsia="Arial" w:hAnsi="Arial" w:cs="Arial"/>
          <w:color w:val="000000" w:themeColor="text1"/>
          <w:sz w:val="22"/>
          <w:szCs w:val="22"/>
        </w:rPr>
      </w:pPr>
      <w:r w:rsidRPr="003662E7">
        <w:rPr>
          <w:rFonts w:ascii="Arial" w:eastAsia="Arial" w:hAnsi="Arial" w:cs="Arial"/>
          <w:color w:val="000000" w:themeColor="text1"/>
          <w:sz w:val="22"/>
          <w:szCs w:val="22"/>
        </w:rPr>
        <w:t>Que ante el Gestor Catastral Multipropósito del Municipio de Fusagasugá, el(la) señor(a) ${</w:t>
      </w:r>
      <w:proofErr w:type="spellStart"/>
      <w:r w:rsidRPr="003662E7">
        <w:rPr>
          <w:rFonts w:ascii="Arial" w:eastAsia="Arial" w:hAnsi="Arial" w:cs="Arial"/>
          <w:color w:val="000000" w:themeColor="text1"/>
          <w:sz w:val="22"/>
          <w:szCs w:val="22"/>
        </w:rPr>
        <w:t>nombre_gestor</w:t>
      </w:r>
      <w:proofErr w:type="spellEnd"/>
      <w:r w:rsidRPr="003662E7">
        <w:rPr>
          <w:rFonts w:ascii="Arial" w:eastAsia="Arial" w:hAnsi="Arial" w:cs="Arial"/>
          <w:color w:val="000000" w:themeColor="text1"/>
          <w:sz w:val="22"/>
          <w:szCs w:val="22"/>
        </w:rPr>
        <w:t>}, identificado(a) con cédula de ciudadanía No. ${</w:t>
      </w:r>
      <w:proofErr w:type="spellStart"/>
      <w:r w:rsidRPr="003662E7">
        <w:rPr>
          <w:rFonts w:ascii="Arial" w:eastAsia="Arial" w:hAnsi="Arial" w:cs="Arial"/>
          <w:color w:val="000000" w:themeColor="text1"/>
          <w:sz w:val="22"/>
          <w:szCs w:val="22"/>
        </w:rPr>
        <w:t>cedula_numero_gestor</w:t>
      </w:r>
      <w:proofErr w:type="spellEnd"/>
      <w:r w:rsidRPr="003662E7">
        <w:rPr>
          <w:rFonts w:ascii="Arial" w:eastAsia="Arial" w:hAnsi="Arial" w:cs="Arial"/>
          <w:color w:val="000000" w:themeColor="text1"/>
          <w:sz w:val="22"/>
          <w:szCs w:val="22"/>
        </w:rPr>
        <w:t>}, expedida en ${</w:t>
      </w:r>
      <w:proofErr w:type="spellStart"/>
      <w:r w:rsidRPr="003662E7">
        <w:rPr>
          <w:rFonts w:ascii="Arial" w:eastAsia="Arial" w:hAnsi="Arial" w:cs="Arial"/>
          <w:color w:val="000000" w:themeColor="text1"/>
          <w:sz w:val="22"/>
          <w:szCs w:val="22"/>
        </w:rPr>
        <w:t>cedula_cuidad_gestor</w:t>
      </w:r>
      <w:proofErr w:type="spellEnd"/>
      <w:r w:rsidRPr="003662E7">
        <w:rPr>
          <w:rFonts w:ascii="Arial" w:eastAsia="Arial" w:hAnsi="Arial" w:cs="Arial"/>
          <w:color w:val="000000" w:themeColor="text1"/>
          <w:sz w:val="22"/>
          <w:szCs w:val="22"/>
        </w:rPr>
        <w:t>}, en calidad de ${</w:t>
      </w:r>
      <w:proofErr w:type="spellStart"/>
      <w:r w:rsidRPr="003662E7">
        <w:rPr>
          <w:rFonts w:ascii="Arial" w:eastAsia="Arial" w:hAnsi="Arial" w:cs="Arial"/>
          <w:color w:val="000000" w:themeColor="text1"/>
          <w:sz w:val="22"/>
          <w:szCs w:val="22"/>
        </w:rPr>
        <w:t>calidad_gestor</w:t>
      </w:r>
      <w:proofErr w:type="spellEnd"/>
      <w:r w:rsidRPr="003662E7">
        <w:rPr>
          <w:rFonts w:ascii="Arial" w:eastAsia="Arial" w:hAnsi="Arial" w:cs="Arial"/>
          <w:color w:val="000000" w:themeColor="text1"/>
          <w:sz w:val="22"/>
          <w:szCs w:val="22"/>
        </w:rPr>
        <w:t>}, solicitó con radicado ${</w:t>
      </w:r>
      <w:proofErr w:type="spellStart"/>
      <w:r w:rsidRPr="003662E7">
        <w:rPr>
          <w:rFonts w:ascii="Arial" w:eastAsia="Arial" w:hAnsi="Arial" w:cs="Arial"/>
          <w:color w:val="000000" w:themeColor="text1"/>
          <w:sz w:val="22"/>
          <w:szCs w:val="22"/>
        </w:rPr>
        <w:t>no_radicado</w:t>
      </w:r>
      <w:proofErr w:type="spellEnd"/>
      <w:r w:rsidRPr="003662E7">
        <w:rPr>
          <w:rFonts w:ascii="Arial" w:eastAsia="Arial" w:hAnsi="Arial" w:cs="Arial"/>
          <w:color w:val="000000" w:themeColor="text1"/>
          <w:sz w:val="22"/>
          <w:szCs w:val="22"/>
        </w:rPr>
        <w:t>}, asociado al ${</w:t>
      </w:r>
      <w:proofErr w:type="spellStart"/>
      <w:r w:rsidRPr="003662E7">
        <w:rPr>
          <w:rFonts w:ascii="Arial" w:eastAsia="Arial" w:hAnsi="Arial" w:cs="Arial"/>
          <w:color w:val="000000" w:themeColor="text1"/>
          <w:sz w:val="22"/>
          <w:szCs w:val="22"/>
        </w:rPr>
        <w:t>asociado_id</w:t>
      </w:r>
      <w:proofErr w:type="spellEnd"/>
      <w:r w:rsidRPr="003662E7">
        <w:rPr>
          <w:rFonts w:ascii="Arial" w:eastAsia="Arial" w:hAnsi="Arial" w:cs="Arial"/>
          <w:color w:val="000000" w:themeColor="text1"/>
          <w:sz w:val="22"/>
          <w:szCs w:val="22"/>
        </w:rPr>
        <w:t>}, el DESENGLOBE del predio identificado con el número predial nacional ${</w:t>
      </w:r>
      <w:proofErr w:type="spellStart"/>
      <w:r w:rsidRPr="003662E7">
        <w:rPr>
          <w:rFonts w:ascii="Arial" w:eastAsia="Arial" w:hAnsi="Arial" w:cs="Arial"/>
          <w:color w:val="000000" w:themeColor="text1"/>
          <w:sz w:val="22"/>
          <w:szCs w:val="22"/>
        </w:rPr>
        <w:t>numero_predial</w:t>
      </w:r>
      <w:proofErr w:type="spellEnd"/>
      <w:r w:rsidRPr="003662E7">
        <w:rPr>
          <w:rFonts w:ascii="Arial" w:eastAsia="Arial" w:hAnsi="Arial" w:cs="Arial"/>
          <w:color w:val="000000" w:themeColor="text1"/>
          <w:sz w:val="22"/>
          <w:szCs w:val="22"/>
        </w:rPr>
        <w:t>} y folio de matrícula inmobiliaria ${</w:t>
      </w:r>
      <w:proofErr w:type="spellStart"/>
      <w:r w:rsidRPr="003662E7">
        <w:rPr>
          <w:rFonts w:ascii="Arial" w:eastAsia="Arial" w:hAnsi="Arial" w:cs="Arial"/>
          <w:color w:val="000000" w:themeColor="text1"/>
          <w:sz w:val="22"/>
          <w:szCs w:val="22"/>
        </w:rPr>
        <w:t>matricula_inmobiliaria</w:t>
      </w:r>
      <w:proofErr w:type="spellEnd"/>
      <w:r w:rsidRPr="003662E7">
        <w:rPr>
          <w:rFonts w:ascii="Arial" w:eastAsia="Arial" w:hAnsi="Arial" w:cs="Arial"/>
          <w:color w:val="000000" w:themeColor="text1"/>
          <w:sz w:val="22"/>
          <w:szCs w:val="22"/>
        </w:rPr>
        <w:t>}, ubicado en la zona ${</w:t>
      </w:r>
      <w:proofErr w:type="spellStart"/>
      <w:r w:rsidRPr="003662E7">
        <w:rPr>
          <w:rFonts w:ascii="Arial" w:eastAsia="Arial" w:hAnsi="Arial" w:cs="Arial"/>
          <w:color w:val="000000" w:themeColor="text1"/>
          <w:sz w:val="22"/>
          <w:szCs w:val="22"/>
        </w:rPr>
        <w:t>zona_ubicacion</w:t>
      </w:r>
      <w:proofErr w:type="spellEnd"/>
      <w:r w:rsidRPr="003662E7">
        <w:rPr>
          <w:rFonts w:ascii="Arial" w:eastAsia="Arial" w:hAnsi="Arial" w:cs="Arial"/>
          <w:color w:val="000000" w:themeColor="text1"/>
          <w:sz w:val="22"/>
          <w:szCs w:val="22"/>
        </w:rPr>
        <w:t>} del municipio de Fusagasugá.</w:t>
      </w:r>
    </w:p>
    <w:p w14:paraId="029472D3" w14:textId="77777777" w:rsidR="003662E7" w:rsidRDefault="003662E7" w:rsidP="00FD349E">
      <w:pPr>
        <w:pStyle w:val="Normal2"/>
        <w:pBdr>
          <w:top w:val="nil"/>
          <w:left w:val="nil"/>
          <w:bottom w:val="nil"/>
          <w:right w:val="nil"/>
          <w:between w:val="nil"/>
        </w:pBdr>
        <w:jc w:val="both"/>
        <w:rPr>
          <w:rFonts w:ascii="Arial" w:eastAsia="Arial" w:hAnsi="Arial" w:cs="Arial"/>
          <w:color w:val="000000" w:themeColor="text1"/>
          <w:sz w:val="22"/>
          <w:szCs w:val="22"/>
        </w:rPr>
      </w:pPr>
    </w:p>
    <w:p w14:paraId="0DCF7969" w14:textId="31B4A6A9" w:rsidR="000F7299" w:rsidRDefault="003662E7" w:rsidP="00FD349E">
      <w:pPr>
        <w:pStyle w:val="Normal2"/>
        <w:pBdr>
          <w:top w:val="nil"/>
          <w:left w:val="nil"/>
          <w:bottom w:val="nil"/>
          <w:right w:val="nil"/>
          <w:between w:val="nil"/>
        </w:pBdr>
        <w:jc w:val="both"/>
        <w:rPr>
          <w:rFonts w:ascii="Arial" w:hAnsi="Arial" w:cs="Arial"/>
          <w:sz w:val="22"/>
          <w:szCs w:val="22"/>
        </w:rPr>
      </w:pPr>
      <w:r w:rsidRPr="003662E7">
        <w:rPr>
          <w:rFonts w:ascii="Arial" w:hAnsi="Arial" w:cs="Arial"/>
          <w:sz w:val="22"/>
          <w:szCs w:val="22"/>
        </w:rPr>
        <w:lastRenderedPageBreak/>
        <w:t>Que para el trámite en cuestión, fueron allegados los siguientes documentos: i) Copia de la Escritura Pública No. ${</w:t>
      </w:r>
      <w:proofErr w:type="spellStart"/>
      <w:r w:rsidRPr="003662E7">
        <w:rPr>
          <w:rFonts w:ascii="Arial" w:hAnsi="Arial" w:cs="Arial"/>
          <w:sz w:val="22"/>
          <w:szCs w:val="22"/>
        </w:rPr>
        <w:t>escritura_publica</w:t>
      </w:r>
      <w:proofErr w:type="spellEnd"/>
      <w:r w:rsidRPr="003662E7">
        <w:rPr>
          <w:rFonts w:ascii="Arial" w:hAnsi="Arial" w:cs="Arial"/>
          <w:sz w:val="22"/>
          <w:szCs w:val="22"/>
        </w:rPr>
        <w:t>} de fecha ${</w:t>
      </w:r>
      <w:proofErr w:type="spellStart"/>
      <w:r w:rsidRPr="003662E7">
        <w:rPr>
          <w:rFonts w:ascii="Arial" w:hAnsi="Arial" w:cs="Arial"/>
          <w:sz w:val="22"/>
          <w:szCs w:val="22"/>
        </w:rPr>
        <w:t>fecha_now</w:t>
      </w:r>
      <w:proofErr w:type="spellEnd"/>
      <w:r w:rsidRPr="003662E7">
        <w:rPr>
          <w:rFonts w:ascii="Arial" w:hAnsi="Arial" w:cs="Arial"/>
          <w:sz w:val="22"/>
          <w:szCs w:val="22"/>
        </w:rPr>
        <w:t>} de la Notaría ${</w:t>
      </w:r>
      <w:proofErr w:type="spellStart"/>
      <w:r w:rsidRPr="003662E7">
        <w:rPr>
          <w:rFonts w:ascii="Arial" w:hAnsi="Arial" w:cs="Arial"/>
          <w:sz w:val="22"/>
          <w:szCs w:val="22"/>
        </w:rPr>
        <w:t>no_notaria</w:t>
      </w:r>
      <w:proofErr w:type="spellEnd"/>
      <w:r w:rsidRPr="003662E7">
        <w:rPr>
          <w:rFonts w:ascii="Arial" w:hAnsi="Arial" w:cs="Arial"/>
          <w:sz w:val="22"/>
          <w:szCs w:val="22"/>
        </w:rPr>
        <w:t>} de ${ciudad}; ii) Formulario de Calificación y/o Certificado de Tradición y Libertad correspondiente a la matrícula inmobiliaria No. ${</w:t>
      </w:r>
      <w:proofErr w:type="spellStart"/>
      <w:r w:rsidRPr="003662E7">
        <w:rPr>
          <w:rFonts w:ascii="Arial" w:hAnsi="Arial" w:cs="Arial"/>
          <w:sz w:val="22"/>
          <w:szCs w:val="22"/>
        </w:rPr>
        <w:t>matricula_inmobiliaria</w:t>
      </w:r>
      <w:proofErr w:type="spellEnd"/>
      <w:r w:rsidRPr="003662E7">
        <w:rPr>
          <w:rFonts w:ascii="Arial" w:hAnsi="Arial" w:cs="Arial"/>
          <w:sz w:val="22"/>
          <w:szCs w:val="22"/>
        </w:rPr>
        <w:t>} del predio de mayor extensión, ${</w:t>
      </w:r>
      <w:proofErr w:type="spellStart"/>
      <w:r w:rsidRPr="003662E7">
        <w:rPr>
          <w:rFonts w:ascii="Arial" w:hAnsi="Arial" w:cs="Arial"/>
          <w:sz w:val="22"/>
          <w:szCs w:val="22"/>
        </w:rPr>
        <w:t>extension_desde</w:t>
      </w:r>
      <w:proofErr w:type="spellEnd"/>
      <w:r w:rsidRPr="003662E7">
        <w:rPr>
          <w:rFonts w:ascii="Arial" w:hAnsi="Arial" w:cs="Arial"/>
          <w:sz w:val="22"/>
          <w:szCs w:val="22"/>
        </w:rPr>
        <w:t>} al ${</w:t>
      </w:r>
      <w:proofErr w:type="spellStart"/>
      <w:r w:rsidRPr="003662E7">
        <w:rPr>
          <w:rFonts w:ascii="Arial" w:hAnsi="Arial" w:cs="Arial"/>
          <w:sz w:val="22"/>
          <w:szCs w:val="22"/>
        </w:rPr>
        <w:t>extension_hasta</w:t>
      </w:r>
      <w:proofErr w:type="spellEnd"/>
      <w:r w:rsidRPr="003662E7">
        <w:rPr>
          <w:rFonts w:ascii="Arial" w:hAnsi="Arial" w:cs="Arial"/>
          <w:sz w:val="22"/>
          <w:szCs w:val="22"/>
        </w:rPr>
        <w:t xml:space="preserve">} producto del </w:t>
      </w:r>
      <w:proofErr w:type="spellStart"/>
      <w:r w:rsidRPr="003662E7">
        <w:rPr>
          <w:rFonts w:ascii="Arial" w:hAnsi="Arial" w:cs="Arial"/>
          <w:sz w:val="22"/>
          <w:szCs w:val="22"/>
        </w:rPr>
        <w:t>desenglobe</w:t>
      </w:r>
      <w:proofErr w:type="spellEnd"/>
      <w:r w:rsidRPr="003662E7">
        <w:rPr>
          <w:rFonts w:ascii="Arial" w:hAnsi="Arial" w:cs="Arial"/>
          <w:sz w:val="22"/>
          <w:szCs w:val="22"/>
        </w:rPr>
        <w:t xml:space="preserve"> iii) Plano de subdivisión o propiedad horizontal según el caso, debidamente aprobado por la Curaduría; iv) Licencia de urbanización o de subdivisión, según corresponda.</w:t>
      </w:r>
    </w:p>
    <w:p w14:paraId="7A6A7B01" w14:textId="77777777" w:rsidR="003662E7" w:rsidRDefault="003662E7" w:rsidP="00FD349E">
      <w:pPr>
        <w:pStyle w:val="Normal2"/>
        <w:pBdr>
          <w:top w:val="nil"/>
          <w:left w:val="nil"/>
          <w:bottom w:val="nil"/>
          <w:right w:val="nil"/>
          <w:between w:val="nil"/>
        </w:pBdr>
        <w:jc w:val="both"/>
        <w:rPr>
          <w:rFonts w:ascii="Arial" w:eastAsia="Arial" w:hAnsi="Arial" w:cs="Arial"/>
          <w:i/>
          <w:iCs/>
          <w:color w:val="FF0000"/>
          <w:sz w:val="22"/>
          <w:szCs w:val="22"/>
        </w:rPr>
      </w:pPr>
    </w:p>
    <w:p w14:paraId="6B71703B" w14:textId="77777777" w:rsidR="000F7299" w:rsidRPr="00D133E6" w:rsidRDefault="000F7299" w:rsidP="00FD349E">
      <w:pPr>
        <w:pStyle w:val="Normal2"/>
        <w:pBdr>
          <w:top w:val="nil"/>
          <w:left w:val="nil"/>
          <w:bottom w:val="nil"/>
          <w:right w:val="nil"/>
          <w:between w:val="nil"/>
        </w:pBdr>
        <w:jc w:val="both"/>
        <w:rPr>
          <w:rFonts w:ascii="Arial" w:hAnsi="Arial" w:cs="Arial"/>
          <w:i/>
          <w:iCs/>
          <w:sz w:val="22"/>
          <w:szCs w:val="22"/>
        </w:rPr>
      </w:pPr>
      <w:r w:rsidRPr="0012350F">
        <w:rPr>
          <w:rFonts w:ascii="Arial" w:eastAsia="Arial" w:hAnsi="Arial" w:cs="Arial"/>
          <w:sz w:val="22"/>
          <w:szCs w:val="22"/>
        </w:rPr>
        <w:t xml:space="preserve">Que en ese sentido, </w:t>
      </w:r>
      <w:r>
        <w:rPr>
          <w:rFonts w:ascii="Arial" w:eastAsia="Arial" w:hAnsi="Arial" w:cs="Arial"/>
          <w:sz w:val="22"/>
          <w:szCs w:val="22"/>
        </w:rPr>
        <w:t>de conformidad con el literal b) del artículo 15 de la Resolución IGAC 1149 de 2021</w:t>
      </w:r>
      <w:r w:rsidRPr="00D133E6">
        <w:t xml:space="preserve"> </w:t>
      </w:r>
      <w:r w:rsidRPr="00D133E6">
        <w:rPr>
          <w:rFonts w:ascii="Arial" w:hAnsi="Arial" w:cs="Arial"/>
          <w:i/>
          <w:iCs/>
          <w:sz w:val="22"/>
          <w:szCs w:val="22"/>
        </w:rPr>
        <w:t>“Por la cual se actualiza la reglamentación técnica de la formación, actualización, conservación y difusión catastral con enfoque multipropósito”</w:t>
      </w:r>
      <w:r w:rsidRPr="00D133E6">
        <w:rPr>
          <w:rFonts w:ascii="Arial" w:hAnsi="Arial" w:cs="Arial"/>
          <w:sz w:val="22"/>
          <w:szCs w:val="22"/>
        </w:rPr>
        <w:t>, la</w:t>
      </w:r>
      <w:r>
        <w:rPr>
          <w:rFonts w:ascii="Arial" w:hAnsi="Arial" w:cs="Arial"/>
          <w:sz w:val="22"/>
          <w:szCs w:val="22"/>
        </w:rPr>
        <w:t>s</w:t>
      </w:r>
      <w:r w:rsidRPr="00D133E6">
        <w:rPr>
          <w:rFonts w:ascii="Arial" w:hAnsi="Arial" w:cs="Arial"/>
          <w:sz w:val="22"/>
          <w:szCs w:val="22"/>
        </w:rPr>
        <w:t xml:space="preserve"> MUTACION</w:t>
      </w:r>
      <w:r>
        <w:rPr>
          <w:rFonts w:ascii="Arial" w:hAnsi="Arial" w:cs="Arial"/>
          <w:sz w:val="22"/>
          <w:szCs w:val="22"/>
        </w:rPr>
        <w:t>ES</w:t>
      </w:r>
      <w:r w:rsidRPr="00D133E6">
        <w:rPr>
          <w:rFonts w:ascii="Arial" w:hAnsi="Arial" w:cs="Arial"/>
          <w:sz w:val="22"/>
          <w:szCs w:val="22"/>
        </w:rPr>
        <w:t xml:space="preserve"> DE SEGUNDA CLASE,</w:t>
      </w:r>
      <w:r>
        <w:rPr>
          <w:rFonts w:ascii="Arial" w:hAnsi="Arial" w:cs="Arial"/>
          <w:sz w:val="22"/>
          <w:szCs w:val="22"/>
        </w:rPr>
        <w:t xml:space="preserve"> </w:t>
      </w:r>
      <w:r w:rsidRPr="00D133E6">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r>
        <w:rPr>
          <w:rFonts w:ascii="Arial" w:hAnsi="Arial" w:cs="Arial"/>
          <w:i/>
          <w:iCs/>
          <w:sz w:val="22"/>
          <w:szCs w:val="22"/>
        </w:rPr>
        <w:t>”</w:t>
      </w:r>
      <w:r w:rsidRPr="00D133E6">
        <w:rPr>
          <w:rFonts w:ascii="Arial" w:hAnsi="Arial" w:cs="Arial"/>
          <w:i/>
          <w:iCs/>
          <w:sz w:val="22"/>
          <w:szCs w:val="22"/>
        </w:rPr>
        <w:t>.</w:t>
      </w:r>
    </w:p>
    <w:p w14:paraId="79EB8563" w14:textId="77777777" w:rsidR="000F7299" w:rsidRPr="00D133E6" w:rsidRDefault="000F7299" w:rsidP="00FD349E">
      <w:pPr>
        <w:pStyle w:val="Normal2"/>
        <w:pBdr>
          <w:top w:val="nil"/>
          <w:left w:val="nil"/>
          <w:bottom w:val="nil"/>
          <w:right w:val="nil"/>
          <w:between w:val="nil"/>
        </w:pBdr>
        <w:jc w:val="both"/>
        <w:rPr>
          <w:rFonts w:ascii="Arial" w:hAnsi="Arial" w:cs="Arial"/>
          <w:i/>
          <w:iCs/>
          <w:sz w:val="22"/>
          <w:szCs w:val="22"/>
        </w:rPr>
      </w:pPr>
    </w:p>
    <w:p w14:paraId="5B690DD7" w14:textId="77777777" w:rsidR="000F7299" w:rsidRPr="00D133E6" w:rsidRDefault="000F7299" w:rsidP="00FD349E">
      <w:pPr>
        <w:pStyle w:val="Normal2"/>
        <w:pBdr>
          <w:top w:val="nil"/>
          <w:left w:val="nil"/>
          <w:bottom w:val="nil"/>
          <w:right w:val="nil"/>
          <w:between w:val="nil"/>
        </w:pBdr>
        <w:jc w:val="both"/>
        <w:rPr>
          <w:rFonts w:ascii="Arial" w:hAnsi="Arial" w:cs="Arial"/>
          <w:i/>
          <w:iCs/>
          <w:sz w:val="22"/>
          <w:szCs w:val="22"/>
        </w:rPr>
      </w:pPr>
      <w:r w:rsidRPr="00D133E6">
        <w:rPr>
          <w:rFonts w:ascii="Arial" w:hAnsi="Arial" w:cs="Arial"/>
          <w:i/>
          <w:iCs/>
          <w:sz w:val="22"/>
          <w:szCs w:val="22"/>
        </w:rPr>
        <w:t>Igualmente, cuando por cualquier causa se modifiquen los coeficientes de copropiedad, en predios bajo el régimen de propiedad horizontal debidamente registrado</w:t>
      </w:r>
      <w:r>
        <w:rPr>
          <w:rFonts w:ascii="Arial" w:hAnsi="Arial" w:cs="Arial"/>
          <w:i/>
          <w:iCs/>
          <w:sz w:val="22"/>
          <w:szCs w:val="22"/>
        </w:rPr>
        <w:t xml:space="preserve"> (…)”</w:t>
      </w:r>
    </w:p>
    <w:p w14:paraId="4537E68C" w14:textId="77777777" w:rsidR="00214B7A" w:rsidRPr="00214B7A" w:rsidRDefault="00214B7A" w:rsidP="00FD349E">
      <w:pPr>
        <w:pStyle w:val="Normal2"/>
        <w:pBdr>
          <w:top w:val="nil"/>
          <w:left w:val="nil"/>
          <w:bottom w:val="nil"/>
          <w:right w:val="nil"/>
          <w:between w:val="nil"/>
        </w:pBdr>
        <w:jc w:val="both"/>
        <w:rPr>
          <w:rFonts w:ascii="Arial" w:eastAsia="Arial" w:hAnsi="Arial" w:cs="Arial"/>
          <w:sz w:val="22"/>
          <w:szCs w:val="22"/>
        </w:rPr>
      </w:pPr>
    </w:p>
    <w:p w14:paraId="0000000F" w14:textId="26AC4FA4" w:rsidR="00CB35C0" w:rsidRPr="00214B7A" w:rsidRDefault="00A51C5B" w:rsidP="00FD349E">
      <w:pPr>
        <w:pStyle w:val="Normal2"/>
        <w:pBdr>
          <w:top w:val="nil"/>
          <w:left w:val="nil"/>
          <w:bottom w:val="nil"/>
          <w:right w:val="nil"/>
          <w:between w:val="nil"/>
        </w:pBdr>
        <w:spacing w:after="160"/>
        <w:jc w:val="both"/>
        <w:rPr>
          <w:rFonts w:ascii="Arial" w:eastAsia="Arial" w:hAnsi="Arial" w:cs="Arial"/>
          <w:sz w:val="22"/>
          <w:szCs w:val="22"/>
        </w:rPr>
      </w:pPr>
      <w:r w:rsidRPr="00214B7A">
        <w:rPr>
          <w:rFonts w:ascii="Arial" w:eastAsia="Arial" w:hAnsi="Arial" w:cs="Arial"/>
          <w:sz w:val="22"/>
          <w:szCs w:val="22"/>
        </w:rPr>
        <w:t xml:space="preserve">Que de acuerdo al </w:t>
      </w:r>
      <w:r w:rsidRPr="00214B7A">
        <w:rPr>
          <w:rFonts w:ascii="Arial" w:eastAsia="Arial" w:hAnsi="Arial" w:cs="Arial"/>
          <w:i/>
          <w:iCs/>
          <w:sz w:val="22"/>
          <w:szCs w:val="22"/>
        </w:rPr>
        <w:t>Artículo 16. Identificación de los bienes privados o de dominio particular. Parágrafo 1°</w:t>
      </w:r>
      <w:r w:rsidR="248171B2" w:rsidRPr="00214B7A">
        <w:rPr>
          <w:rFonts w:ascii="Arial" w:eastAsia="Arial" w:hAnsi="Arial" w:cs="Arial"/>
          <w:i/>
          <w:iCs/>
          <w:sz w:val="22"/>
          <w:szCs w:val="22"/>
        </w:rPr>
        <w:t xml:space="preserve"> </w:t>
      </w:r>
      <w:r w:rsidR="248171B2" w:rsidRPr="00214B7A">
        <w:rPr>
          <w:rFonts w:ascii="Arial" w:eastAsia="Arial" w:hAnsi="Arial" w:cs="Arial"/>
          <w:sz w:val="22"/>
          <w:szCs w:val="22"/>
        </w:rPr>
        <w:t>de la Ley 675/2001</w:t>
      </w:r>
      <w:r w:rsidRPr="00214B7A">
        <w:rPr>
          <w:rFonts w:ascii="Arial" w:eastAsia="Arial" w:hAnsi="Arial" w:cs="Arial"/>
          <w:i/>
          <w:iCs/>
          <w:sz w:val="22"/>
          <w:szCs w:val="22"/>
        </w:rPr>
        <w:t xml:space="preserve">. “(…) el impuesto predial sobre cada bien privado incorpora el correspondiente a los bienes comunes del edificio o conjunto, en proporción al coeficiente de copropiedad respectivo.”, </w:t>
      </w:r>
      <w:r w:rsidRPr="00214B7A">
        <w:rPr>
          <w:rFonts w:ascii="Arial" w:eastAsia="Arial" w:hAnsi="Arial" w:cs="Arial"/>
          <w:sz w:val="22"/>
          <w:szCs w:val="22"/>
        </w:rPr>
        <w:t xml:space="preserve">por tal motivo, para copropiedades de tipo condominio, el área de terreno de los predios </w:t>
      </w:r>
      <w:proofErr w:type="spellStart"/>
      <w:r w:rsidRPr="00214B7A">
        <w:rPr>
          <w:rFonts w:ascii="Arial" w:eastAsia="Arial" w:hAnsi="Arial" w:cs="Arial"/>
          <w:sz w:val="22"/>
          <w:szCs w:val="22"/>
        </w:rPr>
        <w:t>desenglobados</w:t>
      </w:r>
      <w:proofErr w:type="spellEnd"/>
      <w:r w:rsidRPr="00214B7A">
        <w:rPr>
          <w:rFonts w:ascii="Arial" w:eastAsia="Arial" w:hAnsi="Arial" w:cs="Arial"/>
          <w:sz w:val="22"/>
          <w:szCs w:val="22"/>
        </w:rPr>
        <w:t xml:space="preserve">, corresponderá a la sumatoria del área privada de terreno, más el área común respectiva, según el coeficiente de copropiedad asignado mediante Reglamento de Propiedad Horizontal y para copropiedades en altura o de tipo </w:t>
      </w:r>
      <w:proofErr w:type="spellStart"/>
      <w:r w:rsidRPr="00214B7A">
        <w:rPr>
          <w:rFonts w:ascii="Arial" w:eastAsia="Arial" w:hAnsi="Arial" w:cs="Arial"/>
          <w:sz w:val="22"/>
          <w:szCs w:val="22"/>
        </w:rPr>
        <w:t>bifamiliar</w:t>
      </w:r>
      <w:proofErr w:type="spellEnd"/>
      <w:r w:rsidRPr="00214B7A">
        <w:rPr>
          <w:rFonts w:ascii="Arial" w:eastAsia="Arial" w:hAnsi="Arial" w:cs="Arial"/>
          <w:sz w:val="22"/>
          <w:szCs w:val="22"/>
        </w:rPr>
        <w:t xml:space="preserve"> corresponderá a la aplicación del coeficiente de copropiedad sobre el área de terreno del predio en mayor extensión.</w:t>
      </w:r>
    </w:p>
    <w:p w14:paraId="00000010" w14:textId="78335C69" w:rsidR="00CB35C0" w:rsidRPr="00214B7A" w:rsidRDefault="00A51C5B" w:rsidP="00FD349E">
      <w:pPr>
        <w:pStyle w:val="Normal2"/>
        <w:pBdr>
          <w:top w:val="nil"/>
          <w:left w:val="nil"/>
          <w:bottom w:val="nil"/>
          <w:right w:val="nil"/>
          <w:between w:val="nil"/>
        </w:pBdr>
        <w:spacing w:after="160"/>
        <w:jc w:val="both"/>
        <w:rPr>
          <w:rFonts w:ascii="Arial" w:eastAsia="Arial" w:hAnsi="Arial" w:cs="Arial"/>
          <w:sz w:val="22"/>
          <w:szCs w:val="22"/>
        </w:rPr>
      </w:pPr>
      <w:r w:rsidRPr="70EAD231">
        <w:rPr>
          <w:rFonts w:ascii="Arial" w:eastAsia="Arial" w:hAnsi="Arial" w:cs="Arial"/>
          <w:sz w:val="22"/>
          <w:szCs w:val="22"/>
        </w:rPr>
        <w:t>Que de acuerdo al</w:t>
      </w:r>
      <w:r w:rsidR="778AE9A4" w:rsidRPr="70EAD231">
        <w:rPr>
          <w:rFonts w:ascii="Arial" w:eastAsia="Arial" w:hAnsi="Arial" w:cs="Arial"/>
          <w:sz w:val="22"/>
          <w:szCs w:val="22"/>
        </w:rPr>
        <w:t xml:space="preserve"> Artículo 24.</w:t>
      </w:r>
      <w:r w:rsidRPr="70EAD231">
        <w:rPr>
          <w:rFonts w:ascii="Arial" w:eastAsia="Arial" w:hAnsi="Arial" w:cs="Arial"/>
          <w:sz w:val="22"/>
          <w:szCs w:val="22"/>
        </w:rPr>
        <w:t xml:space="preserve"> Parágrafo 1° </w:t>
      </w:r>
      <w:proofErr w:type="spellStart"/>
      <w:r w:rsidR="7BB84C2F" w:rsidRPr="70EAD231">
        <w:rPr>
          <w:rFonts w:ascii="Arial" w:eastAsia="Arial" w:hAnsi="Arial" w:cs="Arial"/>
          <w:sz w:val="22"/>
          <w:szCs w:val="22"/>
        </w:rPr>
        <w:t>ibidem</w:t>
      </w:r>
      <w:proofErr w:type="spellEnd"/>
      <w:r w:rsidRPr="70EAD231">
        <w:rPr>
          <w:rFonts w:ascii="Arial" w:eastAsia="Arial" w:hAnsi="Arial" w:cs="Arial"/>
          <w:sz w:val="22"/>
          <w:szCs w:val="22"/>
        </w:rPr>
        <w:t xml:space="preserve"> </w:t>
      </w:r>
      <w:r w:rsidRPr="70EAD231">
        <w:rPr>
          <w:rFonts w:ascii="Arial" w:eastAsia="Arial" w:hAnsi="Arial" w:cs="Arial"/>
          <w:i/>
          <w:iCs/>
          <w:sz w:val="22"/>
          <w:szCs w:val="22"/>
        </w:rPr>
        <w:t>“Cuando se trate de conjuntos o proyectos construidos por etapas, los bienes comunes esenciales para el uso y goce de los bienes privados se referirán a aquellos localizados en cada uno de los edificios o etapas cuya construcción se haya concluido.”</w:t>
      </w:r>
      <w:r w:rsidRPr="70EAD231">
        <w:rPr>
          <w:rFonts w:ascii="Arial" w:eastAsia="Arial" w:hAnsi="Arial" w:cs="Arial"/>
          <w:sz w:val="22"/>
          <w:szCs w:val="22"/>
        </w:rPr>
        <w:t>, de esta manera, cuando la Escritura del Reglamento de Propiedad Horizontal, no contenga aún la totalidad de las etapas del proyecto, se mantendrá la inscripción catastral del predio mayor extensión con el área que corresponda a las etapas restantes.</w:t>
      </w:r>
    </w:p>
    <w:p w14:paraId="54184CBB" w14:textId="4BA0DB19" w:rsidR="00143F7A" w:rsidRDefault="28F07400" w:rsidP="70EAD231">
      <w:pPr>
        <w:pStyle w:val="Normal2"/>
        <w:jc w:val="both"/>
        <w:rPr>
          <w:rStyle w:val="normaltextrun"/>
          <w:rFonts w:ascii="Arial" w:hAnsi="Arial" w:cs="Arial"/>
          <w:color w:val="000000" w:themeColor="background2"/>
          <w:sz w:val="22"/>
          <w:szCs w:val="22"/>
        </w:rPr>
      </w:pPr>
      <w:r w:rsidRPr="70EAD231">
        <w:rPr>
          <w:rFonts w:ascii="Arial" w:eastAsia="Arial" w:hAnsi="Arial" w:cs="Arial"/>
          <w:color w:val="000000" w:themeColor="background2"/>
          <w:sz w:val="22"/>
          <w:szCs w:val="22"/>
        </w:rPr>
        <w:t>Que una vez revisada la documentación aportada y confrontada con la información que reposa en las bases de datos catastral y registral, así como los demás insumos catastrales y cartográficos, se encuentra procedente realizar el</w:t>
      </w:r>
      <w:r w:rsidR="00143F7A">
        <w:rPr>
          <w:rFonts w:ascii="Arial" w:hAnsi="Arial" w:cs="Arial"/>
          <w:sz w:val="22"/>
          <w:szCs w:val="22"/>
        </w:rPr>
        <w:t xml:space="preserve"> DESENGLOBE, conforme a la</w:t>
      </w:r>
      <w:r w:rsidR="00143F7A" w:rsidRPr="0099058E">
        <w:rPr>
          <w:rFonts w:ascii="Arial" w:hAnsi="Arial" w:cs="Arial"/>
          <w:sz w:val="22"/>
          <w:szCs w:val="22"/>
        </w:rPr>
        <w:t xml:space="preserve">s áreas de terreno y </w:t>
      </w:r>
      <w:r w:rsidR="00143F7A" w:rsidRPr="0099058E">
        <w:rPr>
          <w:rStyle w:val="normaltextrun"/>
          <w:rFonts w:ascii="Arial" w:hAnsi="Arial" w:cs="Arial"/>
          <w:color w:val="000000"/>
          <w:sz w:val="22"/>
          <w:szCs w:val="22"/>
          <w:shd w:val="clear" w:color="auto" w:fill="FFFFFF"/>
        </w:rPr>
        <w:t>linderos contenidos en la escritura pública, plano</w:t>
      </w:r>
      <w:r w:rsidR="00143F7A">
        <w:rPr>
          <w:rStyle w:val="normaltextrun"/>
          <w:rFonts w:ascii="Arial" w:hAnsi="Arial" w:cs="Arial"/>
          <w:color w:val="000000"/>
          <w:sz w:val="22"/>
          <w:szCs w:val="22"/>
          <w:shd w:val="clear" w:color="auto" w:fill="FFFFFF"/>
        </w:rPr>
        <w:t>s aprobados</w:t>
      </w:r>
      <w:r w:rsidR="00143F7A" w:rsidRPr="0099058E">
        <w:rPr>
          <w:rStyle w:val="normaltextrun"/>
          <w:rFonts w:ascii="Arial" w:hAnsi="Arial" w:cs="Arial"/>
          <w:color w:val="000000"/>
          <w:sz w:val="22"/>
          <w:szCs w:val="22"/>
          <w:shd w:val="clear" w:color="auto" w:fill="FFFFFF"/>
        </w:rPr>
        <w:t xml:space="preserve"> y </w:t>
      </w:r>
      <w:r w:rsidR="00143F7A">
        <w:rPr>
          <w:rStyle w:val="normaltextrun"/>
          <w:rFonts w:ascii="Arial" w:hAnsi="Arial" w:cs="Arial"/>
          <w:color w:val="000000"/>
          <w:sz w:val="22"/>
          <w:szCs w:val="22"/>
          <w:shd w:val="clear" w:color="auto" w:fill="FFFFFF"/>
        </w:rPr>
        <w:t>C</w:t>
      </w:r>
      <w:r w:rsidR="00143F7A" w:rsidRPr="0099058E">
        <w:rPr>
          <w:rStyle w:val="normaltextrun"/>
          <w:rFonts w:ascii="Arial" w:hAnsi="Arial" w:cs="Arial"/>
          <w:color w:val="000000"/>
          <w:sz w:val="22"/>
          <w:szCs w:val="22"/>
          <w:shd w:val="clear" w:color="auto" w:fill="FFFFFF"/>
        </w:rPr>
        <w:t xml:space="preserve">ertificados de </w:t>
      </w:r>
      <w:r w:rsidR="00143F7A">
        <w:rPr>
          <w:rStyle w:val="normaltextrun"/>
          <w:rFonts w:ascii="Arial" w:hAnsi="Arial" w:cs="Arial"/>
          <w:color w:val="000000"/>
          <w:sz w:val="22"/>
          <w:szCs w:val="22"/>
          <w:shd w:val="clear" w:color="auto" w:fill="FFFFFF"/>
        </w:rPr>
        <w:t>T</w:t>
      </w:r>
      <w:r w:rsidR="00143F7A" w:rsidRPr="0099058E">
        <w:rPr>
          <w:rStyle w:val="normaltextrun"/>
          <w:rFonts w:ascii="Arial" w:hAnsi="Arial" w:cs="Arial"/>
          <w:color w:val="000000"/>
          <w:sz w:val="22"/>
          <w:szCs w:val="22"/>
          <w:shd w:val="clear" w:color="auto" w:fill="FFFFFF"/>
        </w:rPr>
        <w:t xml:space="preserve">radición y </w:t>
      </w:r>
      <w:r w:rsidR="00143F7A">
        <w:rPr>
          <w:rStyle w:val="normaltextrun"/>
          <w:rFonts w:ascii="Arial" w:hAnsi="Arial" w:cs="Arial"/>
          <w:color w:val="000000"/>
          <w:sz w:val="22"/>
          <w:szCs w:val="22"/>
          <w:shd w:val="clear" w:color="auto" w:fill="FFFFFF"/>
        </w:rPr>
        <w:t>L</w:t>
      </w:r>
      <w:r w:rsidR="00143F7A" w:rsidRPr="0099058E">
        <w:rPr>
          <w:rStyle w:val="normaltextrun"/>
          <w:rFonts w:ascii="Arial" w:hAnsi="Arial" w:cs="Arial"/>
          <w:color w:val="000000"/>
          <w:sz w:val="22"/>
          <w:szCs w:val="22"/>
          <w:shd w:val="clear" w:color="auto" w:fill="FFFFFF"/>
        </w:rPr>
        <w:t>ibertad aportados</w:t>
      </w:r>
      <w:r w:rsidR="00143F7A">
        <w:rPr>
          <w:rStyle w:val="normaltextrun"/>
          <w:rFonts w:ascii="Arial" w:hAnsi="Arial" w:cs="Arial"/>
          <w:color w:val="000000"/>
          <w:sz w:val="22"/>
          <w:szCs w:val="22"/>
          <w:shd w:val="clear" w:color="auto" w:fill="FFFFFF"/>
        </w:rPr>
        <w:t xml:space="preserve">. </w:t>
      </w:r>
    </w:p>
    <w:p w14:paraId="43448F08" w14:textId="77777777" w:rsidR="00143F7A" w:rsidRDefault="00143F7A" w:rsidP="00FD349E">
      <w:pPr>
        <w:pStyle w:val="Normal2"/>
        <w:jc w:val="both"/>
        <w:rPr>
          <w:rFonts w:ascii="Arial" w:hAnsi="Arial" w:cs="Arial"/>
          <w:b/>
          <w:bCs/>
          <w:color w:val="FF0000"/>
          <w:sz w:val="22"/>
          <w:szCs w:val="22"/>
        </w:rPr>
      </w:pPr>
    </w:p>
    <w:p w14:paraId="382FEB5E" w14:textId="77777777" w:rsidR="00143F7A" w:rsidRPr="00055C5A" w:rsidRDefault="00143F7A" w:rsidP="00FD349E">
      <w:pPr>
        <w:jc w:val="both"/>
        <w:rPr>
          <w:rStyle w:val="eop"/>
          <w:rFonts w:ascii="Arial" w:hAnsi="Arial" w:cs="Arial"/>
          <w:color w:val="000000"/>
          <w:sz w:val="22"/>
          <w:szCs w:val="22"/>
          <w:shd w:val="clear" w:color="auto" w:fill="FFFFFF"/>
        </w:rPr>
      </w:pPr>
      <w:bookmarkStart w:id="4" w:name="_heading=h.yuxo785isn43" w:colFirst="0" w:colLast="0"/>
      <w:bookmarkEnd w:id="4"/>
      <w:r w:rsidRPr="00FB3F0E">
        <w:rPr>
          <w:rStyle w:val="normaltextrun"/>
          <w:rFonts w:ascii="Arial" w:hAnsi="Arial" w:cs="Arial"/>
          <w:color w:val="000000"/>
          <w:sz w:val="22"/>
          <w:szCs w:val="22"/>
          <w:shd w:val="clear" w:color="auto" w:fill="FFFFFF"/>
        </w:rPr>
        <w:t>Que dicho trámite implica una mutación de segunda clase y su correspondiente inscripción en el catastro, conforme lo indican los artículos 14, 15 literal b), 16 y 22 de la Resolución IGAC 1149 de 2021.</w:t>
      </w:r>
      <w:r w:rsidRPr="00055C5A">
        <w:rPr>
          <w:rStyle w:val="eop"/>
          <w:rFonts w:ascii="Arial" w:hAnsi="Arial" w:cs="Arial"/>
          <w:color w:val="000000"/>
          <w:sz w:val="22"/>
          <w:szCs w:val="22"/>
          <w:shd w:val="clear" w:color="auto" w:fill="FFFFFF"/>
        </w:rPr>
        <w:t> </w:t>
      </w:r>
    </w:p>
    <w:p w14:paraId="2165373D" w14:textId="77777777" w:rsidR="00143F7A" w:rsidRPr="00F5388C" w:rsidRDefault="00143F7A" w:rsidP="00FD349E">
      <w:pPr>
        <w:jc w:val="both"/>
        <w:rPr>
          <w:rFonts w:ascii="Arial" w:hAnsi="Arial" w:cs="Arial"/>
          <w:sz w:val="22"/>
          <w:szCs w:val="22"/>
        </w:rPr>
      </w:pPr>
    </w:p>
    <w:p w14:paraId="4304DA94" w14:textId="37A5642B" w:rsidR="00143F7A" w:rsidRPr="00A46274" w:rsidRDefault="00143F7A" w:rsidP="00FD349E">
      <w:pPr>
        <w:jc w:val="both"/>
        <w:rPr>
          <w:rFonts w:ascii="Arial" w:hAnsi="Arial" w:cs="Arial"/>
          <w:sz w:val="22"/>
          <w:szCs w:val="22"/>
        </w:rPr>
      </w:pPr>
      <w:bookmarkStart w:id="5" w:name="_Hlk145359585"/>
      <w:r>
        <w:rPr>
          <w:rFonts w:ascii="Arial" w:hAnsi="Arial" w:cs="Arial"/>
          <w:sz w:val="22"/>
          <w:szCs w:val="22"/>
        </w:rPr>
        <w:t>Así pues,</w:t>
      </w:r>
      <w:r w:rsidRPr="00100B76">
        <w:rPr>
          <w:rFonts w:ascii="Arial" w:hAnsi="Arial" w:cs="Arial"/>
          <w:sz w:val="22"/>
          <w:szCs w:val="22"/>
        </w:rPr>
        <w:t xml:space="preserve"> teniendo en cuenta que dentro de las finalidades que se buscan a través del servicio público de gestión catastral </w:t>
      </w:r>
      <w:r>
        <w:rPr>
          <w:rFonts w:ascii="Arial" w:hAnsi="Arial" w:cs="Arial"/>
          <w:sz w:val="22"/>
          <w:szCs w:val="22"/>
        </w:rPr>
        <w:t xml:space="preserve">se encuentra el </w:t>
      </w:r>
      <w:r w:rsidRPr="00100B76">
        <w:rPr>
          <w:rFonts w:ascii="Arial" w:hAnsi="Arial" w:cs="Arial"/>
          <w:sz w:val="22"/>
          <w:szCs w:val="22"/>
        </w:rPr>
        <w:t>atender la necesidad que tiene el país de contar con una información catastral actualizada, que refleje la realidad física, jurídica y económica de los inmuebles, la Dirección de Ordenamiento Territorial y Gestión Catastral,</w:t>
      </w:r>
      <w:r>
        <w:rPr>
          <w:rFonts w:ascii="Arial" w:hAnsi="Arial" w:cs="Arial"/>
          <w:sz w:val="22"/>
          <w:szCs w:val="22"/>
        </w:rPr>
        <w:t xml:space="preserve"> </w:t>
      </w:r>
    </w:p>
    <w:bookmarkEnd w:id="5"/>
    <w:p w14:paraId="00000018" w14:textId="77777777" w:rsidR="00CB35C0" w:rsidRDefault="00CB35C0" w:rsidP="00FD349E">
      <w:pPr>
        <w:pStyle w:val="Normal2"/>
        <w:jc w:val="both"/>
        <w:rPr>
          <w:rFonts w:ascii="Arial" w:eastAsia="Arial" w:hAnsi="Arial" w:cs="Arial"/>
        </w:rPr>
      </w:pPr>
    </w:p>
    <w:p w14:paraId="3B5654FA" w14:textId="77777777" w:rsidR="00E32F97" w:rsidRPr="003C2B13" w:rsidRDefault="00E32F97" w:rsidP="00FD349E">
      <w:pPr>
        <w:pStyle w:val="Normal2"/>
        <w:jc w:val="center"/>
        <w:rPr>
          <w:rFonts w:ascii="Arial" w:eastAsia="Arial" w:hAnsi="Arial" w:cs="Arial"/>
          <w:b/>
          <w:sz w:val="22"/>
          <w:szCs w:val="22"/>
        </w:rPr>
      </w:pPr>
      <w:r w:rsidRPr="003C2B13">
        <w:rPr>
          <w:rFonts w:ascii="Arial" w:eastAsia="Arial" w:hAnsi="Arial" w:cs="Arial"/>
          <w:b/>
          <w:sz w:val="22"/>
          <w:szCs w:val="22"/>
        </w:rPr>
        <w:lastRenderedPageBreak/>
        <w:t>RESUELVE</w:t>
      </w:r>
    </w:p>
    <w:p w14:paraId="7A06CAFE" w14:textId="77777777" w:rsidR="00E32F97" w:rsidRPr="003C2B13" w:rsidRDefault="00E32F97" w:rsidP="00FD349E">
      <w:pPr>
        <w:pStyle w:val="Normal2"/>
        <w:jc w:val="both"/>
        <w:rPr>
          <w:rFonts w:ascii="Arial" w:eastAsia="Arial" w:hAnsi="Arial" w:cs="Arial"/>
          <w:sz w:val="22"/>
          <w:szCs w:val="22"/>
        </w:rPr>
      </w:pPr>
    </w:p>
    <w:p w14:paraId="71A659BF" w14:textId="77777777" w:rsidR="00E32F97" w:rsidRPr="003C2B13" w:rsidRDefault="00E32F97" w:rsidP="00FD349E">
      <w:pPr>
        <w:pStyle w:val="paragraph"/>
        <w:spacing w:before="0" w:beforeAutospacing="0" w:after="0" w:afterAutospacing="0"/>
        <w:jc w:val="both"/>
        <w:textAlignment w:val="baseline"/>
        <w:rPr>
          <w:rFonts w:ascii="Segoe UI" w:hAnsi="Segoe UI" w:cs="Segoe UI"/>
          <w:sz w:val="22"/>
          <w:szCs w:val="22"/>
        </w:rPr>
      </w:pPr>
      <w:bookmarkStart w:id="6" w:name="_Hlk145359648"/>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15CDEEBF" w14:textId="77777777" w:rsidR="00E32F97" w:rsidRDefault="00E32F97" w:rsidP="00FD349E">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184CE0B1" w14:textId="77777777" w:rsidR="00E32F97" w:rsidRDefault="00E32F97" w:rsidP="00FD349E">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3662E7" w:rsidRPr="00F42ADB" w14:paraId="1FEF9B76"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bookmarkEnd w:id="6"/>
          <w:p w14:paraId="06199ED9" w14:textId="77777777" w:rsidR="003662E7" w:rsidRPr="00F42ADB" w:rsidRDefault="003662E7"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3662E7" w:rsidRPr="00F42ADB" w14:paraId="1A55740F"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462BD349"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3662E7" w:rsidRPr="00F42ADB" w14:paraId="30020FB7"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5B522370"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79265E2B"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4FF799B2"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68D02817"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149EDFD0"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2DFCDFCB"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59222F2F"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0F790002"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3662E7" w:rsidRPr="00F42ADB" w14:paraId="0E79F4AF"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A21A1CA"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748B911"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F0B697"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998A88"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9646EC8"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FAAD60"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7D9F0A1"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F0FF2B"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3662E7" w:rsidRPr="00F42ADB" w14:paraId="317C3A73"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77AC8BCD"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3662E7" w:rsidRPr="00F42ADB" w14:paraId="76142571"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05DB14BD"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40B74AA9"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2B8117B"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A837E96"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19C37B5"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111CDEF"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2315FFA0"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1DFC60A4"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662E7" w:rsidRPr="00F42ADB" w14:paraId="4F429E1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DED4889"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304A855"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4BA8265"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293B66"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2D8A8AC"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CCBA8A0"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C10C94E"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B07A49A"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662E7" w:rsidRPr="00F42ADB" w14:paraId="7C95F78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9B85CCE"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0CD335C"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B38392D"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6F62446"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BDA82B9"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8D5BF42"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B172ED4"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36C4B6A"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662E7" w:rsidRPr="00F42ADB" w14:paraId="2E878268"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2045BD9A" w14:textId="77777777" w:rsidR="003662E7" w:rsidRPr="00F42ADB" w:rsidRDefault="003662E7"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3662E7" w:rsidRPr="00F42ADB" w14:paraId="3AC2D36E"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FA291DF"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3662E7" w:rsidRPr="00F42ADB" w14:paraId="123552D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5F35FE5F"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356C736E"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1C95128A"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1DF4E7DD"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576FD7CF"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78B707D2"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0B40B83"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362A5CC2"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3662E7" w:rsidRPr="00F42ADB" w14:paraId="16283D8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B8168A"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457F75"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375E62"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2C95E4"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7F1FD2"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F4ACE2"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8991BAB"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4C7201F"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3662E7" w:rsidRPr="00F42ADB" w14:paraId="745FF9C4"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20CD05B0"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3662E7" w:rsidRPr="00F42ADB" w14:paraId="6800F45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20FDC353"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423B0904"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DD5AB54"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91A9D4B"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4D110FC0"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229619DC"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736ACFFB"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63B9BFD3"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662E7" w:rsidRPr="00F42ADB" w14:paraId="1B6C1F85"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7AB9783"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E03C81"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17DF862"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8AE8112"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99A7597"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9E0AFC"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1812F3"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59BF754"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662E7" w:rsidRPr="00F42ADB" w14:paraId="4A346B99"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1E01E82B"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3662E7" w:rsidRPr="00F42ADB" w14:paraId="5125786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5810AC57"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2B064B1"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1413A109"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50159BBA"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68041705"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FF3FC98" w14:textId="77777777" w:rsidR="003662E7" w:rsidRPr="00F42ADB" w:rsidRDefault="003662E7"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E2E54FE"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27F8530"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3662E7" w:rsidRPr="00F42ADB" w14:paraId="01B861E8"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587D0F8"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668889E"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34DFD06"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1F0B109" w14:textId="77777777" w:rsidR="003662E7" w:rsidRPr="00F42ADB" w:rsidRDefault="003662E7"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C488A7"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BB352D"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FF3D643"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86FBD27" w14:textId="77777777" w:rsidR="003662E7" w:rsidRPr="00F42ADB" w:rsidRDefault="003662E7"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43C3F4A0" w14:textId="77777777" w:rsidR="00E32F97" w:rsidRPr="003C2B13" w:rsidRDefault="00E32F97" w:rsidP="00FD349E">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4F8C7065" w14:textId="77777777" w:rsidR="00E32F97" w:rsidRDefault="00E32F97" w:rsidP="00FD349E">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59C0BD77" w14:textId="77777777" w:rsidR="00E32F97" w:rsidRPr="00574BC2" w:rsidRDefault="00E32F97" w:rsidP="00FD349E">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523151DA" w14:textId="77777777" w:rsidR="00E32F97" w:rsidRPr="003C2B13" w:rsidRDefault="00E32F97" w:rsidP="00FD349E">
      <w:pPr>
        <w:pStyle w:val="paragraph"/>
        <w:spacing w:before="0" w:beforeAutospacing="0" w:after="0" w:afterAutospacing="0"/>
        <w:jc w:val="both"/>
        <w:textAlignment w:val="baseline"/>
        <w:rPr>
          <w:rFonts w:ascii="Segoe UI" w:hAnsi="Segoe UI" w:cs="Segoe UI"/>
          <w:sz w:val="22"/>
          <w:szCs w:val="22"/>
        </w:rPr>
      </w:pPr>
    </w:p>
    <w:p w14:paraId="491DE6F2" w14:textId="77777777" w:rsidR="00E32F97" w:rsidRDefault="00E32F97" w:rsidP="00FD349E">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TERCERO:</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Pr>
          <w:rStyle w:val="normaltextrun"/>
          <w:rFonts w:ascii="Arial" w:hAnsi="Arial" w:cs="Arial"/>
          <w:sz w:val="22"/>
          <w:szCs w:val="22"/>
        </w:rPr>
        <w:t xml:space="preserve">IGAC </w:t>
      </w:r>
      <w:r w:rsidRPr="003C2B13">
        <w:rPr>
          <w:rStyle w:val="normaltextrun"/>
          <w:rFonts w:ascii="Arial" w:hAnsi="Arial" w:cs="Arial"/>
          <w:sz w:val="22"/>
          <w:szCs w:val="22"/>
        </w:rPr>
        <w:t>1149 de 202</w:t>
      </w:r>
      <w:r>
        <w:rPr>
          <w:rStyle w:val="normaltextrun"/>
          <w:rFonts w:ascii="Arial" w:hAnsi="Arial" w:cs="Arial"/>
          <w:sz w:val="22"/>
          <w:szCs w:val="22"/>
        </w:rPr>
        <w:t xml:space="preserve">1. </w:t>
      </w:r>
    </w:p>
    <w:p w14:paraId="1B31A816" w14:textId="77777777" w:rsidR="00E32F97" w:rsidRPr="003C2B13" w:rsidRDefault="00E32F97" w:rsidP="00FD349E">
      <w:pPr>
        <w:pStyle w:val="paragraph"/>
        <w:spacing w:before="0" w:beforeAutospacing="0" w:after="0" w:afterAutospacing="0"/>
        <w:jc w:val="both"/>
        <w:textAlignment w:val="baseline"/>
        <w:rPr>
          <w:rFonts w:ascii="Segoe UI" w:hAnsi="Segoe UI" w:cs="Segoe UI"/>
          <w:sz w:val="22"/>
          <w:szCs w:val="22"/>
        </w:rPr>
      </w:pPr>
    </w:p>
    <w:p w14:paraId="5B0A031F" w14:textId="77777777" w:rsidR="00E32F97" w:rsidRDefault="00E32F97" w:rsidP="00FD349E">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2A269FC5" w14:textId="77777777" w:rsidR="00E32F97" w:rsidRPr="003C2B13" w:rsidRDefault="00E32F97" w:rsidP="00FD349E">
      <w:pPr>
        <w:pStyle w:val="paragraph"/>
        <w:spacing w:before="0" w:beforeAutospacing="0" w:after="0" w:afterAutospacing="0"/>
        <w:jc w:val="both"/>
        <w:textAlignment w:val="baseline"/>
        <w:rPr>
          <w:rFonts w:ascii="Segoe UI" w:hAnsi="Segoe UI" w:cs="Segoe UI"/>
          <w:sz w:val="22"/>
          <w:szCs w:val="22"/>
        </w:rPr>
      </w:pPr>
    </w:p>
    <w:p w14:paraId="26CC0470" w14:textId="77777777" w:rsidR="00E32F97" w:rsidRDefault="00E32F97" w:rsidP="00FD349E">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w:t>
      </w:r>
      <w:r w:rsidRPr="003C2B13">
        <w:rPr>
          <w:rStyle w:val="normaltextrun"/>
          <w:rFonts w:ascii="Arial" w:hAnsi="Arial" w:cs="Arial"/>
          <w:sz w:val="22"/>
          <w:szCs w:val="22"/>
          <w:shd w:val="clear" w:color="auto" w:fill="FFFFFF"/>
        </w:rPr>
        <w:lastRenderedPageBreak/>
        <w:t xml:space="preserve">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7BD2F52E" w14:textId="77777777" w:rsidR="00E32F97" w:rsidRPr="003C2B13" w:rsidRDefault="00E32F97" w:rsidP="00FD349E">
      <w:pPr>
        <w:pStyle w:val="paragraph"/>
        <w:spacing w:before="0" w:beforeAutospacing="0" w:after="0" w:afterAutospacing="0"/>
        <w:jc w:val="both"/>
        <w:textAlignment w:val="baseline"/>
        <w:rPr>
          <w:rFonts w:ascii="Segoe UI" w:hAnsi="Segoe UI" w:cs="Segoe UI"/>
          <w:sz w:val="22"/>
          <w:szCs w:val="22"/>
        </w:rPr>
      </w:pPr>
    </w:p>
    <w:p w14:paraId="6714E443" w14:textId="77777777" w:rsidR="00E32F97" w:rsidRDefault="00E32F97" w:rsidP="00FD349E">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2785D69A" w14:textId="77777777" w:rsidR="00E32F97" w:rsidRPr="003C2B13" w:rsidRDefault="00E32F97" w:rsidP="00FD349E">
      <w:pPr>
        <w:pStyle w:val="paragraph"/>
        <w:spacing w:before="0" w:beforeAutospacing="0" w:after="0" w:afterAutospacing="0"/>
        <w:jc w:val="both"/>
        <w:textAlignment w:val="baseline"/>
        <w:rPr>
          <w:rFonts w:ascii="Segoe UI" w:hAnsi="Segoe UI" w:cs="Segoe UI"/>
          <w:sz w:val="22"/>
          <w:szCs w:val="22"/>
        </w:rPr>
      </w:pPr>
    </w:p>
    <w:p w14:paraId="548699E0" w14:textId="77777777" w:rsidR="00E32F97" w:rsidRPr="003C2B13" w:rsidRDefault="00E32F97" w:rsidP="00FD349E">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Pr>
          <w:rStyle w:val="normaltextrun"/>
          <w:rFonts w:ascii="Arial" w:hAnsi="Arial" w:cs="Arial"/>
          <w:b/>
          <w:bCs/>
          <w:sz w:val="22"/>
          <w:szCs w:val="22"/>
        </w:rPr>
        <w:t>SEXTO</w:t>
      </w:r>
      <w:r w:rsidRPr="003C2B13">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3C2B13">
        <w:rPr>
          <w:rStyle w:val="eop"/>
          <w:rFonts w:ascii="Arial" w:hAnsi="Arial" w:cs="Arial"/>
          <w:sz w:val="22"/>
          <w:szCs w:val="22"/>
        </w:rPr>
        <w:t> </w:t>
      </w:r>
    </w:p>
    <w:p w14:paraId="4ACA0E9A" w14:textId="77777777" w:rsidR="00E32F97" w:rsidRPr="00262EB3" w:rsidRDefault="00E32F97" w:rsidP="00FD349E">
      <w:pPr>
        <w:pStyle w:val="Normal2"/>
        <w:jc w:val="both"/>
        <w:rPr>
          <w:rFonts w:ascii="Arial" w:eastAsia="Arial" w:hAnsi="Arial" w:cs="Arial"/>
          <w:sz w:val="22"/>
          <w:szCs w:val="22"/>
        </w:rPr>
      </w:pPr>
    </w:p>
    <w:p w14:paraId="449EF6D2" w14:textId="77777777" w:rsidR="00E32F97" w:rsidRPr="00262EB3" w:rsidRDefault="00E32F97" w:rsidP="00FD349E">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216FBE11" w14:textId="77777777" w:rsidR="00E32F97" w:rsidRPr="00262EB3" w:rsidRDefault="00E32F97" w:rsidP="00FD349E">
      <w:pPr>
        <w:pStyle w:val="Normal2"/>
        <w:jc w:val="both"/>
        <w:rPr>
          <w:rFonts w:ascii="Arial" w:eastAsia="Arial" w:hAnsi="Arial" w:cs="Arial"/>
          <w:sz w:val="22"/>
          <w:szCs w:val="22"/>
        </w:rPr>
      </w:pPr>
    </w:p>
    <w:p w14:paraId="56DB5B9B" w14:textId="64291E9D" w:rsidR="00E32F97" w:rsidRPr="00262EB3" w:rsidRDefault="00E32F97" w:rsidP="00FD349E">
      <w:pPr>
        <w:pStyle w:val="Normal2"/>
        <w:jc w:val="both"/>
        <w:rPr>
          <w:rFonts w:ascii="Arial" w:eastAsia="Arial" w:hAnsi="Arial" w:cs="Arial"/>
          <w:sz w:val="22"/>
          <w:szCs w:val="22"/>
        </w:rPr>
      </w:pPr>
      <w:r w:rsidRPr="00262EB3">
        <w:rPr>
          <w:rFonts w:ascii="Arial" w:eastAsia="Arial" w:hAnsi="Arial" w:cs="Arial"/>
          <w:sz w:val="22"/>
          <w:szCs w:val="22"/>
        </w:rPr>
        <w:t xml:space="preserve">Dada en </w:t>
      </w:r>
      <w:r w:rsidR="003662E7" w:rsidRPr="003662E7">
        <w:rPr>
          <w:rFonts w:ascii="Arial" w:eastAsia="Arial" w:hAnsi="Arial" w:cs="Arial"/>
          <w:sz w:val="22"/>
          <w:szCs w:val="22"/>
        </w:rPr>
        <w:t>Fusagasugá, a los ${</w:t>
      </w:r>
      <w:proofErr w:type="spellStart"/>
      <w:r w:rsidR="003662E7" w:rsidRPr="003662E7">
        <w:rPr>
          <w:rFonts w:ascii="Arial" w:eastAsia="Arial" w:hAnsi="Arial" w:cs="Arial"/>
          <w:sz w:val="22"/>
          <w:szCs w:val="22"/>
        </w:rPr>
        <w:t>dia_now_letra</w:t>
      </w:r>
      <w:proofErr w:type="spellEnd"/>
      <w:r w:rsidR="003662E7" w:rsidRPr="003662E7">
        <w:rPr>
          <w:rFonts w:ascii="Arial" w:eastAsia="Arial" w:hAnsi="Arial" w:cs="Arial"/>
          <w:sz w:val="22"/>
          <w:szCs w:val="22"/>
        </w:rPr>
        <w:t>} (${</w:t>
      </w:r>
      <w:proofErr w:type="spellStart"/>
      <w:r w:rsidR="003662E7" w:rsidRPr="003662E7">
        <w:rPr>
          <w:rFonts w:ascii="Arial" w:eastAsia="Arial" w:hAnsi="Arial" w:cs="Arial"/>
          <w:sz w:val="22"/>
          <w:szCs w:val="22"/>
        </w:rPr>
        <w:t>dia_now_numero</w:t>
      </w:r>
      <w:proofErr w:type="spellEnd"/>
      <w:r w:rsidR="003662E7" w:rsidRPr="003662E7">
        <w:rPr>
          <w:rFonts w:ascii="Arial" w:eastAsia="Arial" w:hAnsi="Arial" w:cs="Arial"/>
          <w:sz w:val="22"/>
          <w:szCs w:val="22"/>
        </w:rPr>
        <w:t>}) días del mes de ${</w:t>
      </w:r>
      <w:proofErr w:type="spellStart"/>
      <w:r w:rsidR="003662E7" w:rsidRPr="003662E7">
        <w:rPr>
          <w:rFonts w:ascii="Arial" w:eastAsia="Arial" w:hAnsi="Arial" w:cs="Arial"/>
          <w:sz w:val="22"/>
          <w:szCs w:val="22"/>
        </w:rPr>
        <w:t>mes_now_letra</w:t>
      </w:r>
      <w:proofErr w:type="spellEnd"/>
      <w:r w:rsidR="003662E7" w:rsidRPr="003662E7">
        <w:rPr>
          <w:rFonts w:ascii="Arial" w:eastAsia="Arial" w:hAnsi="Arial" w:cs="Arial"/>
          <w:sz w:val="22"/>
          <w:szCs w:val="22"/>
        </w:rPr>
        <w:t>} de ${</w:t>
      </w:r>
      <w:proofErr w:type="spellStart"/>
      <w:r w:rsidR="003662E7" w:rsidRPr="003662E7">
        <w:rPr>
          <w:rFonts w:ascii="Arial" w:eastAsia="Arial" w:hAnsi="Arial" w:cs="Arial"/>
          <w:sz w:val="22"/>
          <w:szCs w:val="22"/>
        </w:rPr>
        <w:t>annio_letra</w:t>
      </w:r>
      <w:proofErr w:type="spellEnd"/>
      <w:r w:rsidR="003662E7" w:rsidRPr="003662E7">
        <w:rPr>
          <w:rFonts w:ascii="Arial" w:eastAsia="Arial" w:hAnsi="Arial" w:cs="Arial"/>
          <w:sz w:val="22"/>
          <w:szCs w:val="22"/>
        </w:rPr>
        <w:t>} (${</w:t>
      </w:r>
      <w:proofErr w:type="spellStart"/>
      <w:r w:rsidR="003662E7" w:rsidRPr="003662E7">
        <w:rPr>
          <w:rFonts w:ascii="Arial" w:eastAsia="Arial" w:hAnsi="Arial" w:cs="Arial"/>
          <w:sz w:val="22"/>
          <w:szCs w:val="22"/>
        </w:rPr>
        <w:t>annio_numero</w:t>
      </w:r>
      <w:proofErr w:type="spellEnd"/>
      <w:r w:rsidR="003662E7" w:rsidRPr="003662E7">
        <w:rPr>
          <w:rFonts w:ascii="Arial" w:eastAsia="Arial" w:hAnsi="Arial" w:cs="Arial"/>
          <w:sz w:val="22"/>
          <w:szCs w:val="22"/>
        </w:rPr>
        <w:t>}).</w:t>
      </w:r>
    </w:p>
    <w:p w14:paraId="38562373" w14:textId="77777777" w:rsidR="00E32F97" w:rsidRPr="00262EB3" w:rsidRDefault="00E32F97" w:rsidP="00FD349E">
      <w:pPr>
        <w:pStyle w:val="Normal2"/>
        <w:jc w:val="both"/>
        <w:rPr>
          <w:rFonts w:ascii="Arial" w:eastAsia="Arial" w:hAnsi="Arial" w:cs="Arial"/>
          <w:sz w:val="22"/>
          <w:szCs w:val="22"/>
        </w:rPr>
      </w:pPr>
    </w:p>
    <w:p w14:paraId="5B9AB9F5" w14:textId="77777777" w:rsidR="00E32F97" w:rsidRDefault="00E32F97" w:rsidP="00FD349E">
      <w:pPr>
        <w:pStyle w:val="Normal2"/>
        <w:jc w:val="center"/>
        <w:rPr>
          <w:rFonts w:ascii="Arial" w:eastAsia="Arial" w:hAnsi="Arial" w:cs="Arial"/>
          <w:b/>
          <w:bCs/>
          <w:color w:val="000000" w:themeColor="text1"/>
          <w:sz w:val="22"/>
          <w:szCs w:val="22"/>
        </w:rPr>
      </w:pPr>
    </w:p>
    <w:p w14:paraId="3B9DBB8D" w14:textId="77777777" w:rsidR="003662E7" w:rsidRPr="003662E7" w:rsidRDefault="003662E7" w:rsidP="003662E7">
      <w:pPr>
        <w:pStyle w:val="Normal2"/>
        <w:jc w:val="center"/>
        <w:rPr>
          <w:rFonts w:ascii="Arial" w:eastAsia="Arial" w:hAnsi="Arial" w:cs="Arial"/>
          <w:b/>
          <w:bCs/>
          <w:color w:val="000000" w:themeColor="text1"/>
          <w:sz w:val="22"/>
          <w:szCs w:val="22"/>
        </w:rPr>
      </w:pPr>
      <w:r w:rsidRPr="003662E7">
        <w:rPr>
          <w:rFonts w:ascii="Arial" w:eastAsia="Arial" w:hAnsi="Arial" w:cs="Arial"/>
          <w:b/>
          <w:bCs/>
          <w:color w:val="000000" w:themeColor="text1"/>
          <w:sz w:val="22"/>
          <w:szCs w:val="22"/>
        </w:rPr>
        <w:t>${</w:t>
      </w:r>
      <w:proofErr w:type="spellStart"/>
      <w:r w:rsidRPr="003662E7">
        <w:rPr>
          <w:rFonts w:ascii="Arial" w:eastAsia="Arial" w:hAnsi="Arial" w:cs="Arial"/>
          <w:b/>
          <w:bCs/>
          <w:color w:val="000000" w:themeColor="text1"/>
          <w:sz w:val="22"/>
          <w:szCs w:val="22"/>
        </w:rPr>
        <w:t>nombre_director_ordenamiento</w:t>
      </w:r>
      <w:proofErr w:type="spellEnd"/>
      <w:r w:rsidRPr="003662E7">
        <w:rPr>
          <w:rFonts w:ascii="Arial" w:eastAsia="Arial" w:hAnsi="Arial" w:cs="Arial"/>
          <w:b/>
          <w:bCs/>
          <w:color w:val="000000" w:themeColor="text1"/>
          <w:sz w:val="22"/>
          <w:szCs w:val="22"/>
        </w:rPr>
        <w:t>}</w:t>
      </w:r>
    </w:p>
    <w:p w14:paraId="0FBC8176" w14:textId="77777777" w:rsidR="003662E7" w:rsidRDefault="003662E7" w:rsidP="003662E7">
      <w:pPr>
        <w:pStyle w:val="Normal2"/>
        <w:jc w:val="center"/>
        <w:rPr>
          <w:rFonts w:ascii="Arial" w:eastAsia="Arial" w:hAnsi="Arial" w:cs="Arial"/>
          <w:b/>
          <w:bCs/>
          <w:color w:val="000000" w:themeColor="text1"/>
          <w:sz w:val="22"/>
          <w:szCs w:val="22"/>
        </w:rPr>
      </w:pPr>
      <w:r w:rsidRPr="003662E7">
        <w:rPr>
          <w:rFonts w:ascii="Arial" w:eastAsia="Arial" w:hAnsi="Arial" w:cs="Arial"/>
          <w:b/>
          <w:bCs/>
          <w:color w:val="000000" w:themeColor="text1"/>
          <w:sz w:val="22"/>
          <w:szCs w:val="22"/>
        </w:rPr>
        <w:t>${</w:t>
      </w:r>
      <w:proofErr w:type="spellStart"/>
      <w:r w:rsidRPr="003662E7">
        <w:rPr>
          <w:rFonts w:ascii="Arial" w:eastAsia="Arial" w:hAnsi="Arial" w:cs="Arial"/>
          <w:b/>
          <w:bCs/>
          <w:color w:val="000000" w:themeColor="text1"/>
          <w:sz w:val="22"/>
          <w:szCs w:val="22"/>
        </w:rPr>
        <w:t>cargo_director_ordenamiento</w:t>
      </w:r>
      <w:proofErr w:type="spellEnd"/>
      <w:r w:rsidRPr="003662E7">
        <w:rPr>
          <w:rFonts w:ascii="Arial" w:eastAsia="Arial" w:hAnsi="Arial" w:cs="Arial"/>
          <w:b/>
          <w:bCs/>
          <w:color w:val="000000" w:themeColor="text1"/>
          <w:sz w:val="22"/>
          <w:szCs w:val="22"/>
        </w:rPr>
        <w:t>}</w:t>
      </w:r>
    </w:p>
    <w:p w14:paraId="690EA832" w14:textId="7D1E5554" w:rsidR="00E32F97" w:rsidRPr="00262EB3" w:rsidRDefault="00E32F97" w:rsidP="003662E7">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725772CF" w14:textId="77777777" w:rsidR="00E32F97" w:rsidRPr="00262EB3" w:rsidRDefault="00E32F97" w:rsidP="00FD349E">
      <w:pPr>
        <w:pStyle w:val="Normal2"/>
        <w:jc w:val="both"/>
        <w:rPr>
          <w:rFonts w:ascii="Arial" w:eastAsia="Arial" w:hAnsi="Arial" w:cs="Arial"/>
          <w:sz w:val="22"/>
          <w:szCs w:val="22"/>
        </w:rPr>
      </w:pPr>
    </w:p>
    <w:p w14:paraId="2B95D3B3" w14:textId="4F3EA541" w:rsidR="331A0F1E" w:rsidRDefault="331A0F1E" w:rsidP="053DA59B">
      <w:pPr>
        <w:pStyle w:val="Normal1"/>
        <w:jc w:val="both"/>
        <w:rPr>
          <w:rFonts w:ascii="Arial" w:eastAsia="Arial" w:hAnsi="Arial" w:cs="Arial"/>
          <w:color w:val="000000" w:themeColor="background2"/>
          <w:sz w:val="16"/>
          <w:szCs w:val="16"/>
          <w:lang w:val="es-ES"/>
        </w:rPr>
      </w:pPr>
      <w:r w:rsidRPr="053DA59B">
        <w:rPr>
          <w:rFonts w:ascii="Arial" w:eastAsia="Arial" w:hAnsi="Arial" w:cs="Arial"/>
          <w:color w:val="000000" w:themeColor="background2"/>
          <w:sz w:val="16"/>
          <w:szCs w:val="16"/>
        </w:rPr>
        <w:t>GESTIÓN DOCUMENTAL:</w:t>
      </w:r>
    </w:p>
    <w:p w14:paraId="59F5AC74" w14:textId="2C14D83D" w:rsidR="331A0F1E" w:rsidRDefault="331A0F1E" w:rsidP="053DA59B">
      <w:pPr>
        <w:pStyle w:val="Normal1"/>
        <w:spacing w:before="20"/>
        <w:jc w:val="both"/>
        <w:rPr>
          <w:rFonts w:ascii="Arial" w:eastAsia="Arial" w:hAnsi="Arial" w:cs="Arial"/>
          <w:color w:val="000000" w:themeColor="background2"/>
          <w:sz w:val="16"/>
          <w:szCs w:val="16"/>
          <w:lang w:val="es-ES"/>
        </w:rPr>
      </w:pPr>
      <w:r w:rsidRPr="053DA59B">
        <w:rPr>
          <w:rFonts w:ascii="Arial" w:eastAsia="Arial" w:hAnsi="Arial" w:cs="Arial"/>
          <w:color w:val="000000" w:themeColor="background2"/>
          <w:sz w:val="16"/>
          <w:szCs w:val="16"/>
        </w:rPr>
        <w:t>Original: Destinatarios</w:t>
      </w:r>
    </w:p>
    <w:p w14:paraId="22D18572" w14:textId="77777777" w:rsidR="003662E7" w:rsidRPr="003662E7" w:rsidRDefault="003662E7" w:rsidP="003662E7">
      <w:pPr>
        <w:pStyle w:val="Normal2"/>
        <w:spacing w:before="20"/>
        <w:jc w:val="both"/>
        <w:rPr>
          <w:rFonts w:ascii="Arial" w:eastAsia="Arial" w:hAnsi="Arial" w:cs="Arial"/>
          <w:color w:val="000000" w:themeColor="background2"/>
          <w:sz w:val="16"/>
          <w:szCs w:val="16"/>
        </w:rPr>
      </w:pPr>
      <w:r w:rsidRPr="003662E7">
        <w:rPr>
          <w:rFonts w:ascii="Arial" w:eastAsia="Arial" w:hAnsi="Arial" w:cs="Arial"/>
          <w:color w:val="000000" w:themeColor="background2"/>
          <w:sz w:val="16"/>
          <w:szCs w:val="16"/>
        </w:rPr>
        <w:t>1ª Copia: Dirección de Ordenamiento Territorial y Gestión Catastral</w:t>
      </w:r>
    </w:p>
    <w:p w14:paraId="5AF92654" w14:textId="77777777" w:rsidR="003662E7" w:rsidRPr="003662E7" w:rsidRDefault="003662E7" w:rsidP="003662E7">
      <w:pPr>
        <w:pStyle w:val="Normal2"/>
        <w:spacing w:before="20"/>
        <w:jc w:val="both"/>
        <w:rPr>
          <w:rFonts w:ascii="Arial" w:eastAsia="Arial" w:hAnsi="Arial" w:cs="Arial"/>
          <w:color w:val="000000" w:themeColor="background2"/>
          <w:sz w:val="16"/>
          <w:szCs w:val="16"/>
        </w:rPr>
      </w:pPr>
      <w:r w:rsidRPr="003662E7">
        <w:rPr>
          <w:rFonts w:ascii="Arial" w:eastAsia="Arial" w:hAnsi="Arial" w:cs="Arial"/>
          <w:color w:val="000000" w:themeColor="background2"/>
          <w:sz w:val="16"/>
          <w:szCs w:val="16"/>
        </w:rPr>
        <w:t>Proyectó: ${</w:t>
      </w:r>
      <w:proofErr w:type="spellStart"/>
      <w:r w:rsidRPr="003662E7">
        <w:rPr>
          <w:rFonts w:ascii="Arial" w:eastAsia="Arial" w:hAnsi="Arial" w:cs="Arial"/>
          <w:color w:val="000000" w:themeColor="background2"/>
          <w:sz w:val="16"/>
          <w:szCs w:val="16"/>
        </w:rPr>
        <w:t>nombre_proyecto_abogado</w:t>
      </w:r>
      <w:proofErr w:type="spellEnd"/>
      <w:r w:rsidRPr="003662E7">
        <w:rPr>
          <w:rFonts w:ascii="Arial" w:eastAsia="Arial" w:hAnsi="Arial" w:cs="Arial"/>
          <w:color w:val="000000" w:themeColor="background2"/>
          <w:sz w:val="16"/>
          <w:szCs w:val="16"/>
        </w:rPr>
        <w:t>} - Abogado contratista</w:t>
      </w:r>
    </w:p>
    <w:p w14:paraId="23403C09" w14:textId="77777777" w:rsidR="003662E7" w:rsidRPr="003662E7" w:rsidRDefault="003662E7" w:rsidP="003662E7">
      <w:pPr>
        <w:pStyle w:val="Normal2"/>
        <w:spacing w:before="20"/>
        <w:jc w:val="both"/>
        <w:rPr>
          <w:rFonts w:ascii="Arial" w:eastAsia="Arial" w:hAnsi="Arial" w:cs="Arial"/>
          <w:color w:val="000000" w:themeColor="background2"/>
          <w:sz w:val="16"/>
          <w:szCs w:val="16"/>
        </w:rPr>
      </w:pPr>
      <w:r w:rsidRPr="003662E7">
        <w:rPr>
          <w:rFonts w:ascii="Arial" w:eastAsia="Arial" w:hAnsi="Arial" w:cs="Arial"/>
          <w:color w:val="000000" w:themeColor="background2"/>
          <w:sz w:val="16"/>
          <w:szCs w:val="16"/>
        </w:rPr>
        <w:t>Revisó: ${</w:t>
      </w:r>
      <w:proofErr w:type="spellStart"/>
      <w:r w:rsidRPr="003662E7">
        <w:rPr>
          <w:rFonts w:ascii="Arial" w:eastAsia="Arial" w:hAnsi="Arial" w:cs="Arial"/>
          <w:color w:val="000000" w:themeColor="background2"/>
          <w:sz w:val="16"/>
          <w:szCs w:val="16"/>
        </w:rPr>
        <w:t>nombre_reviso_contratista</w:t>
      </w:r>
      <w:proofErr w:type="spellEnd"/>
      <w:r w:rsidRPr="003662E7">
        <w:rPr>
          <w:rFonts w:ascii="Arial" w:eastAsia="Arial" w:hAnsi="Arial" w:cs="Arial"/>
          <w:color w:val="000000" w:themeColor="background2"/>
          <w:sz w:val="16"/>
          <w:szCs w:val="16"/>
        </w:rPr>
        <w:t xml:space="preserve">} - contratista </w:t>
      </w:r>
    </w:p>
    <w:p w14:paraId="52F508B1" w14:textId="724BDEBD" w:rsidR="4DBD31B6" w:rsidRDefault="003662E7" w:rsidP="003662E7">
      <w:pPr>
        <w:pStyle w:val="Normal2"/>
        <w:spacing w:before="20"/>
        <w:jc w:val="both"/>
        <w:rPr>
          <w:rFonts w:ascii="Arial" w:eastAsia="Arial" w:hAnsi="Arial" w:cs="Arial"/>
          <w:sz w:val="18"/>
          <w:szCs w:val="18"/>
        </w:rPr>
      </w:pPr>
      <w:r w:rsidRPr="003662E7">
        <w:rPr>
          <w:rFonts w:ascii="Arial" w:eastAsia="Arial" w:hAnsi="Arial" w:cs="Arial"/>
          <w:color w:val="000000" w:themeColor="background2"/>
          <w:sz w:val="16"/>
          <w:szCs w:val="16"/>
        </w:rPr>
        <w:t>Revisó y aprobó: ${</w:t>
      </w:r>
      <w:proofErr w:type="spellStart"/>
      <w:r w:rsidRPr="003662E7">
        <w:rPr>
          <w:rFonts w:ascii="Arial" w:eastAsia="Arial" w:hAnsi="Arial" w:cs="Arial"/>
          <w:color w:val="000000" w:themeColor="background2"/>
          <w:sz w:val="16"/>
          <w:szCs w:val="16"/>
        </w:rPr>
        <w:t>reviso_aprobo_nombre</w:t>
      </w:r>
      <w:proofErr w:type="spellEnd"/>
      <w:r w:rsidRPr="003662E7">
        <w:rPr>
          <w:rFonts w:ascii="Arial" w:eastAsia="Arial" w:hAnsi="Arial" w:cs="Arial"/>
          <w:color w:val="000000" w:themeColor="background2"/>
          <w:sz w:val="16"/>
          <w:szCs w:val="16"/>
        </w:rPr>
        <w:t>} – ${</w:t>
      </w:r>
      <w:proofErr w:type="spellStart"/>
      <w:r w:rsidRPr="003662E7">
        <w:rPr>
          <w:rFonts w:ascii="Arial" w:eastAsia="Arial" w:hAnsi="Arial" w:cs="Arial"/>
          <w:color w:val="000000" w:themeColor="background2"/>
          <w:sz w:val="16"/>
          <w:szCs w:val="16"/>
        </w:rPr>
        <w:t>reviso_aprobo_cargo</w:t>
      </w:r>
      <w:proofErr w:type="spellEnd"/>
      <w:r w:rsidRPr="003662E7">
        <w:rPr>
          <w:rFonts w:ascii="Arial" w:eastAsia="Arial" w:hAnsi="Arial" w:cs="Arial"/>
          <w:color w:val="000000" w:themeColor="background2"/>
          <w:sz w:val="16"/>
          <w:szCs w:val="16"/>
        </w:rPr>
        <w:t>}</w:t>
      </w:r>
    </w:p>
    <w:p w14:paraId="3C002B18" w14:textId="77777777" w:rsidR="00E32F97" w:rsidRPr="00262EB3" w:rsidRDefault="00E32F97" w:rsidP="00FD349E">
      <w:pPr>
        <w:pStyle w:val="Normal2"/>
        <w:spacing w:before="40"/>
        <w:ind w:right="4340"/>
        <w:jc w:val="both"/>
        <w:rPr>
          <w:rFonts w:ascii="Arial" w:eastAsia="Arial" w:hAnsi="Arial" w:cs="Arial"/>
          <w:b/>
          <w:sz w:val="22"/>
          <w:szCs w:val="22"/>
        </w:rPr>
      </w:pPr>
      <w:bookmarkStart w:id="7" w:name="_heading=h.yz5kt3o9auaj" w:colFirst="0" w:colLast="0"/>
      <w:bookmarkEnd w:id="7"/>
    </w:p>
    <w:p w14:paraId="00000038" w14:textId="291C3CD4" w:rsidR="00CB35C0" w:rsidRDefault="00CB35C0" w:rsidP="00FD349E">
      <w:pPr>
        <w:pStyle w:val="Normal2"/>
        <w:spacing w:after="160"/>
        <w:jc w:val="both"/>
        <w:rPr>
          <w:rFonts w:ascii="Arial" w:eastAsia="Arial" w:hAnsi="Arial" w:cs="Arial"/>
          <w:sz w:val="22"/>
          <w:szCs w:val="22"/>
        </w:rPr>
      </w:pPr>
      <w:bookmarkStart w:id="8" w:name="_GoBack"/>
      <w:bookmarkEnd w:id="8"/>
    </w:p>
    <w:sectPr w:rsidR="00CB35C0">
      <w:headerReference w:type="default" r:id="rId7"/>
      <w:footerReference w:type="default" r:id="rId8"/>
      <w:pgSz w:w="12240" w:h="2016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6B9E7" w14:textId="77777777" w:rsidR="00F95078" w:rsidRDefault="00F95078">
      <w:r>
        <w:separator/>
      </w:r>
    </w:p>
  </w:endnote>
  <w:endnote w:type="continuationSeparator" w:id="0">
    <w:p w14:paraId="00808DBB" w14:textId="77777777" w:rsidR="00F95078" w:rsidRDefault="00F95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3" w14:textId="77777777" w:rsidR="00CB35C0" w:rsidRDefault="00CB35C0">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4" w14:textId="77777777" w:rsidR="00CB35C0" w:rsidRDefault="00CB35C0">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45" w14:textId="77777777" w:rsidR="00CB35C0" w:rsidRDefault="00A51C5B">
    <w:pPr>
      <w:pStyle w:val="Normal2"/>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14728F1A"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23AAACAA" wp14:editId="07777777">
          <wp:simplePos x="0" y="0"/>
          <wp:positionH relativeFrom="column">
            <wp:posOffset>0</wp:posOffset>
          </wp:positionH>
          <wp:positionV relativeFrom="paragraph">
            <wp:posOffset>-23546</wp:posOffset>
          </wp:positionV>
          <wp:extent cx="1440873" cy="725894"/>
          <wp:effectExtent l="0" t="0" r="0" b="0"/>
          <wp:wrapSquare wrapText="bothSides" distT="0" distB="0" distL="0" distR="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6" w14:textId="77777777" w:rsidR="00CB35C0" w:rsidRDefault="00A51C5B">
    <w:pPr>
      <w:pStyle w:val="Normal2"/>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7" w14:textId="77777777" w:rsidR="00CB35C0" w:rsidRDefault="00A51C5B">
    <w:pPr>
      <w:pStyle w:val="Normal2"/>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8" w14:textId="77777777" w:rsidR="00CB35C0" w:rsidRDefault="00A51C5B">
    <w:pPr>
      <w:pStyle w:val="Normal2"/>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9" w14:textId="77777777" w:rsidR="00CB35C0" w:rsidRDefault="00A51C5B">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A" w14:textId="6E382EE6" w:rsidR="00CB35C0" w:rsidRDefault="00A51C5B">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3662E7">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3662E7">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p>
  <w:p w14:paraId="0000004B" w14:textId="77777777" w:rsidR="00CB35C0" w:rsidRDefault="00CB35C0">
    <w:pPr>
      <w:pStyle w:val="Normal2"/>
      <w:jc w:val="right"/>
      <w:rPr>
        <w:sz w:val="14"/>
        <w:szCs w:val="14"/>
      </w:rPr>
    </w:pPr>
  </w:p>
  <w:p w14:paraId="0000004C" w14:textId="77777777" w:rsidR="00CB35C0" w:rsidRDefault="00CB35C0">
    <w:pPr>
      <w:pStyle w:val="Normal2"/>
      <w:jc w:val="right"/>
      <w:rPr>
        <w:sz w:val="14"/>
        <w:szCs w:val="14"/>
      </w:rPr>
    </w:pPr>
  </w:p>
  <w:p w14:paraId="0000004D" w14:textId="77777777" w:rsidR="00CB35C0" w:rsidRDefault="00CB35C0">
    <w:pPr>
      <w:pStyle w:val="Normal2"/>
      <w:jc w:val="right"/>
      <w:rPr>
        <w:sz w:val="14"/>
        <w:szCs w:val="14"/>
      </w:rPr>
    </w:pPr>
  </w:p>
  <w:p w14:paraId="0000004E" w14:textId="77777777" w:rsidR="00CB35C0" w:rsidRDefault="00CB35C0">
    <w:pPr>
      <w:pStyle w:val="Normal2"/>
      <w:jc w:val="right"/>
      <w:rPr>
        <w:sz w:val="14"/>
        <w:szCs w:val="14"/>
      </w:rPr>
    </w:pPr>
  </w:p>
  <w:p w14:paraId="0000004F" w14:textId="77777777" w:rsidR="00CB35C0" w:rsidRDefault="00CB35C0">
    <w:pPr>
      <w:pStyle w:val="Normal2"/>
      <w:jc w:val="right"/>
      <w:rPr>
        <w:sz w:val="14"/>
        <w:szCs w:val="14"/>
      </w:rPr>
    </w:pPr>
  </w:p>
  <w:p w14:paraId="00000050" w14:textId="77777777" w:rsidR="00CB35C0" w:rsidRDefault="00CB35C0">
    <w:pPr>
      <w:pStyle w:val="Normal2"/>
      <w:jc w:val="right"/>
      <w:rPr>
        <w:sz w:val="14"/>
        <w:szCs w:val="14"/>
      </w:rPr>
    </w:pPr>
  </w:p>
  <w:p w14:paraId="00000051" w14:textId="77777777" w:rsidR="00CB35C0" w:rsidRDefault="00CB35C0">
    <w:pPr>
      <w:pStyle w:val="Normal2"/>
      <w:jc w:val="right"/>
      <w:rPr>
        <w:sz w:val="14"/>
        <w:szCs w:val="14"/>
      </w:rPr>
    </w:pPr>
  </w:p>
  <w:p w14:paraId="00000052" w14:textId="77777777" w:rsidR="00CB35C0" w:rsidRDefault="00CB35C0">
    <w:pPr>
      <w:pStyle w:val="Normal2"/>
      <w:jc w:val="right"/>
      <w:rPr>
        <w:sz w:val="14"/>
        <w:szCs w:val="14"/>
      </w:rPr>
    </w:pPr>
  </w:p>
  <w:p w14:paraId="00000053" w14:textId="77777777" w:rsidR="00CB35C0" w:rsidRDefault="00CB35C0">
    <w:pPr>
      <w:pStyle w:val="Normal2"/>
      <w:jc w:val="right"/>
      <w:rPr>
        <w:sz w:val="14"/>
        <w:szCs w:val="14"/>
      </w:rPr>
    </w:pPr>
  </w:p>
  <w:p w14:paraId="00000054" w14:textId="77777777" w:rsidR="00CB35C0" w:rsidRDefault="00CB35C0">
    <w:pPr>
      <w:pStyle w:val="Normal2"/>
      <w:jc w:val="right"/>
      <w:rPr>
        <w:sz w:val="14"/>
        <w:szCs w:val="14"/>
      </w:rPr>
    </w:pPr>
  </w:p>
  <w:p w14:paraId="00000055" w14:textId="77777777" w:rsidR="00CB35C0" w:rsidRDefault="00CB35C0">
    <w:pPr>
      <w:pStyle w:val="Normal2"/>
      <w:jc w:val="right"/>
      <w:rPr>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67DA3" w14:textId="77777777" w:rsidR="00F95078" w:rsidRDefault="00F95078">
      <w:r>
        <w:separator/>
      </w:r>
    </w:p>
  </w:footnote>
  <w:footnote w:type="continuationSeparator" w:id="0">
    <w:p w14:paraId="26215D67" w14:textId="77777777" w:rsidR="00F95078" w:rsidRDefault="00F950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9" w14:textId="77777777" w:rsidR="00CB35C0" w:rsidRDefault="00A51C5B">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4BCCC178" wp14:editId="07777777">
          <wp:extent cx="3410426" cy="905001"/>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3"/>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CB35C0" w14:paraId="211B3A12" w14:textId="77777777">
      <w:trPr>
        <w:trHeight w:val="585"/>
      </w:trPr>
      <w:tc>
        <w:tcPr>
          <w:tcW w:w="2051" w:type="dxa"/>
          <w:tcBorders>
            <w:top w:val="dotted" w:sz="4" w:space="0" w:color="000000"/>
            <w:left w:val="dotted" w:sz="4" w:space="0" w:color="000000"/>
            <w:bottom w:val="nil"/>
            <w:right w:val="nil"/>
          </w:tcBorders>
        </w:tcPr>
        <w:p w14:paraId="0000003A" w14:textId="77777777" w:rsidR="00CB35C0" w:rsidRDefault="00CB35C0">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B" w14:textId="77777777" w:rsidR="00CB35C0" w:rsidRDefault="00A51C5B">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CB35C0" w:rsidRPr="003662E7"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C" w14:textId="77777777" w:rsidR="00CB35C0" w:rsidRPr="003662E7" w:rsidRDefault="00A51C5B">
          <w:pPr>
            <w:pStyle w:val="Normal2"/>
            <w:pBdr>
              <w:top w:val="nil"/>
              <w:left w:val="nil"/>
              <w:bottom w:val="nil"/>
              <w:right w:val="nil"/>
              <w:between w:val="nil"/>
            </w:pBdr>
            <w:jc w:val="both"/>
            <w:rPr>
              <w:rFonts w:ascii="Arial" w:eastAsia="Arial" w:hAnsi="Arial" w:cs="Arial"/>
              <w:color w:val="000000"/>
              <w:sz w:val="14"/>
              <w:szCs w:val="14"/>
              <w:lang w:val="en-US"/>
            </w:rPr>
          </w:pPr>
          <w:r w:rsidRPr="003662E7">
            <w:rPr>
              <w:rFonts w:ascii="Arial" w:eastAsia="Arial" w:hAnsi="Arial" w:cs="Arial"/>
              <w:color w:val="000000"/>
              <w:sz w:val="14"/>
              <w:szCs w:val="14"/>
              <w:lang w:val="en-US"/>
            </w:rPr>
            <w:t>R4D1C4D0_1</w:t>
          </w:r>
        </w:p>
        <w:p w14:paraId="0000003D" w14:textId="77777777" w:rsidR="00CB35C0" w:rsidRPr="003662E7" w:rsidRDefault="00A51C5B">
          <w:pPr>
            <w:pStyle w:val="Normal2"/>
            <w:pBdr>
              <w:top w:val="nil"/>
              <w:left w:val="nil"/>
              <w:bottom w:val="nil"/>
              <w:right w:val="nil"/>
              <w:between w:val="nil"/>
            </w:pBdr>
            <w:jc w:val="both"/>
            <w:rPr>
              <w:rFonts w:ascii="Arial" w:eastAsia="Arial" w:hAnsi="Arial" w:cs="Arial"/>
              <w:color w:val="000000"/>
              <w:sz w:val="14"/>
              <w:szCs w:val="14"/>
              <w:lang w:val="en-US"/>
            </w:rPr>
          </w:pPr>
          <w:r w:rsidRPr="003662E7">
            <w:rPr>
              <w:rFonts w:ascii="Arial" w:eastAsia="Arial" w:hAnsi="Arial" w:cs="Arial"/>
              <w:color w:val="000000"/>
              <w:sz w:val="14"/>
              <w:szCs w:val="14"/>
              <w:lang w:val="en-US"/>
            </w:rPr>
            <w:t xml:space="preserve">R4D1C4D0_2 </w:t>
          </w:r>
        </w:p>
        <w:p w14:paraId="0000003E" w14:textId="77777777" w:rsidR="00CB35C0" w:rsidRPr="003662E7" w:rsidRDefault="00A51C5B">
          <w:pPr>
            <w:pStyle w:val="Normal2"/>
            <w:pBdr>
              <w:top w:val="nil"/>
              <w:left w:val="nil"/>
              <w:bottom w:val="nil"/>
              <w:right w:val="nil"/>
              <w:between w:val="nil"/>
            </w:pBdr>
            <w:jc w:val="both"/>
            <w:rPr>
              <w:rFonts w:ascii="Arial" w:eastAsia="Arial" w:hAnsi="Arial" w:cs="Arial"/>
              <w:color w:val="000000"/>
              <w:sz w:val="14"/>
              <w:szCs w:val="14"/>
              <w:lang w:val="en-US"/>
            </w:rPr>
          </w:pPr>
          <w:r w:rsidRPr="003662E7">
            <w:rPr>
              <w:rFonts w:ascii="Arial" w:eastAsia="Arial" w:hAnsi="Arial" w:cs="Arial"/>
              <w:color w:val="000000"/>
              <w:sz w:val="14"/>
              <w:szCs w:val="14"/>
              <w:lang w:val="en-US"/>
            </w:rPr>
            <w:t>R4D1C4D0_3</w:t>
          </w:r>
        </w:p>
        <w:p w14:paraId="0000003F" w14:textId="77777777" w:rsidR="00CB35C0" w:rsidRPr="003662E7" w:rsidRDefault="00A51C5B">
          <w:pPr>
            <w:pStyle w:val="Normal2"/>
            <w:pBdr>
              <w:top w:val="nil"/>
              <w:left w:val="nil"/>
              <w:bottom w:val="nil"/>
              <w:right w:val="nil"/>
              <w:between w:val="nil"/>
            </w:pBdr>
            <w:jc w:val="both"/>
            <w:rPr>
              <w:rFonts w:ascii="Arial" w:eastAsia="Arial" w:hAnsi="Arial" w:cs="Arial"/>
              <w:color w:val="000000"/>
              <w:sz w:val="14"/>
              <w:szCs w:val="14"/>
              <w:lang w:val="en-US"/>
            </w:rPr>
          </w:pPr>
          <w:r w:rsidRPr="003662E7">
            <w:rPr>
              <w:rFonts w:ascii="Arial" w:eastAsia="Arial" w:hAnsi="Arial" w:cs="Arial"/>
              <w:color w:val="000000"/>
              <w:sz w:val="14"/>
              <w:szCs w:val="14"/>
              <w:lang w:val="en-US"/>
            </w:rPr>
            <w:t>R4D1C4D0_4</w:t>
          </w:r>
        </w:p>
        <w:p w14:paraId="00000040" w14:textId="77777777" w:rsidR="00CB35C0" w:rsidRPr="003662E7" w:rsidRDefault="00A51C5B">
          <w:pPr>
            <w:pStyle w:val="Normal2"/>
            <w:pBdr>
              <w:top w:val="nil"/>
              <w:left w:val="nil"/>
              <w:bottom w:val="nil"/>
              <w:right w:val="nil"/>
              <w:between w:val="nil"/>
            </w:pBdr>
            <w:jc w:val="both"/>
            <w:rPr>
              <w:rFonts w:ascii="Arial" w:eastAsia="Arial" w:hAnsi="Arial" w:cs="Arial"/>
              <w:color w:val="000000"/>
              <w:sz w:val="14"/>
              <w:szCs w:val="14"/>
              <w:lang w:val="en-US"/>
            </w:rPr>
          </w:pPr>
          <w:r w:rsidRPr="003662E7">
            <w:rPr>
              <w:rFonts w:ascii="Arial" w:eastAsia="Arial" w:hAnsi="Arial" w:cs="Arial"/>
              <w:color w:val="000000"/>
              <w:sz w:val="14"/>
              <w:szCs w:val="14"/>
              <w:lang w:val="en-US"/>
            </w:rPr>
            <w:t>R4D1C4D0_5</w:t>
          </w:r>
        </w:p>
      </w:tc>
    </w:tr>
  </w:tbl>
  <w:p w14:paraId="00000042" w14:textId="77777777" w:rsidR="00CB35C0" w:rsidRPr="003662E7" w:rsidRDefault="00CB35C0">
    <w:pPr>
      <w:pStyle w:val="Normal2"/>
      <w:pBdr>
        <w:top w:val="nil"/>
        <w:left w:val="nil"/>
        <w:bottom w:val="nil"/>
        <w:right w:val="nil"/>
        <w:between w:val="nil"/>
      </w:pBdr>
      <w:tabs>
        <w:tab w:val="center" w:pos="4419"/>
        <w:tab w:val="right" w:pos="8838"/>
      </w:tabs>
      <w:jc w:val="center"/>
      <w:rPr>
        <w:color w:val="000000"/>
        <w:lang w:val="en-US"/>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6F3AC3"/>
    <w:rsid w:val="000F7299"/>
    <w:rsid w:val="00143F7A"/>
    <w:rsid w:val="001644AD"/>
    <w:rsid w:val="00214B7A"/>
    <w:rsid w:val="003662E7"/>
    <w:rsid w:val="005A29F7"/>
    <w:rsid w:val="00734E8F"/>
    <w:rsid w:val="00747480"/>
    <w:rsid w:val="00890511"/>
    <w:rsid w:val="00994F89"/>
    <w:rsid w:val="009E3E21"/>
    <w:rsid w:val="00A51C5B"/>
    <w:rsid w:val="00AA42F4"/>
    <w:rsid w:val="00CB35C0"/>
    <w:rsid w:val="00E32F97"/>
    <w:rsid w:val="00F078B3"/>
    <w:rsid w:val="00F80A7A"/>
    <w:rsid w:val="00F95078"/>
    <w:rsid w:val="00FB3F0E"/>
    <w:rsid w:val="00FD349E"/>
    <w:rsid w:val="00FF7E70"/>
    <w:rsid w:val="04EDC79C"/>
    <w:rsid w:val="04F5FDF6"/>
    <w:rsid w:val="053DA59B"/>
    <w:rsid w:val="064A6EB6"/>
    <w:rsid w:val="06D1550B"/>
    <w:rsid w:val="08470786"/>
    <w:rsid w:val="08B70376"/>
    <w:rsid w:val="12D426FA"/>
    <w:rsid w:val="1309A5D0"/>
    <w:rsid w:val="146FF75B"/>
    <w:rsid w:val="14F0A5F9"/>
    <w:rsid w:val="196F3AC3"/>
    <w:rsid w:val="1E60B745"/>
    <w:rsid w:val="1EC1F9C5"/>
    <w:rsid w:val="1EDB86B8"/>
    <w:rsid w:val="1FAFB8D0"/>
    <w:rsid w:val="2239556C"/>
    <w:rsid w:val="248171B2"/>
    <w:rsid w:val="25509167"/>
    <w:rsid w:val="258D89BD"/>
    <w:rsid w:val="2702E861"/>
    <w:rsid w:val="27DEC5C6"/>
    <w:rsid w:val="28F07400"/>
    <w:rsid w:val="2AD0AE17"/>
    <w:rsid w:val="2AFD4A2F"/>
    <w:rsid w:val="2D993D88"/>
    <w:rsid w:val="3090A24A"/>
    <w:rsid w:val="331A0F1E"/>
    <w:rsid w:val="33BF6590"/>
    <w:rsid w:val="39F4DD06"/>
    <w:rsid w:val="3D22DE78"/>
    <w:rsid w:val="3FA0D1E6"/>
    <w:rsid w:val="426D207A"/>
    <w:rsid w:val="4455DCDA"/>
    <w:rsid w:val="4594EAD5"/>
    <w:rsid w:val="498AF13A"/>
    <w:rsid w:val="4D865DCA"/>
    <w:rsid w:val="4DBD31B6"/>
    <w:rsid w:val="516E7013"/>
    <w:rsid w:val="560546FD"/>
    <w:rsid w:val="571AB2CF"/>
    <w:rsid w:val="5C438B8A"/>
    <w:rsid w:val="5D77578A"/>
    <w:rsid w:val="5E416CE6"/>
    <w:rsid w:val="639B9ABB"/>
    <w:rsid w:val="6590B02B"/>
    <w:rsid w:val="6F32E751"/>
    <w:rsid w:val="70EAD231"/>
    <w:rsid w:val="7162447D"/>
    <w:rsid w:val="75259E3D"/>
    <w:rsid w:val="75A16CCA"/>
    <w:rsid w:val="76E5B094"/>
    <w:rsid w:val="778AE9A4"/>
    <w:rsid w:val="79AC4911"/>
    <w:rsid w:val="7AFFAB44"/>
    <w:rsid w:val="7BB84C2F"/>
    <w:rsid w:val="7CBA9E4B"/>
    <w:rsid w:val="7EC8B62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dark1"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66E9"/>
  <w15:docId w15:val="{AD02E565-DA29-47CE-A55D-8B3B81E7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pPr>
    <w:rPr>
      <w:b/>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pPr>
    <w:rPr>
      <w:b/>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link w:val="Ttulo1Car"/>
    <w:uiPriority w:val="9"/>
    <w:qFormat/>
    <w:rsid w:val="00F00EC9"/>
    <w:pPr>
      <w:keepNext/>
      <w:tabs>
        <w:tab w:val="num" w:pos="720"/>
      </w:tabs>
      <w:suppressAutoHyphens/>
      <w:outlineLvl w:val="0"/>
    </w:pPr>
    <w:rPr>
      <w:b/>
      <w:szCs w:val="20"/>
      <w:lang w:val="es-ES" w:eastAsia="es-ES"/>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uiPriority w:val="59"/>
    <w:tblPr>
      <w:tblCellMar>
        <w:top w:w="0" w:type="dxa"/>
        <w:left w:w="75" w:type="dxa"/>
        <w:bottom w:w="0" w:type="dxa"/>
        <w:right w:w="75" w:type="dxa"/>
      </w:tblCellMar>
    </w:tblPr>
  </w:style>
  <w:style w:type="paragraph" w:styleId="Prrafodelista">
    <w:name w:val="List Paragraph"/>
    <w:basedOn w:val="Normal2"/>
    <w:link w:val="PrrafodelistaCar"/>
    <w:uiPriority w:val="99"/>
    <w:qFormat/>
    <w:pPr>
      <w:ind w:left="720"/>
    </w:pPr>
  </w:style>
  <w:style w:type="paragraph" w:styleId="Encabezado">
    <w:name w:val="header"/>
    <w:basedOn w:val="Normal2"/>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rPr>
      <w:rFonts w:ascii="Times New Roman" w:hAnsi="Times New Roman" w:cs="Times New Roman"/>
      <w:sz w:val="24"/>
      <w:szCs w:val="24"/>
    </w:rPr>
  </w:style>
  <w:style w:type="paragraph" w:styleId="Piedepgina">
    <w:name w:val="footer"/>
    <w:basedOn w:val="Normal2"/>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rPr>
      <w:rFonts w:ascii="Times New Roman" w:hAnsi="Times New Roman" w:cs="Times New Roman"/>
      <w:sz w:val="24"/>
      <w:szCs w:val="24"/>
    </w:rPr>
  </w:style>
  <w:style w:type="paragraph" w:styleId="Textodeglobo">
    <w:name w:val="Balloon Text"/>
    <w:basedOn w:val="Normal2"/>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styleId="Hipervnculo">
    <w:name w:val="Hyperlink"/>
    <w:basedOn w:val="Fuentedeprrafopredeter"/>
    <w:uiPriority w:val="99"/>
    <w:rPr>
      <w:color w:val="0000FF" w:themeColor="hyperlink"/>
      <w:u w:val="single"/>
    </w:rPr>
  </w:style>
  <w:style w:type="character" w:customStyle="1" w:styleId="Ttulo2Car">
    <w:name w:val="Título 2 Car"/>
    <w:basedOn w:val="Fuentedeprrafopredeter"/>
    <w:link w:val="heading22"/>
    <w:rPr>
      <w:rFonts w:ascii="Times New Roman" w:hAnsi="Times New Roman" w:cs="Times New Roman"/>
      <w:b/>
      <w:i/>
      <w:sz w:val="24"/>
      <w:szCs w:val="24"/>
    </w:rPr>
  </w:style>
  <w:style w:type="paragraph" w:styleId="NormalWeb">
    <w:name w:val="Normal (Web)"/>
    <w:basedOn w:val="Normal2"/>
    <w:uiPriority w:val="99"/>
    <w:pPr>
      <w:spacing w:before="100" w:beforeAutospacing="1" w:after="100" w:afterAutospacing="1"/>
    </w:pPr>
  </w:style>
  <w:style w:type="table" w:styleId="Tablaconcuadrcula">
    <w:name w:val="Table Grid"/>
    <w:basedOn w:val="NormalTable2"/>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Pr>
      <w:rFonts w:ascii="Calibri" w:hAnsi="Calibri"/>
    </w:rPr>
  </w:style>
  <w:style w:type="character" w:customStyle="1" w:styleId="SinespaciadoCar">
    <w:name w:val="Sin espaciado Car"/>
    <w:link w:val="Sinespaciado"/>
    <w:uiPriority w:val="1"/>
    <w:rPr>
      <w:rFonts w:ascii="Calibri" w:hAnsi="Calibri" w:cs="Calibri"/>
      <w:color w:val="000000"/>
    </w:rPr>
  </w:style>
  <w:style w:type="paragraph" w:customStyle="1" w:styleId="ecxmsonormal">
    <w:name w:val="ecxmsonormal"/>
    <w:basedOn w:val="Normal2"/>
    <w:pPr>
      <w:spacing w:before="100" w:beforeAutospacing="1" w:after="100" w:afterAutospacing="1"/>
    </w:pPr>
  </w:style>
  <w:style w:type="paragraph" w:customStyle="1" w:styleId="ecxmsobodytext">
    <w:name w:val="ecxmsobodytext"/>
    <w:basedOn w:val="Normal2"/>
    <w:rsid w:val="00F00EC9"/>
    <w:pPr>
      <w:spacing w:before="100" w:beforeAutospacing="1" w:after="100" w:afterAutospacing="1"/>
    </w:pPr>
    <w:rPr>
      <w:rFonts w:ascii="Calibri" w:hAnsi="Calibri" w:cs="Calibri"/>
      <w:lang w:val="es-ES" w:eastAsia="es-ES"/>
    </w:rPr>
  </w:style>
  <w:style w:type="paragraph" w:customStyle="1" w:styleId="ecxmsolistcxspmiddle">
    <w:name w:val="ecxmsolistcxspmiddle"/>
    <w:basedOn w:val="Normal2"/>
    <w:rsid w:val="00F00EC9"/>
    <w:pPr>
      <w:spacing w:before="100" w:beforeAutospacing="1" w:after="100" w:afterAutospacing="1"/>
    </w:pPr>
    <w:rPr>
      <w:rFonts w:ascii="Calibri" w:hAnsi="Calibri" w:cs="Calibri"/>
      <w:lang w:val="es-ES" w:eastAsia="es-ES"/>
    </w:rPr>
  </w:style>
  <w:style w:type="paragraph" w:customStyle="1" w:styleId="ecxmsolistcxsplast">
    <w:name w:val="ecxmsolistcxsplast"/>
    <w:basedOn w:val="Normal2"/>
    <w:rsid w:val="00F00EC9"/>
    <w:pPr>
      <w:spacing w:before="100" w:beforeAutospacing="1" w:after="100" w:afterAutospacing="1"/>
    </w:pPr>
    <w:rPr>
      <w:rFonts w:ascii="Calibri" w:hAnsi="Calibri" w:cs="Calibri"/>
      <w:lang w:val="es-ES" w:eastAsia="es-ES"/>
    </w:rPr>
  </w:style>
  <w:style w:type="paragraph" w:customStyle="1" w:styleId="ecxmsobodytextfirstindent2">
    <w:name w:val="ecxmsobodytextfirstindent2"/>
    <w:basedOn w:val="Normal2"/>
    <w:rsid w:val="00F00EC9"/>
    <w:pPr>
      <w:spacing w:before="100" w:beforeAutospacing="1" w:after="100" w:afterAutospacing="1"/>
    </w:pPr>
    <w:rPr>
      <w:rFonts w:ascii="Calibri" w:hAnsi="Calibri" w:cs="Calibri"/>
      <w:lang w:val="es-ES" w:eastAsia="es-ES"/>
    </w:rPr>
  </w:style>
  <w:style w:type="paragraph" w:customStyle="1" w:styleId="ecxyiv587511369msonormal">
    <w:name w:val="ecxyiv587511369msonormal"/>
    <w:basedOn w:val="Normal2"/>
    <w:rsid w:val="00F00EC9"/>
    <w:pPr>
      <w:spacing w:before="100" w:beforeAutospacing="1" w:after="100" w:afterAutospacing="1"/>
    </w:pPr>
    <w:rPr>
      <w:rFonts w:ascii="Calibri" w:hAnsi="Calibri" w:cs="Calibri"/>
      <w:lang w:val="es-ES" w:eastAsia="es-ES"/>
    </w:rPr>
  </w:style>
  <w:style w:type="character" w:customStyle="1" w:styleId="Ttulo1Car">
    <w:name w:val="Título 1 Car"/>
    <w:basedOn w:val="Fuentedeprrafopredeter"/>
    <w:link w:val="heading12"/>
    <w:uiPriority w:val="99"/>
    <w:rsid w:val="00F00EC9"/>
    <w:rPr>
      <w:rFonts w:ascii="Times New Roman" w:hAnsi="Times New Roman" w:cs="Times New Roman"/>
      <w:b/>
      <w:sz w:val="24"/>
      <w:szCs w:val="20"/>
      <w:lang w:val="es-ES" w:eastAsia="es-ES"/>
    </w:rPr>
  </w:style>
  <w:style w:type="character" w:customStyle="1" w:styleId="apple-style-span">
    <w:name w:val="apple-style-span"/>
    <w:uiPriority w:val="99"/>
    <w:rsid w:val="00F00EC9"/>
    <w:rPr>
      <w:rFonts w:cs="Times New Roman"/>
    </w:rPr>
  </w:style>
  <w:style w:type="paragraph" w:styleId="Textoindependiente">
    <w:name w:val="Body Text"/>
    <w:basedOn w:val="Normal2"/>
    <w:link w:val="TextoindependienteCar"/>
    <w:uiPriority w:val="99"/>
    <w:rsid w:val="00F00EC9"/>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uiPriority w:val="99"/>
    <w:rsid w:val="00F00EC9"/>
    <w:rPr>
      <w:rFonts w:ascii="Verdana" w:hAnsi="Verdana" w:cs="Times New Roman"/>
      <w:color w:val="auto"/>
      <w:szCs w:val="24"/>
      <w:lang w:val="es-ES" w:eastAsia="es-ES"/>
    </w:rPr>
  </w:style>
  <w:style w:type="character" w:customStyle="1" w:styleId="apple-converted-space">
    <w:name w:val="apple-converted-space"/>
    <w:uiPriority w:val="99"/>
    <w:rsid w:val="00F00EC9"/>
    <w:rPr>
      <w:rFonts w:cs="Times New Roman"/>
    </w:rPr>
  </w:style>
  <w:style w:type="paragraph" w:customStyle="1" w:styleId="Default">
    <w:name w:val="Default"/>
    <w:uiPriority w:val="99"/>
    <w:rsid w:val="00F00EC9"/>
    <w:pPr>
      <w:autoSpaceDE w:val="0"/>
      <w:autoSpaceDN w:val="0"/>
      <w:adjustRightInd w:val="0"/>
    </w:pPr>
    <w:rPr>
      <w:rFonts w:ascii="Calibri" w:hAnsi="Calibri"/>
    </w:rPr>
  </w:style>
  <w:style w:type="table" w:styleId="Tablaconcuadrcula8">
    <w:name w:val="Table Grid 8"/>
    <w:basedOn w:val="NormalTable2"/>
    <w:uiPriority w:val="99"/>
    <w:rsid w:val="00F00EC9"/>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aconcuadrcula7">
    <w:name w:val="Table Grid 7"/>
    <w:basedOn w:val="NormalTable2"/>
    <w:uiPriority w:val="99"/>
    <w:rsid w:val="00F00EC9"/>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Sangradetextonormal">
    <w:name w:val="Body Text Indent"/>
    <w:basedOn w:val="Normal2"/>
    <w:link w:val="SangradetextonormalCar"/>
    <w:uiPriority w:val="99"/>
    <w:rsid w:val="00F00EC9"/>
    <w:pPr>
      <w:spacing w:after="120"/>
      <w:ind w:left="283"/>
    </w:pPr>
    <w:rPr>
      <w:lang w:val="es-ES" w:eastAsia="es-ES"/>
    </w:rPr>
  </w:style>
  <w:style w:type="character" w:customStyle="1" w:styleId="SangradetextonormalCar">
    <w:name w:val="Sangría de texto normal Car"/>
    <w:basedOn w:val="Fuentedeprrafopredeter"/>
    <w:link w:val="Sangradetextonormal"/>
    <w:uiPriority w:val="99"/>
    <w:rsid w:val="00F00EC9"/>
    <w:rPr>
      <w:rFonts w:ascii="Times New Roman" w:hAnsi="Times New Roman" w:cs="Times New Roman"/>
      <w:color w:val="auto"/>
      <w:sz w:val="24"/>
      <w:szCs w:val="24"/>
      <w:lang w:val="es-ES" w:eastAsia="es-ES"/>
    </w:rPr>
  </w:style>
  <w:style w:type="character" w:customStyle="1" w:styleId="PrrafodelistaCar">
    <w:name w:val="Párrafo de lista Car"/>
    <w:link w:val="Prrafodelista"/>
    <w:uiPriority w:val="99"/>
    <w:locked/>
    <w:rsid w:val="00F00EC9"/>
    <w:rPr>
      <w:rFonts w:ascii="Times New Roman" w:hAnsi="Times New Roman" w:cs="Times New Roman"/>
      <w:sz w:val="24"/>
      <w:szCs w:val="24"/>
    </w:rPr>
  </w:style>
  <w:style w:type="character" w:styleId="Hipervnculovisitado">
    <w:name w:val="FollowedHyperlink"/>
    <w:uiPriority w:val="99"/>
    <w:semiHidden/>
    <w:rsid w:val="00F00EC9"/>
    <w:rPr>
      <w:rFonts w:cs="Times New Roman"/>
      <w:color w:val="800080"/>
      <w:u w:val="single"/>
    </w:rPr>
  </w:style>
  <w:style w:type="paragraph" w:styleId="Textoindependiente2">
    <w:name w:val="Body Text 2"/>
    <w:basedOn w:val="Normal2"/>
    <w:link w:val="Textoindependiente2Car"/>
    <w:uiPriority w:val="99"/>
    <w:semiHidden/>
    <w:rsid w:val="00F00EC9"/>
    <w:pPr>
      <w:spacing w:after="120" w:line="480" w:lineRule="auto"/>
    </w:pPr>
    <w:rPr>
      <w:lang w:val="es-ES" w:eastAsia="es-ES"/>
    </w:rPr>
  </w:style>
  <w:style w:type="character" w:customStyle="1" w:styleId="Textoindependiente2Car">
    <w:name w:val="Texto independiente 2 Car"/>
    <w:basedOn w:val="Fuentedeprrafopredeter"/>
    <w:link w:val="Textoindependiente2"/>
    <w:uiPriority w:val="99"/>
    <w:semiHidden/>
    <w:rsid w:val="00F00EC9"/>
    <w:rPr>
      <w:rFonts w:ascii="Times New Roman" w:hAnsi="Times New Roman" w:cs="Times New Roman"/>
      <w:color w:val="auto"/>
      <w:sz w:val="24"/>
      <w:szCs w:val="24"/>
      <w:lang w:val="es-ES" w:eastAsia="es-ES"/>
    </w:rPr>
  </w:style>
  <w:style w:type="paragraph" w:styleId="Lista">
    <w:name w:val="List"/>
    <w:basedOn w:val="Normal2"/>
    <w:uiPriority w:val="99"/>
    <w:rsid w:val="00F00EC9"/>
    <w:pPr>
      <w:ind w:left="283" w:hanging="283"/>
    </w:pPr>
    <w:rPr>
      <w:lang w:val="es-ES" w:eastAsia="es-ES"/>
    </w:rPr>
  </w:style>
  <w:style w:type="paragraph" w:customStyle="1" w:styleId="WW-Listaconvietas">
    <w:name w:val="WW-Lista con viñetas"/>
    <w:basedOn w:val="Normal2"/>
    <w:uiPriority w:val="99"/>
    <w:rsid w:val="00F00EC9"/>
    <w:pPr>
      <w:suppressAutoHyphens/>
      <w:ind w:left="360" w:hanging="360"/>
      <w:jc w:val="both"/>
    </w:pPr>
    <w:rPr>
      <w:szCs w:val="20"/>
      <w:lang w:val="es-ES" w:eastAsia="es-ES"/>
    </w:rPr>
  </w:style>
  <w:style w:type="paragraph" w:customStyle="1" w:styleId="WW-Textoindependiente2">
    <w:name w:val="WW-Texto independiente 2"/>
    <w:basedOn w:val="Normal2"/>
    <w:uiPriority w:val="99"/>
    <w:rsid w:val="00F00EC9"/>
    <w:pPr>
      <w:suppressAutoHyphens/>
    </w:pPr>
    <w:rPr>
      <w:szCs w:val="20"/>
      <w:lang w:val="es-ES" w:eastAsia="es-ES"/>
    </w:rPr>
  </w:style>
  <w:style w:type="paragraph" w:styleId="Encabezadodemensaje">
    <w:name w:val="Message Header"/>
    <w:basedOn w:val="Normal2"/>
    <w:link w:val="EncabezadodemensajeCar"/>
    <w:uiPriority w:val="99"/>
    <w:rsid w:val="00F00EC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character" w:customStyle="1" w:styleId="EncabezadodemensajeCar">
    <w:name w:val="Encabezado de mensaje Car"/>
    <w:basedOn w:val="Fuentedeprrafopredeter"/>
    <w:link w:val="Encabezadodemensaje"/>
    <w:uiPriority w:val="99"/>
    <w:rsid w:val="00F00EC9"/>
    <w:rPr>
      <w:rFonts w:ascii="Cambria" w:hAnsi="Cambria" w:cs="Times New Roman"/>
      <w:color w:val="auto"/>
      <w:sz w:val="24"/>
      <w:szCs w:val="24"/>
      <w:shd w:val="pct20" w:color="auto" w:fill="auto"/>
      <w:lang w:val="es-ES" w:eastAsia="es-ES"/>
    </w:rPr>
  </w:style>
  <w:style w:type="character" w:customStyle="1" w:styleId="MessageHeaderChar">
    <w:name w:val="Message Header Char"/>
    <w:uiPriority w:val="99"/>
    <w:semiHidden/>
    <w:locked/>
    <w:rsid w:val="00F00EC9"/>
    <w:rPr>
      <w:rFonts w:ascii="Cambria" w:hAnsi="Cambria" w:cs="Times New Roman"/>
      <w:sz w:val="24"/>
      <w:szCs w:val="24"/>
      <w:shd w:val="pct20" w:color="auto" w:fill="auto"/>
      <w:lang w:val="es-ES" w:eastAsia="es-ES"/>
    </w:rPr>
  </w:style>
  <w:style w:type="paragraph" w:styleId="Cierre">
    <w:name w:val="Closing"/>
    <w:basedOn w:val="Normal2"/>
    <w:link w:val="CierreCar"/>
    <w:uiPriority w:val="99"/>
    <w:rsid w:val="00F00EC9"/>
    <w:pPr>
      <w:ind w:left="4252"/>
    </w:pPr>
    <w:rPr>
      <w:lang w:val="es-ES" w:eastAsia="es-ES"/>
    </w:rPr>
  </w:style>
  <w:style w:type="character" w:customStyle="1" w:styleId="CierreCar">
    <w:name w:val="Cierre Car"/>
    <w:basedOn w:val="Fuentedeprrafopredeter"/>
    <w:link w:val="Cierre"/>
    <w:uiPriority w:val="99"/>
    <w:rsid w:val="00F00EC9"/>
    <w:rPr>
      <w:rFonts w:ascii="Times New Roman" w:hAnsi="Times New Roman" w:cs="Times New Roman"/>
      <w:color w:val="auto"/>
      <w:sz w:val="24"/>
      <w:szCs w:val="24"/>
      <w:lang w:val="es-ES" w:eastAsia="es-ES"/>
    </w:rPr>
  </w:style>
  <w:style w:type="character" w:customStyle="1" w:styleId="ClosingChar">
    <w:name w:val="Closing Char"/>
    <w:uiPriority w:val="99"/>
    <w:semiHidden/>
    <w:locked/>
    <w:rsid w:val="00F00EC9"/>
    <w:rPr>
      <w:rFonts w:ascii="Times New Roman" w:hAnsi="Times New Roman" w:cs="Times New Roman"/>
      <w:sz w:val="24"/>
      <w:szCs w:val="24"/>
      <w:lang w:val="es-ES" w:eastAsia="es-ES"/>
    </w:rPr>
  </w:style>
  <w:style w:type="character" w:customStyle="1" w:styleId="CarCar2">
    <w:name w:val="Car Car2"/>
    <w:uiPriority w:val="99"/>
    <w:locked/>
    <w:rsid w:val="00F00EC9"/>
    <w:rPr>
      <w:rFonts w:ascii="Cambria" w:hAnsi="Cambria" w:cs="Times New Roman"/>
      <w:sz w:val="24"/>
      <w:szCs w:val="24"/>
      <w:lang w:val="es-ES" w:eastAsia="es-ES" w:bidi="ar-SA"/>
    </w:rPr>
  </w:style>
  <w:style w:type="character" w:customStyle="1" w:styleId="CarCar1">
    <w:name w:val="Car Car1"/>
    <w:uiPriority w:val="99"/>
    <w:locked/>
    <w:rsid w:val="00F00EC9"/>
    <w:rPr>
      <w:rFonts w:eastAsia="Times New Roman" w:cs="Times New Roman"/>
      <w:sz w:val="24"/>
      <w:szCs w:val="24"/>
      <w:lang w:val="es-ES" w:eastAsia="es-ES" w:bidi="ar-SA"/>
    </w:rPr>
  </w:style>
  <w:style w:type="character" w:customStyle="1" w:styleId="CarCar21">
    <w:name w:val="Car Car21"/>
    <w:uiPriority w:val="99"/>
    <w:locked/>
    <w:rsid w:val="00F00EC9"/>
    <w:rPr>
      <w:rFonts w:ascii="Cambria" w:hAnsi="Cambria" w:cs="Times New Roman"/>
      <w:sz w:val="24"/>
      <w:szCs w:val="24"/>
      <w:lang w:val="es-ES" w:eastAsia="es-ES" w:bidi="ar-SA"/>
    </w:rPr>
  </w:style>
  <w:style w:type="character" w:customStyle="1" w:styleId="CarCar11">
    <w:name w:val="Car Car11"/>
    <w:uiPriority w:val="99"/>
    <w:locked/>
    <w:rsid w:val="00F00EC9"/>
    <w:rPr>
      <w:rFonts w:eastAsia="Times New Roman" w:cs="Times New Roman"/>
      <w:sz w:val="24"/>
      <w:szCs w:val="24"/>
      <w:lang w:val="es-ES" w:eastAsia="es-ES" w:bidi="ar-SA"/>
    </w:rPr>
  </w:style>
  <w:style w:type="character" w:customStyle="1" w:styleId="CarCar22">
    <w:name w:val="Car Car22"/>
    <w:uiPriority w:val="99"/>
    <w:locked/>
    <w:rsid w:val="00F00EC9"/>
    <w:rPr>
      <w:rFonts w:ascii="Cambria" w:hAnsi="Cambria" w:cs="Times New Roman"/>
      <w:sz w:val="24"/>
      <w:szCs w:val="24"/>
      <w:lang w:val="es-ES" w:eastAsia="es-ES" w:bidi="ar-SA"/>
    </w:rPr>
  </w:style>
  <w:style w:type="character" w:customStyle="1" w:styleId="CarCar12">
    <w:name w:val="Car Car12"/>
    <w:uiPriority w:val="99"/>
    <w:locked/>
    <w:rsid w:val="00F00EC9"/>
    <w:rPr>
      <w:rFonts w:eastAsia="Times New Roman" w:cs="Times New Roman"/>
      <w:sz w:val="24"/>
      <w:szCs w:val="24"/>
      <w:lang w:val="es-ES" w:eastAsia="es-ES" w:bidi="ar-SA"/>
    </w:rPr>
  </w:style>
  <w:style w:type="paragraph" w:customStyle="1" w:styleId="ecxdefault">
    <w:name w:val="ecxdefault"/>
    <w:basedOn w:val="Normal2"/>
    <w:uiPriority w:val="99"/>
    <w:rsid w:val="00F00EC9"/>
    <w:pPr>
      <w:spacing w:before="100" w:beforeAutospacing="1" w:after="100" w:afterAutospacing="1"/>
    </w:pPr>
    <w:rPr>
      <w:rFonts w:eastAsia="Calibri"/>
      <w:lang w:val="es-ES" w:eastAsia="es-ES"/>
    </w:rPr>
  </w:style>
  <w:style w:type="paragraph" w:customStyle="1" w:styleId="NormalLatinaArial">
    <w:name w:val="Normal + (Latina) Arial"/>
    <w:aliases w:val="NegriNormal"/>
    <w:basedOn w:val="Normal2"/>
    <w:uiPriority w:val="99"/>
    <w:rsid w:val="00F00EC9"/>
    <w:pPr>
      <w:jc w:val="both"/>
    </w:pPr>
    <w:rPr>
      <w:rFonts w:ascii="Arial" w:hAnsi="Arial" w:cs="Arial"/>
      <w:b/>
      <w:lang w:val="es-ES" w:eastAsia="es-ES"/>
    </w:rPr>
  </w:style>
  <w:style w:type="table" w:styleId="Tabladecuadrcula6concolores">
    <w:name w:val="Grid Table 6 Colorful"/>
    <w:basedOn w:val="NormalTable2"/>
    <w:uiPriority w:val="51"/>
    <w:rsid w:val="003C11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cxmsolistparagraph">
    <w:name w:val="ecxmsolistparagraph"/>
    <w:basedOn w:val="Normal2"/>
    <w:rsid w:val="00732428"/>
    <w:pPr>
      <w:spacing w:before="100" w:beforeAutospacing="1" w:after="100" w:afterAutospacing="1"/>
    </w:pPr>
    <w:rPr>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styleId="Revisin">
    <w:name w:val="Revision"/>
    <w:hidden/>
    <w:uiPriority w:val="99"/>
    <w:semiHidden/>
    <w:rsid w:val="00DB043B"/>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3">
    <w:basedOn w:val="NormalTable3"/>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unhideWhenUsed/>
    <w:rsid w:val="000F7299"/>
    <w:rPr>
      <w:sz w:val="20"/>
      <w:szCs w:val="20"/>
      <w:lang w:eastAsia="es-CO"/>
    </w:rPr>
  </w:style>
  <w:style w:type="character" w:customStyle="1" w:styleId="TextocomentarioCar">
    <w:name w:val="Texto comentario Car"/>
    <w:basedOn w:val="Fuentedeprrafopredeter"/>
    <w:link w:val="Textocomentario"/>
    <w:uiPriority w:val="99"/>
    <w:rsid w:val="000F7299"/>
    <w:rPr>
      <w:sz w:val="20"/>
      <w:szCs w:val="20"/>
      <w:lang w:eastAsia="es-CO"/>
    </w:rPr>
  </w:style>
  <w:style w:type="character" w:customStyle="1" w:styleId="normaltextrun">
    <w:name w:val="normaltextrun"/>
    <w:basedOn w:val="Fuentedeprrafopredeter"/>
    <w:rsid w:val="000F7299"/>
  </w:style>
  <w:style w:type="character" w:customStyle="1" w:styleId="eop">
    <w:name w:val="eop"/>
    <w:basedOn w:val="Fuentedeprrafopredeter"/>
    <w:rsid w:val="00143F7A"/>
  </w:style>
  <w:style w:type="paragraph" w:customStyle="1" w:styleId="paragraph">
    <w:name w:val="paragraph"/>
    <w:basedOn w:val="Normal"/>
    <w:rsid w:val="00E32F97"/>
    <w:pPr>
      <w:spacing w:before="100" w:beforeAutospacing="1" w:after="100" w:afterAutospacing="1"/>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3uXYdiVlH+MNUQnjHugCf5gKXw==">AMUW2mW4vk8QAyIQS1IJBcNPZ33JjSHt22cBgKeEslUJIYsD4ikZt5/xjeqdA9DfOLsQQ1EZJxud70WDHaQda0XHtU+OcNTLUrrSrMcMb0W1IKRBSwduP0MF983xzgJzG/nNIULoslsqhEmF4h5PFWI1EVYIj8AsYQ==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Jeyson Ferney Rey Acuña</dc:creator>
  <cp:lastModifiedBy>Jonathan</cp:lastModifiedBy>
  <cp:revision>18</cp:revision>
  <dcterms:created xsi:type="dcterms:W3CDTF">2023-09-12T01:56:00Z</dcterms:created>
  <dcterms:modified xsi:type="dcterms:W3CDTF">2023-12-02T15:09:00Z</dcterms:modified>
</cp:coreProperties>
</file>