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AF66" w14:textId="77777777" w:rsidR="00A62A67" w:rsidRPr="00D50DBC" w:rsidRDefault="00A62A67" w:rsidP="00AA2140">
      <w:pPr>
        <w:pBdr>
          <w:top w:val="nil"/>
          <w:left w:val="nil"/>
          <w:bottom w:val="nil"/>
          <w:right w:val="nil"/>
        </w:pBdr>
        <w:jc w:val="center"/>
        <w:rPr>
          <w:rFonts w:ascii="Arial" w:hAnsi="Arial"/>
          <w:b/>
          <w:sz w:val="22"/>
        </w:rPr>
      </w:pPr>
      <w:bookmarkStart w:id="0" w:name="_GoBack"/>
    </w:p>
    <w:p w14:paraId="4204B7C4" w14:textId="77777777" w:rsidR="00A62A67" w:rsidRPr="00D50DBC" w:rsidRDefault="00A62A67" w:rsidP="00AA2140">
      <w:pPr>
        <w:pBdr>
          <w:top w:val="nil"/>
          <w:left w:val="nil"/>
          <w:bottom w:val="nil"/>
          <w:right w:val="nil"/>
        </w:pBdr>
        <w:jc w:val="center"/>
        <w:rPr>
          <w:rFonts w:ascii="Arial" w:hAnsi="Arial"/>
          <w:b/>
          <w:sz w:val="22"/>
        </w:rPr>
      </w:pPr>
    </w:p>
    <w:p w14:paraId="5BBBACA1" w14:textId="77777777" w:rsidR="006A49B3" w:rsidRPr="00D50DBC" w:rsidRDefault="00382003" w:rsidP="006A49B3">
      <w:pPr>
        <w:jc w:val="center"/>
        <w:rPr>
          <w:rFonts w:ascii="Arial" w:hAnsi="Arial"/>
          <w:b/>
          <w:bCs/>
          <w:sz w:val="22"/>
          <w:szCs w:val="22"/>
        </w:rPr>
      </w:pPr>
      <w:r w:rsidRPr="00D50DBC">
        <w:rPr>
          <w:rFonts w:ascii="Arial" w:hAnsi="Arial"/>
          <w:b/>
          <w:bCs/>
          <w:sz w:val="22"/>
          <w:szCs w:val="22"/>
        </w:rPr>
        <w:t xml:space="preserve">RESOLUCIÓN </w:t>
      </w:r>
      <w:r w:rsidR="006A49B3" w:rsidRPr="00D50DBC">
        <w:rPr>
          <w:rFonts w:ascii="Arial" w:hAnsi="Arial"/>
          <w:b/>
          <w:bCs/>
          <w:sz w:val="22"/>
          <w:szCs w:val="22"/>
        </w:rPr>
        <w:t>CATASTRAL No. ${</w:t>
      </w:r>
      <w:proofErr w:type="spellStart"/>
      <w:r w:rsidR="006A49B3" w:rsidRPr="00D50DBC">
        <w:rPr>
          <w:rFonts w:ascii="Arial" w:hAnsi="Arial"/>
          <w:b/>
          <w:bCs/>
          <w:sz w:val="22"/>
          <w:szCs w:val="22"/>
        </w:rPr>
        <w:t>no_resolucion</w:t>
      </w:r>
      <w:proofErr w:type="spellEnd"/>
      <w:r w:rsidR="006A49B3" w:rsidRPr="00D50DBC">
        <w:rPr>
          <w:rFonts w:ascii="Arial" w:hAnsi="Arial"/>
          <w:b/>
          <w:bCs/>
          <w:sz w:val="22"/>
          <w:szCs w:val="22"/>
        </w:rPr>
        <w:t>}</w:t>
      </w:r>
    </w:p>
    <w:p w14:paraId="198CC5F2" w14:textId="49DA7FEB" w:rsidR="00A62A67" w:rsidRPr="00D50DBC" w:rsidRDefault="006A49B3" w:rsidP="006A49B3">
      <w:pPr>
        <w:jc w:val="center"/>
        <w:rPr>
          <w:rFonts w:ascii="Arial" w:hAnsi="Arial"/>
          <w:b/>
          <w:bCs/>
          <w:sz w:val="22"/>
          <w:szCs w:val="22"/>
        </w:rPr>
      </w:pPr>
      <w:r w:rsidRPr="00D50DBC">
        <w:rPr>
          <w:rFonts w:ascii="Arial" w:hAnsi="Arial"/>
          <w:b/>
          <w:bCs/>
          <w:sz w:val="22"/>
          <w:szCs w:val="22"/>
        </w:rPr>
        <w:t>(${</w:t>
      </w:r>
      <w:proofErr w:type="spellStart"/>
      <w:r w:rsidRPr="00D50DBC">
        <w:rPr>
          <w:rFonts w:ascii="Arial" w:hAnsi="Arial"/>
          <w:b/>
          <w:bCs/>
          <w:sz w:val="22"/>
          <w:szCs w:val="22"/>
        </w:rPr>
        <w:t>dia</w:t>
      </w:r>
      <w:proofErr w:type="spellEnd"/>
      <w:r w:rsidRPr="00D50DBC">
        <w:rPr>
          <w:rFonts w:ascii="Arial" w:hAnsi="Arial"/>
          <w:b/>
          <w:bCs/>
          <w:sz w:val="22"/>
          <w:szCs w:val="22"/>
        </w:rPr>
        <w:t>} DE ${mes} DE ${vigencia})</w:t>
      </w:r>
    </w:p>
    <w:p w14:paraId="48928624" w14:textId="77777777" w:rsidR="00A62A67" w:rsidRPr="00D50DBC" w:rsidRDefault="00A62A67" w:rsidP="00AA2140">
      <w:pPr>
        <w:jc w:val="center"/>
        <w:rPr>
          <w:rFonts w:ascii="Arial" w:hAnsi="Arial"/>
          <w:b/>
          <w:sz w:val="22"/>
        </w:rPr>
      </w:pPr>
    </w:p>
    <w:p w14:paraId="3830F9E1" w14:textId="77777777" w:rsidR="00A62A67" w:rsidRPr="00D50DBC" w:rsidRDefault="00A62A67" w:rsidP="00AA2140">
      <w:pPr>
        <w:jc w:val="center"/>
        <w:rPr>
          <w:rFonts w:ascii="Arial" w:hAnsi="Arial"/>
          <w:b/>
          <w:sz w:val="22"/>
        </w:rPr>
      </w:pPr>
    </w:p>
    <w:p w14:paraId="49EF0EAB" w14:textId="77777777" w:rsidR="00A62A67" w:rsidRPr="00D50DBC" w:rsidRDefault="00382003" w:rsidP="0A928457">
      <w:pPr>
        <w:pBdr>
          <w:top w:val="nil"/>
          <w:left w:val="nil"/>
          <w:bottom w:val="nil"/>
          <w:right w:val="nil"/>
        </w:pBdr>
        <w:jc w:val="center"/>
        <w:rPr>
          <w:rFonts w:ascii="Arial" w:hAnsi="Arial"/>
          <w:sz w:val="22"/>
          <w:szCs w:val="22"/>
        </w:rPr>
      </w:pPr>
      <w:r w:rsidRPr="00D50DBC">
        <w:rPr>
          <w:rFonts w:ascii="Arial" w:hAnsi="Arial"/>
          <w:sz w:val="22"/>
          <w:szCs w:val="22"/>
        </w:rPr>
        <w:t>“</w:t>
      </w:r>
      <w:r w:rsidRPr="00D50DBC">
        <w:rPr>
          <w:rFonts w:ascii="Arial" w:hAnsi="Arial"/>
          <w:i/>
          <w:iCs/>
          <w:sz w:val="22"/>
          <w:szCs w:val="22"/>
        </w:rPr>
        <w:t>POR MEDIO DE LA CUAL SE RESUELVE UNA REVISIÓN DE AVALÚO Y SE REALIZA LA INSCRIPCIÓN DE LA INFORMACIÓN EN EL CATASTRO DEL MUNICIPIO DE FUSAGASUGÁ DE MANERA OFICIOSA”</w:t>
      </w:r>
    </w:p>
    <w:p w14:paraId="73129F78" w14:textId="77777777" w:rsidR="00A62A67" w:rsidRPr="00D50DBC" w:rsidRDefault="00382003" w:rsidP="00AA2140">
      <w:pPr>
        <w:pBdr>
          <w:top w:val="nil"/>
          <w:left w:val="nil"/>
          <w:bottom w:val="nil"/>
          <w:right w:val="nil"/>
        </w:pBdr>
        <w:rPr>
          <w:rFonts w:ascii="Arial" w:hAnsi="Arial"/>
          <w:sz w:val="22"/>
        </w:rPr>
      </w:pPr>
      <w:r w:rsidRPr="00D50DBC">
        <w:rPr>
          <w:rFonts w:ascii="Arial" w:hAnsi="Arial"/>
          <w:sz w:val="22"/>
        </w:rPr>
        <w:t xml:space="preserve"> </w:t>
      </w:r>
    </w:p>
    <w:p w14:paraId="2C7CA745" w14:textId="77777777" w:rsidR="00A62A67" w:rsidRPr="00D50DBC" w:rsidRDefault="00382003" w:rsidP="00AA2140">
      <w:pPr>
        <w:pBdr>
          <w:top w:val="nil"/>
          <w:left w:val="nil"/>
          <w:bottom w:val="nil"/>
          <w:right w:val="nil"/>
        </w:pBdr>
        <w:jc w:val="both"/>
        <w:rPr>
          <w:rFonts w:ascii="Arial" w:hAnsi="Arial"/>
          <w:sz w:val="22"/>
        </w:rPr>
      </w:pPr>
      <w:r w:rsidRPr="00D50DBC">
        <w:rPr>
          <w:rFonts w:ascii="Arial" w:hAnsi="Arial"/>
          <w:sz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“Por medio de la cual se habilita como gestor catastral al Municipio de Fusagasugá y   se dictan otras disposiciones” y, </w:t>
      </w:r>
    </w:p>
    <w:p w14:paraId="4529D277" w14:textId="77777777" w:rsidR="00A62A67" w:rsidRPr="00D50DBC" w:rsidRDefault="00A62A67" w:rsidP="00AA2140">
      <w:pPr>
        <w:jc w:val="both"/>
        <w:rPr>
          <w:rFonts w:ascii="Arial" w:hAnsi="Arial"/>
          <w:sz w:val="22"/>
        </w:rPr>
      </w:pPr>
    </w:p>
    <w:p w14:paraId="707BF53F" w14:textId="77777777" w:rsidR="00A62A67" w:rsidRPr="00D50DBC" w:rsidRDefault="00A62A67" w:rsidP="00AA2140">
      <w:pPr>
        <w:jc w:val="both"/>
        <w:rPr>
          <w:rFonts w:ascii="Arial" w:hAnsi="Arial"/>
          <w:sz w:val="22"/>
        </w:rPr>
      </w:pPr>
    </w:p>
    <w:p w14:paraId="5E7C5FCE" w14:textId="77777777" w:rsidR="00A62A67" w:rsidRPr="00D50DBC" w:rsidRDefault="00382003" w:rsidP="00AA2140">
      <w:pPr>
        <w:jc w:val="center"/>
        <w:rPr>
          <w:rFonts w:ascii="Arial" w:hAnsi="Arial"/>
          <w:b/>
          <w:sz w:val="22"/>
        </w:rPr>
      </w:pPr>
      <w:r w:rsidRPr="00D50DBC">
        <w:rPr>
          <w:rFonts w:ascii="Arial" w:hAnsi="Arial"/>
          <w:b/>
          <w:sz w:val="22"/>
        </w:rPr>
        <w:t>CONSIDERANDO</w:t>
      </w:r>
    </w:p>
    <w:p w14:paraId="64744DA8" w14:textId="77777777" w:rsidR="00A62A67" w:rsidRPr="00D50DBC" w:rsidRDefault="00A62A67" w:rsidP="00AA2140">
      <w:pPr>
        <w:spacing w:before="240"/>
        <w:jc w:val="both"/>
        <w:rPr>
          <w:rFonts w:ascii="Arial" w:hAnsi="Arial"/>
          <w:sz w:val="22"/>
        </w:rPr>
      </w:pPr>
    </w:p>
    <w:p w14:paraId="41477715" w14:textId="77777777" w:rsidR="001B50FA" w:rsidRPr="00D50DBC" w:rsidRDefault="001B50FA" w:rsidP="00AA2140">
      <w:pPr>
        <w:tabs>
          <w:tab w:val="left" w:pos="3975"/>
        </w:tabs>
        <w:jc w:val="both"/>
        <w:rPr>
          <w:rFonts w:ascii="Arial" w:eastAsia="Arial" w:hAnsi="Arial" w:cs="Arial"/>
          <w:sz w:val="22"/>
          <w:szCs w:val="22"/>
        </w:rPr>
      </w:pPr>
      <w:r w:rsidRPr="00D50DBC">
        <w:rPr>
          <w:rFonts w:ascii="Arial" w:eastAsia="Arial" w:hAnsi="Arial" w:cs="Arial"/>
          <w:sz w:val="22"/>
          <w:szCs w:val="22"/>
        </w:rPr>
        <w:t xml:space="preserve">Que el artículo 365 de la Constitución Política dispuso que </w:t>
      </w:r>
      <w:r w:rsidRPr="00D50DBC">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D50DBC">
        <w:rPr>
          <w:rFonts w:ascii="Arial" w:eastAsia="Arial" w:hAnsi="Arial" w:cs="Arial"/>
          <w:sz w:val="22"/>
          <w:szCs w:val="22"/>
        </w:rPr>
        <w:t>.</w:t>
      </w:r>
    </w:p>
    <w:p w14:paraId="4E3C6677" w14:textId="77777777" w:rsidR="00A62A67" w:rsidRPr="00D50DBC" w:rsidRDefault="00A62A67" w:rsidP="00AA2140">
      <w:pPr>
        <w:jc w:val="both"/>
        <w:rPr>
          <w:rFonts w:ascii="Arial" w:hAnsi="Arial"/>
          <w:sz w:val="22"/>
        </w:rPr>
      </w:pPr>
    </w:p>
    <w:p w14:paraId="22258A7F" w14:textId="47946AC6" w:rsidR="00A62A67" w:rsidRPr="00D50DBC" w:rsidRDefault="003061F0" w:rsidP="00AA2140">
      <w:pPr>
        <w:pStyle w:val="Normal2"/>
        <w:spacing w:before="240" w:after="200"/>
        <w:jc w:val="both"/>
        <w:rPr>
          <w:rFonts w:ascii="Arial" w:eastAsia="Arial" w:hAnsi="Arial" w:cs="Arial"/>
          <w:sz w:val="22"/>
          <w:szCs w:val="22"/>
        </w:rPr>
      </w:pPr>
      <w:r w:rsidRPr="00D50DBC">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D50DBC">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0D4E3C9A" w14:textId="3395C617" w:rsidR="003061F0" w:rsidRPr="00D50DBC" w:rsidRDefault="00EA3F4C" w:rsidP="00AA2140">
      <w:pPr>
        <w:jc w:val="both"/>
        <w:rPr>
          <w:rFonts w:ascii="Arial" w:eastAsia="Arial" w:hAnsi="Arial" w:cs="Arial"/>
          <w:sz w:val="22"/>
          <w:szCs w:val="22"/>
        </w:rPr>
      </w:pPr>
      <w:r w:rsidRPr="00D50DBC">
        <w:rPr>
          <w:rFonts w:ascii="Arial" w:eastAsia="Arial" w:hAnsi="Arial" w:cs="Arial"/>
          <w:sz w:val="22"/>
          <w:szCs w:val="22"/>
        </w:rPr>
        <w:t>En la misma línea, la Ley 2294 de 2023 “</w:t>
      </w:r>
      <w:r w:rsidRPr="00D50DBC">
        <w:rPr>
          <w:rFonts w:ascii="Arial" w:eastAsia="Arial" w:hAnsi="Arial" w:cs="Arial"/>
          <w:i/>
          <w:iCs/>
          <w:sz w:val="22"/>
          <w:szCs w:val="22"/>
        </w:rPr>
        <w:t>Por la cual se expide el Plan Nacional de Desarrollo 2022 - 2026 “Colombia Potencia Mundial de la Vida”</w:t>
      </w:r>
      <w:r w:rsidRPr="00D50DBC">
        <w:rPr>
          <w:rFonts w:ascii="Arial" w:eastAsia="Arial" w:hAnsi="Arial" w:cs="Arial"/>
          <w:sz w:val="22"/>
          <w:szCs w:val="22"/>
        </w:rPr>
        <w:t xml:space="preserve">, establece en su artículo 79. </w:t>
      </w:r>
      <w:r w:rsidRPr="00D50DBC">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3061F0" w:rsidRPr="00D50DBC">
        <w:rPr>
          <w:rFonts w:ascii="Arial" w:hAnsi="Arial" w:cs="Arial"/>
          <w:sz w:val="22"/>
          <w:szCs w:val="22"/>
        </w:rPr>
        <w:t>.</w:t>
      </w:r>
    </w:p>
    <w:p w14:paraId="3A0703E8" w14:textId="77777777" w:rsidR="00A62A67" w:rsidRPr="00D50DBC" w:rsidRDefault="00A62A67" w:rsidP="00AA2140">
      <w:pPr>
        <w:jc w:val="both"/>
        <w:rPr>
          <w:rFonts w:ascii="Arial" w:hAnsi="Arial"/>
          <w:sz w:val="22"/>
        </w:rPr>
      </w:pPr>
    </w:p>
    <w:p w14:paraId="3A2DB99E" w14:textId="77777777" w:rsidR="00A62A67" w:rsidRPr="00D50DBC" w:rsidRDefault="00382003" w:rsidP="00AA2140">
      <w:pPr>
        <w:jc w:val="both"/>
        <w:rPr>
          <w:rFonts w:ascii="Arial" w:hAnsi="Arial"/>
          <w:sz w:val="22"/>
        </w:rPr>
      </w:pPr>
      <w:r w:rsidRPr="00D50DBC">
        <w:rPr>
          <w:rFonts w:ascii="Arial" w:hAnsi="Arial"/>
          <w:sz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p w14:paraId="3101C95F" w14:textId="77777777" w:rsidR="00A62A67" w:rsidRPr="00D50DBC" w:rsidRDefault="00A62A67" w:rsidP="00AA2140">
      <w:pPr>
        <w:jc w:val="both"/>
        <w:rPr>
          <w:rFonts w:ascii="Arial" w:hAnsi="Arial"/>
          <w:sz w:val="22"/>
        </w:rPr>
      </w:pPr>
    </w:p>
    <w:p w14:paraId="2C972026" w14:textId="77777777" w:rsidR="00A62A67" w:rsidRPr="00D50DBC" w:rsidRDefault="00382003" w:rsidP="00AA2140">
      <w:pPr>
        <w:jc w:val="both"/>
        <w:rPr>
          <w:rFonts w:ascii="Arial" w:hAnsi="Arial"/>
          <w:sz w:val="22"/>
        </w:rPr>
      </w:pPr>
      <w:r w:rsidRPr="00D50DBC">
        <w:rPr>
          <w:rFonts w:ascii="Arial" w:hAnsi="Arial"/>
          <w:sz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79191CC" w14:textId="77777777" w:rsidR="00E96E80" w:rsidRPr="00D50DBC" w:rsidRDefault="00E96E80" w:rsidP="00AA2140">
      <w:pPr>
        <w:jc w:val="both"/>
        <w:rPr>
          <w:rFonts w:ascii="Arial" w:hAnsi="Arial"/>
          <w:sz w:val="22"/>
        </w:rPr>
      </w:pPr>
    </w:p>
    <w:p w14:paraId="45B0B2B9" w14:textId="26C53302" w:rsidR="00E96E80" w:rsidRPr="00D50DBC" w:rsidRDefault="00E96E80" w:rsidP="00AA2140">
      <w:pPr>
        <w:jc w:val="both"/>
        <w:rPr>
          <w:rFonts w:ascii="Arial" w:hAnsi="Arial"/>
          <w:sz w:val="22"/>
        </w:rPr>
      </w:pPr>
      <w:r w:rsidRPr="00D50DBC">
        <w:rPr>
          <w:rFonts w:ascii="Arial" w:hAnsi="Arial" w:cs="Arial"/>
          <w:sz w:val="22"/>
          <w:szCs w:val="22"/>
        </w:rPr>
        <w:lastRenderedPageBreak/>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CB91517" w14:textId="77777777" w:rsidR="00A62A67" w:rsidRPr="00D50DBC" w:rsidRDefault="00A62A67" w:rsidP="00AA2140">
      <w:pPr>
        <w:jc w:val="both"/>
        <w:rPr>
          <w:rFonts w:ascii="Arial" w:hAnsi="Arial"/>
          <w:sz w:val="22"/>
        </w:rPr>
      </w:pPr>
    </w:p>
    <w:p w14:paraId="295F8EAD" w14:textId="77777777" w:rsidR="00E96E80" w:rsidRPr="00D50DBC" w:rsidRDefault="00E96E80" w:rsidP="00AA2140">
      <w:pPr>
        <w:pStyle w:val="Textocomentario"/>
        <w:jc w:val="both"/>
      </w:pPr>
      <w:r w:rsidRPr="00D50DBC">
        <w:rPr>
          <w:rFonts w:ascii="Arial" w:eastAsia="Arial" w:hAnsi="Arial" w:cs="Arial"/>
          <w:sz w:val="22"/>
          <w:szCs w:val="22"/>
        </w:rPr>
        <w:t xml:space="preserve">Que el Decreto Nacional 148 de 2020 </w:t>
      </w:r>
      <w:r w:rsidRPr="00D50DBC">
        <w:rPr>
          <w:rFonts w:ascii="Arial" w:eastAsia="Arial" w:hAnsi="Arial" w:cs="Arial"/>
          <w:i/>
          <w:iCs/>
          <w:sz w:val="22"/>
          <w:szCs w:val="22"/>
        </w:rPr>
        <w:t>“</w:t>
      </w:r>
      <w:r w:rsidRPr="00D50DBC">
        <w:rPr>
          <w:rFonts w:ascii="Arial" w:hAnsi="Arial" w:cs="Arial"/>
          <w:sz w:val="22"/>
          <w:szCs w:val="22"/>
        </w:rPr>
        <w:t>Por el cual se reglamentan parcialmente los artículos 79, 80, 81 Y 82 de la Ley 1955 de 2019 y se modifica parcialmente el Título 2 de la Parte 2 del Libro 2 del Decreto 1170 de 2015</w:t>
      </w:r>
      <w:r w:rsidRPr="00D50DBC">
        <w:rPr>
          <w:rFonts w:ascii="Arial" w:eastAsia="Arial" w:hAnsi="Arial" w:cs="Arial"/>
          <w:sz w:val="22"/>
          <w:szCs w:val="22"/>
        </w:rPr>
        <w:t xml:space="preserve">", en su artículo 2.2.2.2.2. literal c) establece el </w:t>
      </w:r>
      <w:r w:rsidRPr="00D50DBC">
        <w:rPr>
          <w:rFonts w:ascii="Arial" w:eastAsia="Arial" w:hAnsi="Arial" w:cs="Arial"/>
          <w:i/>
          <w:iCs/>
          <w:sz w:val="22"/>
          <w:szCs w:val="22"/>
        </w:rPr>
        <w:t>Proceso de Conservación Catastral</w:t>
      </w:r>
      <w:r w:rsidRPr="00D50DBC">
        <w:rPr>
          <w:rFonts w:ascii="Arial" w:eastAsia="Arial" w:hAnsi="Arial" w:cs="Arial"/>
          <w:sz w:val="22"/>
          <w:szCs w:val="22"/>
        </w:rPr>
        <w:t xml:space="preserve"> como </w:t>
      </w:r>
      <w:r w:rsidRPr="00D50DBC">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5566972A" w14:textId="77B242DA" w:rsidR="00E96E80" w:rsidRPr="00D50DBC" w:rsidRDefault="00E96E80" w:rsidP="00AA2140">
      <w:pPr>
        <w:pStyle w:val="Normal2"/>
        <w:spacing w:before="240" w:after="200"/>
        <w:jc w:val="both"/>
        <w:rPr>
          <w:rFonts w:ascii="Arial" w:eastAsia="Arial" w:hAnsi="Arial" w:cs="Arial"/>
          <w:sz w:val="22"/>
          <w:szCs w:val="22"/>
        </w:rPr>
      </w:pPr>
      <w:r w:rsidRPr="00D50DBC">
        <w:rPr>
          <w:rFonts w:ascii="Arial" w:eastAsia="Arial" w:hAnsi="Arial" w:cs="Arial"/>
          <w:sz w:val="22"/>
          <w:szCs w:val="22"/>
        </w:rPr>
        <w:t>A su vez se consagra en el parágrafo que “</w:t>
      </w:r>
      <w:r w:rsidRPr="00D50DBC">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17F0B19D" w14:textId="77777777" w:rsidR="00794A63" w:rsidRPr="00D50DBC" w:rsidRDefault="00794A63" w:rsidP="00AA2140">
      <w:pPr>
        <w:pStyle w:val="Normal2"/>
        <w:spacing w:before="240" w:after="200"/>
        <w:jc w:val="both"/>
        <w:rPr>
          <w:rFonts w:ascii="Arial" w:eastAsia="Arial" w:hAnsi="Arial" w:cs="Arial"/>
          <w:sz w:val="22"/>
          <w:szCs w:val="22"/>
        </w:rPr>
      </w:pPr>
      <w:r w:rsidRPr="00D50DBC">
        <w:rPr>
          <w:rFonts w:ascii="Arial" w:eastAsia="Arial" w:hAnsi="Arial" w:cs="Arial"/>
          <w:sz w:val="22"/>
          <w:szCs w:val="22"/>
        </w:rPr>
        <w:t>Que así mismo, el artículo 2.2.2.1.1</w:t>
      </w:r>
      <w:r w:rsidRPr="00D50DBC">
        <w:rPr>
          <w:rFonts w:ascii="Arial" w:hAnsi="Arial" w:cs="Arial"/>
          <w:sz w:val="22"/>
          <w:szCs w:val="22"/>
        </w:rPr>
        <w:t xml:space="preserve"> del </w:t>
      </w:r>
      <w:r w:rsidRPr="00D50DBC">
        <w:rPr>
          <w:rFonts w:ascii="Arial" w:eastAsia="Arial" w:hAnsi="Arial" w:cs="Arial"/>
          <w:sz w:val="22"/>
          <w:szCs w:val="22"/>
        </w:rPr>
        <w:t xml:space="preserve">Decreto </w:t>
      </w:r>
      <w:proofErr w:type="spellStart"/>
      <w:r w:rsidRPr="00D50DBC">
        <w:rPr>
          <w:rFonts w:ascii="Arial" w:eastAsia="Arial" w:hAnsi="Arial" w:cs="Arial"/>
          <w:sz w:val="22"/>
          <w:szCs w:val="22"/>
        </w:rPr>
        <w:t>ibidem</w:t>
      </w:r>
      <w:proofErr w:type="spellEnd"/>
      <w:r w:rsidRPr="00D50DBC">
        <w:rPr>
          <w:rFonts w:ascii="Arial" w:eastAsia="Arial" w:hAnsi="Arial" w:cs="Arial"/>
          <w:sz w:val="22"/>
          <w:szCs w:val="22"/>
        </w:rPr>
        <w:t xml:space="preserve">, ha definido como Mutación Catastral </w:t>
      </w:r>
      <w:r w:rsidRPr="00D50DBC">
        <w:rPr>
          <w:rFonts w:ascii="Arial" w:eastAsia="Arial" w:hAnsi="Arial" w:cs="Arial"/>
          <w:i/>
          <w:iCs/>
          <w:sz w:val="22"/>
          <w:szCs w:val="22"/>
        </w:rPr>
        <w:t xml:space="preserve">“los cambios que se presentan en los componentes físico, jurídico o económico de un predio”. </w:t>
      </w:r>
    </w:p>
    <w:p w14:paraId="75DD1116" w14:textId="77777777" w:rsidR="00A62A67" w:rsidRPr="00D50DBC" w:rsidRDefault="00382003" w:rsidP="00AA2140">
      <w:pPr>
        <w:jc w:val="both"/>
        <w:rPr>
          <w:rFonts w:ascii="Arial" w:hAnsi="Arial"/>
          <w:i/>
          <w:sz w:val="22"/>
        </w:rPr>
      </w:pPr>
      <w:r w:rsidRPr="00D50DBC">
        <w:rPr>
          <w:rFonts w:ascii="Arial" w:hAnsi="Arial"/>
          <w:sz w:val="22"/>
        </w:rPr>
        <w:t xml:space="preserve">Que la información catastral comprende las características físicas, jurídicas y económicas de los bienes inmuebles, por lo tanto, al tenor del artículo 2.2.2.2.1 del Decreto 148 de 2020 en su literal c) </w:t>
      </w:r>
      <w:r w:rsidRPr="00D50DBC">
        <w:rPr>
          <w:rFonts w:ascii="Arial" w:hAnsi="Arial"/>
          <w:i/>
          <w:sz w:val="22"/>
        </w:rPr>
        <w:t>la información económica corresponde al valor o avalúo catastral del inmueble.</w:t>
      </w:r>
      <w:r w:rsidRPr="00D50DBC">
        <w:rPr>
          <w:i/>
        </w:rPr>
        <w:t xml:space="preserve"> </w:t>
      </w:r>
      <w:r w:rsidRPr="00D50DBC">
        <w:rPr>
          <w:rFonts w:ascii="Arial" w:hAnsi="Arial"/>
          <w:i/>
          <w:sz w:val="22"/>
        </w:rPr>
        <w:t>El avalúo catastral deberá guardar relación con los valores de mercado.</w:t>
      </w:r>
    </w:p>
    <w:p w14:paraId="3CE5736D" w14:textId="77777777" w:rsidR="00A62A67" w:rsidRPr="00D50DBC" w:rsidRDefault="00A62A67" w:rsidP="00AA2140">
      <w:pPr>
        <w:jc w:val="both"/>
        <w:rPr>
          <w:rFonts w:ascii="Arial" w:hAnsi="Arial"/>
          <w:sz w:val="22"/>
        </w:rPr>
      </w:pPr>
    </w:p>
    <w:p w14:paraId="4989EEF2" w14:textId="77777777" w:rsidR="00A62A67" w:rsidRPr="00D50DBC" w:rsidRDefault="00382003" w:rsidP="00AA2140">
      <w:pPr>
        <w:jc w:val="both"/>
        <w:rPr>
          <w:rFonts w:ascii="Arial" w:hAnsi="Arial"/>
          <w:sz w:val="22"/>
        </w:rPr>
      </w:pPr>
      <w:r w:rsidRPr="00D50DBC">
        <w:rPr>
          <w:rFonts w:ascii="Arial" w:hAnsi="Arial"/>
          <w:sz w:val="22"/>
        </w:rPr>
        <w:t xml:space="preserve">Que conforme a la identificación de las características económicas de los predios objeto del proceso de actualización catastral de la zona urbana del municipio, se realizó el estudio de zonas homogéneas físicas y zonas homogéneas geoeconómicas, metodología por medio de la cual se determinan los valores unitarios por tipo de construcción como método de valoración masiva a partir de la investigación y el análisis estadístico del mercado inmobiliario. </w:t>
      </w:r>
    </w:p>
    <w:p w14:paraId="4BA0854B" w14:textId="77777777" w:rsidR="00A62A67" w:rsidRPr="00D50DBC" w:rsidRDefault="00A62A67" w:rsidP="00AA2140">
      <w:pPr>
        <w:jc w:val="both"/>
        <w:rPr>
          <w:rFonts w:ascii="Arial" w:hAnsi="Arial"/>
          <w:sz w:val="22"/>
        </w:rPr>
      </w:pPr>
    </w:p>
    <w:p w14:paraId="68265DBE" w14:textId="77777777" w:rsidR="00A62A67" w:rsidRPr="00D50DBC" w:rsidRDefault="00382003" w:rsidP="00AA2140">
      <w:pPr>
        <w:jc w:val="both"/>
        <w:rPr>
          <w:rFonts w:ascii="Arial" w:hAnsi="Arial"/>
          <w:sz w:val="22"/>
        </w:rPr>
      </w:pPr>
      <w:r w:rsidRPr="00D50DBC">
        <w:rPr>
          <w:rFonts w:ascii="Arial" w:hAnsi="Arial"/>
          <w:sz w:val="22"/>
        </w:rPr>
        <w:t>En ese sentido, las zonas homogéneas físicas, para la zona urbana, son espacios geográficos de una región de la vivienda, reglamentación municipal del uso del suelo, u otras variables que permitan diferenciar estas áreas de las adyacentes. Y</w:t>
      </w:r>
      <w:r w:rsidRPr="00D50DBC">
        <w:t xml:space="preserve"> </w:t>
      </w:r>
      <w:r w:rsidRPr="00D50DBC">
        <w:rPr>
          <w:rFonts w:ascii="Arial" w:hAnsi="Arial"/>
          <w:sz w:val="22"/>
        </w:rPr>
        <w:t xml:space="preserve">partir del diseño de las zonas homogéneas físicas se realiza la investigación del mercado inmobiliario local y se determina las zonas homogéneas geoeconómicas, entendidas éstas como los espacios geográficos de una región con características similares en cuanto a su precio. </w:t>
      </w:r>
    </w:p>
    <w:p w14:paraId="22E73783" w14:textId="77777777" w:rsidR="00A62A67" w:rsidRPr="00D50DBC" w:rsidRDefault="00A62A67" w:rsidP="00AA2140">
      <w:pPr>
        <w:jc w:val="both"/>
        <w:rPr>
          <w:rFonts w:ascii="Arial" w:hAnsi="Arial"/>
          <w:sz w:val="22"/>
        </w:rPr>
      </w:pPr>
    </w:p>
    <w:p w14:paraId="1B496F3D" w14:textId="77777777" w:rsidR="00A62A67" w:rsidRPr="00D50DBC" w:rsidRDefault="00382003" w:rsidP="00AA2140">
      <w:pPr>
        <w:jc w:val="both"/>
        <w:rPr>
          <w:rFonts w:ascii="Arial" w:hAnsi="Arial"/>
          <w:sz w:val="22"/>
        </w:rPr>
      </w:pPr>
      <w:r w:rsidRPr="00D50DBC">
        <w:rPr>
          <w:rFonts w:ascii="Arial" w:hAnsi="Arial"/>
          <w:sz w:val="22"/>
        </w:rPr>
        <w:t>Para el efecto, se investiga por zona homogénea física, el valor comercial del terreno, conforme a lo dispuesto por el artículo 2 del Decreto 1420 de 1998, en donde se entiende éste como “</w:t>
      </w:r>
      <w:r w:rsidRPr="00D50DBC">
        <w:rPr>
          <w:rFonts w:ascii="Arial" w:hAnsi="Arial"/>
          <w:i/>
          <w:sz w:val="22"/>
        </w:rPr>
        <w:t>el precio más probable por el cual se transaría en un mercado donde el comprador y el vendedor actúan libremente con el pleno conocimiento de las condiciones físicas y jurídicas que afectan el bien</w:t>
      </w:r>
      <w:r w:rsidRPr="00D50DBC">
        <w:rPr>
          <w:rFonts w:ascii="Arial" w:hAnsi="Arial"/>
          <w:sz w:val="22"/>
        </w:rPr>
        <w:t>”.</w:t>
      </w:r>
    </w:p>
    <w:p w14:paraId="515435DF" w14:textId="77777777" w:rsidR="00794A63" w:rsidRPr="00D50DBC" w:rsidRDefault="00794A63" w:rsidP="00AA2140">
      <w:pPr>
        <w:pStyle w:val="Normal2"/>
        <w:pBdr>
          <w:top w:val="nil"/>
          <w:left w:val="nil"/>
          <w:bottom w:val="nil"/>
          <w:right w:val="nil"/>
        </w:pBdr>
        <w:jc w:val="both"/>
        <w:rPr>
          <w:rFonts w:ascii="Arial" w:hAnsi="Arial"/>
          <w:sz w:val="22"/>
          <w:szCs w:val="22"/>
        </w:rPr>
      </w:pPr>
    </w:p>
    <w:p w14:paraId="4E665CF3" w14:textId="73AB73B3" w:rsidR="00A62A67" w:rsidRPr="00D50DBC" w:rsidRDefault="00382003" w:rsidP="00AA2140">
      <w:pPr>
        <w:pStyle w:val="Normal2"/>
        <w:pBdr>
          <w:top w:val="nil"/>
          <w:left w:val="nil"/>
          <w:bottom w:val="nil"/>
          <w:right w:val="nil"/>
        </w:pBdr>
        <w:jc w:val="both"/>
        <w:rPr>
          <w:rFonts w:ascii="Arial" w:hAnsi="Arial"/>
          <w:sz w:val="22"/>
        </w:rPr>
      </w:pPr>
      <w:proofErr w:type="gramStart"/>
      <w:r w:rsidRPr="00D50DBC">
        <w:rPr>
          <w:rFonts w:ascii="Arial" w:hAnsi="Arial"/>
          <w:sz w:val="22"/>
        </w:rPr>
        <w:t>Que</w:t>
      </w:r>
      <w:proofErr w:type="gramEnd"/>
      <w:r w:rsidRPr="00D50DBC">
        <w:rPr>
          <w:rFonts w:ascii="Arial" w:hAnsi="Arial"/>
          <w:sz w:val="22"/>
        </w:rPr>
        <w:t xml:space="preserve"> ante el Gestor Catastral Multipropósito del Municipio de Fusagasugá, el señor </w:t>
      </w:r>
      <w:r w:rsidR="006A49B3" w:rsidRPr="00D50DBC">
        <w:rPr>
          <w:rFonts w:ascii="Arial" w:eastAsia="Arial" w:hAnsi="Arial" w:cs="Arial"/>
          <w:sz w:val="22"/>
          <w:szCs w:val="22"/>
        </w:rPr>
        <w:t>${</w:t>
      </w:r>
      <w:proofErr w:type="spellStart"/>
      <w:r w:rsidR="006A49B3" w:rsidRPr="00D50DBC">
        <w:rPr>
          <w:rFonts w:ascii="Arial" w:eastAsia="Arial" w:hAnsi="Arial" w:cs="Arial"/>
          <w:sz w:val="22"/>
          <w:szCs w:val="22"/>
        </w:rPr>
        <w:t>nombre_gestor</w:t>
      </w:r>
      <w:proofErr w:type="spellEnd"/>
      <w:r w:rsidR="006A49B3" w:rsidRPr="00D50DBC">
        <w:rPr>
          <w:rFonts w:ascii="Arial" w:eastAsia="Arial" w:hAnsi="Arial" w:cs="Arial"/>
          <w:sz w:val="22"/>
          <w:szCs w:val="22"/>
        </w:rPr>
        <w:t>}</w:t>
      </w:r>
      <w:r w:rsidRPr="00D50DBC">
        <w:rPr>
          <w:rFonts w:ascii="Arial" w:hAnsi="Arial"/>
          <w:sz w:val="22"/>
        </w:rPr>
        <w:t xml:space="preserve">, solicitó con radicado </w:t>
      </w:r>
      <w:r w:rsidR="006A49B3" w:rsidRPr="00D50DBC">
        <w:rPr>
          <w:rFonts w:ascii="Arial" w:hAnsi="Arial"/>
          <w:sz w:val="22"/>
        </w:rPr>
        <w:t>${</w:t>
      </w:r>
      <w:proofErr w:type="spellStart"/>
      <w:r w:rsidR="006A49B3" w:rsidRPr="00D50DBC">
        <w:rPr>
          <w:rFonts w:ascii="Arial" w:hAnsi="Arial"/>
          <w:sz w:val="22"/>
        </w:rPr>
        <w:t>no_radicado</w:t>
      </w:r>
      <w:proofErr w:type="spellEnd"/>
      <w:r w:rsidR="006A49B3" w:rsidRPr="00D50DBC">
        <w:rPr>
          <w:rFonts w:ascii="Arial" w:hAnsi="Arial"/>
          <w:sz w:val="22"/>
        </w:rPr>
        <w:t>}, asociado al ${</w:t>
      </w:r>
      <w:proofErr w:type="spellStart"/>
      <w:r w:rsidR="006A49B3" w:rsidRPr="00D50DBC">
        <w:rPr>
          <w:rFonts w:ascii="Arial" w:hAnsi="Arial"/>
          <w:sz w:val="22"/>
        </w:rPr>
        <w:t>asociado_id</w:t>
      </w:r>
      <w:proofErr w:type="spellEnd"/>
      <w:r w:rsidR="006A49B3" w:rsidRPr="00D50DBC">
        <w:rPr>
          <w:rFonts w:ascii="Arial" w:hAnsi="Arial"/>
          <w:sz w:val="22"/>
        </w:rPr>
        <w:t>}</w:t>
      </w:r>
      <w:r w:rsidRPr="00D50DBC">
        <w:rPr>
          <w:rFonts w:ascii="Arial" w:hAnsi="Arial"/>
          <w:sz w:val="22"/>
        </w:rPr>
        <w:t xml:space="preserve">, </w:t>
      </w:r>
      <w:r w:rsidRPr="00D50DBC">
        <w:rPr>
          <w:rFonts w:ascii="Arial" w:hAnsi="Arial"/>
          <w:i/>
          <w:sz w:val="22"/>
        </w:rPr>
        <w:t xml:space="preserve">EL </w:t>
      </w:r>
      <w:r w:rsidRPr="00D50DBC">
        <w:rPr>
          <w:rFonts w:ascii="Arial" w:hAnsi="Arial"/>
          <w:i/>
          <w:sz w:val="22"/>
        </w:rPr>
        <w:lastRenderedPageBreak/>
        <w:t xml:space="preserve">DESENGLOBE </w:t>
      </w:r>
      <w:r w:rsidRPr="00D50DBC">
        <w:rPr>
          <w:rFonts w:ascii="Arial" w:hAnsi="Arial"/>
          <w:sz w:val="22"/>
        </w:rPr>
        <w:t xml:space="preserve">del predio identificado con el número predial nacional </w:t>
      </w:r>
      <w:r w:rsidR="006A49B3" w:rsidRPr="00D50DBC">
        <w:rPr>
          <w:rFonts w:ascii="Arial" w:hAnsi="Arial"/>
          <w:sz w:val="22"/>
        </w:rPr>
        <w:t>${</w:t>
      </w:r>
      <w:proofErr w:type="spellStart"/>
      <w:r w:rsidR="006A49B3" w:rsidRPr="00D50DBC">
        <w:rPr>
          <w:rFonts w:ascii="Arial" w:hAnsi="Arial"/>
          <w:sz w:val="22"/>
        </w:rPr>
        <w:t>numero_predial</w:t>
      </w:r>
      <w:proofErr w:type="spellEnd"/>
      <w:r w:rsidR="006A49B3" w:rsidRPr="00D50DBC">
        <w:rPr>
          <w:rFonts w:ascii="Arial" w:hAnsi="Arial"/>
          <w:sz w:val="22"/>
        </w:rPr>
        <w:t>}</w:t>
      </w:r>
      <w:r w:rsidRPr="00D50DBC">
        <w:rPr>
          <w:rFonts w:ascii="Arial" w:hAnsi="Arial"/>
          <w:sz w:val="22"/>
        </w:rPr>
        <w:t xml:space="preserve"> y folio de matrícula inmobiliaria </w:t>
      </w:r>
      <w:r w:rsidR="006A49B3" w:rsidRPr="00D50DBC">
        <w:rPr>
          <w:rFonts w:ascii="Arial" w:hAnsi="Arial"/>
          <w:sz w:val="22"/>
        </w:rPr>
        <w:t>${</w:t>
      </w:r>
      <w:proofErr w:type="spellStart"/>
      <w:r w:rsidR="006A49B3" w:rsidRPr="00D50DBC">
        <w:rPr>
          <w:rFonts w:ascii="Arial" w:hAnsi="Arial"/>
          <w:sz w:val="22"/>
        </w:rPr>
        <w:t>matricula_inmobiliaria</w:t>
      </w:r>
      <w:proofErr w:type="spellEnd"/>
      <w:r w:rsidR="006A49B3" w:rsidRPr="00D50DBC">
        <w:rPr>
          <w:rFonts w:ascii="Arial" w:hAnsi="Arial"/>
          <w:sz w:val="22"/>
        </w:rPr>
        <w:t>}</w:t>
      </w:r>
      <w:r w:rsidRPr="00D50DBC">
        <w:rPr>
          <w:rFonts w:ascii="Arial" w:hAnsi="Arial"/>
          <w:sz w:val="22"/>
        </w:rPr>
        <w:t xml:space="preserve">, ubicado en la zona urbana del municipio de Fusagasugá, que corresponde a una </w:t>
      </w:r>
      <w:r w:rsidRPr="00D50DBC">
        <w:rPr>
          <w:rFonts w:ascii="Arial" w:hAnsi="Arial"/>
          <w:i/>
          <w:sz w:val="22"/>
        </w:rPr>
        <w:t xml:space="preserve">mutación de segunda, </w:t>
      </w:r>
      <w:r w:rsidRPr="00D50DBC">
        <w:rPr>
          <w:rFonts w:ascii="Arial" w:hAnsi="Arial"/>
          <w:sz w:val="22"/>
        </w:rPr>
        <w:t xml:space="preserve">reglamentada por el artículo 15 literal b) de la Resolución 1149 de 2021. </w:t>
      </w:r>
    </w:p>
    <w:p w14:paraId="4808B3B6" w14:textId="77777777" w:rsidR="00A62A67" w:rsidRPr="00D50DBC" w:rsidRDefault="00A62A67" w:rsidP="00AA2140">
      <w:pPr>
        <w:pStyle w:val="Normal2"/>
        <w:pBdr>
          <w:top w:val="nil"/>
          <w:left w:val="nil"/>
          <w:bottom w:val="nil"/>
          <w:right w:val="nil"/>
        </w:pBdr>
        <w:jc w:val="both"/>
        <w:rPr>
          <w:rFonts w:ascii="Arial" w:hAnsi="Arial"/>
          <w:sz w:val="22"/>
        </w:rPr>
      </w:pPr>
    </w:p>
    <w:p w14:paraId="10E33A5E" w14:textId="6AA0A53C" w:rsidR="00A62A67" w:rsidRPr="00D50DBC" w:rsidRDefault="00382003" w:rsidP="00AA2140">
      <w:pPr>
        <w:pStyle w:val="Normal2"/>
        <w:pBdr>
          <w:top w:val="nil"/>
          <w:left w:val="nil"/>
          <w:bottom w:val="nil"/>
          <w:right w:val="nil"/>
        </w:pBdr>
        <w:jc w:val="both"/>
        <w:rPr>
          <w:rFonts w:ascii="Arial" w:hAnsi="Arial"/>
          <w:sz w:val="22"/>
          <w:szCs w:val="22"/>
        </w:rPr>
      </w:pPr>
      <w:proofErr w:type="gramStart"/>
      <w:r w:rsidRPr="00D50DBC">
        <w:rPr>
          <w:rFonts w:ascii="Arial" w:hAnsi="Arial"/>
          <w:sz w:val="22"/>
          <w:szCs w:val="22"/>
        </w:rPr>
        <w:t>Que</w:t>
      </w:r>
      <w:proofErr w:type="gramEnd"/>
      <w:r w:rsidRPr="00D50DBC">
        <w:rPr>
          <w:rFonts w:ascii="Arial" w:hAnsi="Arial"/>
          <w:sz w:val="22"/>
          <w:szCs w:val="22"/>
        </w:rPr>
        <w:t xml:space="preserve"> en el marco del trámite de la MUTACIÓN DE SEGUNDA requerida, se realizó la verificación de la información catastral del predio, encontrando que el componente económico de este estaba determinado por valores </w:t>
      </w:r>
      <w:r w:rsidR="00BC6395" w:rsidRPr="00D50DBC">
        <w:rPr>
          <w:rFonts w:ascii="Arial" w:hAnsi="Arial"/>
          <w:sz w:val="22"/>
          <w:szCs w:val="22"/>
        </w:rPr>
        <w:t xml:space="preserve">diferentes a los </w:t>
      </w:r>
      <w:r w:rsidRPr="00D50DBC">
        <w:rPr>
          <w:rFonts w:ascii="Arial" w:hAnsi="Arial"/>
          <w:sz w:val="22"/>
          <w:szCs w:val="22"/>
        </w:rPr>
        <w:t xml:space="preserve">establecidos mediante </w:t>
      </w:r>
      <w:r w:rsidR="00BC6395" w:rsidRPr="00D50DBC">
        <w:rPr>
          <w:rFonts w:ascii="Arial" w:hAnsi="Arial"/>
          <w:sz w:val="22"/>
          <w:szCs w:val="22"/>
        </w:rPr>
        <w:t>el proceso de actualización catastral</w:t>
      </w:r>
      <w:r w:rsidRPr="00D50DBC">
        <w:rPr>
          <w:rFonts w:ascii="Arial" w:hAnsi="Arial"/>
          <w:sz w:val="22"/>
          <w:szCs w:val="22"/>
        </w:rPr>
        <w:t>.</w:t>
      </w:r>
    </w:p>
    <w:p w14:paraId="7842D52D" w14:textId="77777777" w:rsidR="00A62A67" w:rsidRPr="00D50DBC" w:rsidRDefault="00A62A67" w:rsidP="00AA2140">
      <w:pPr>
        <w:pStyle w:val="Normal2"/>
        <w:pBdr>
          <w:top w:val="nil"/>
          <w:left w:val="nil"/>
          <w:bottom w:val="nil"/>
          <w:right w:val="nil"/>
        </w:pBdr>
        <w:jc w:val="both"/>
        <w:rPr>
          <w:rFonts w:ascii="Arial" w:hAnsi="Arial"/>
          <w:sz w:val="22"/>
        </w:rPr>
      </w:pPr>
    </w:p>
    <w:p w14:paraId="544D9449" w14:textId="250F51AE" w:rsidR="00A62A67" w:rsidRPr="00D50DBC" w:rsidRDefault="00382003" w:rsidP="047ABBFC">
      <w:pPr>
        <w:pStyle w:val="Normal2"/>
        <w:pBdr>
          <w:top w:val="nil"/>
          <w:left w:val="nil"/>
          <w:bottom w:val="nil"/>
          <w:right w:val="nil"/>
        </w:pBdr>
        <w:jc w:val="both"/>
        <w:rPr>
          <w:rFonts w:ascii="Arial" w:hAnsi="Arial"/>
          <w:sz w:val="22"/>
          <w:szCs w:val="22"/>
        </w:rPr>
      </w:pPr>
      <w:r w:rsidRPr="00D50DBC">
        <w:rPr>
          <w:rFonts w:ascii="Arial" w:hAnsi="Arial"/>
          <w:sz w:val="22"/>
          <w:szCs w:val="22"/>
        </w:rPr>
        <w:t xml:space="preserve">En </w:t>
      </w:r>
      <w:r w:rsidR="00494B40" w:rsidRPr="00D50DBC">
        <w:rPr>
          <w:rFonts w:ascii="Arial" w:hAnsi="Arial"/>
          <w:sz w:val="22"/>
          <w:szCs w:val="22"/>
        </w:rPr>
        <w:t>tal</w:t>
      </w:r>
      <w:r w:rsidRPr="00D50DBC">
        <w:rPr>
          <w:rFonts w:ascii="Arial" w:hAnsi="Arial"/>
          <w:sz w:val="22"/>
          <w:szCs w:val="22"/>
        </w:rPr>
        <w:t xml:space="preserve"> sentido, el Gestor Catastral debe aplicar los valores establecidos en el estudio económico realizado en el marco del proceso de actualización catastral, que debe responder al mercado inmobiliario propio de la zona homogénea geoeconómica. Así las cosas, en virtud de las disposiciones normativas expuestas se hace necesario realizar de oficio la </w:t>
      </w:r>
      <w:r w:rsidRPr="00D50DBC">
        <w:rPr>
          <w:rFonts w:ascii="Arial" w:hAnsi="Arial"/>
          <w:i/>
          <w:iCs/>
          <w:sz w:val="22"/>
          <w:szCs w:val="22"/>
        </w:rPr>
        <w:t>REVISIÓN DEL AVALÚO</w:t>
      </w:r>
      <w:r w:rsidRPr="00D50DBC">
        <w:rPr>
          <w:rFonts w:ascii="Arial" w:hAnsi="Arial"/>
          <w:sz w:val="22"/>
          <w:szCs w:val="22"/>
        </w:rPr>
        <w:t xml:space="preserve"> previamente a surtir </w:t>
      </w:r>
      <w:r w:rsidRPr="00D50DBC">
        <w:rPr>
          <w:rFonts w:ascii="Arial" w:hAnsi="Arial"/>
          <w:i/>
          <w:iCs/>
          <w:sz w:val="22"/>
          <w:szCs w:val="22"/>
        </w:rPr>
        <w:t xml:space="preserve">EL DESENGLOBE, </w:t>
      </w:r>
      <w:r w:rsidRPr="00D50DBC">
        <w:rPr>
          <w:rFonts w:ascii="Arial" w:hAnsi="Arial"/>
          <w:sz w:val="22"/>
          <w:szCs w:val="22"/>
        </w:rPr>
        <w:t>con el objeto de establecer los valores de las zonas homogéneas geoeconómicas con los que se liquidará</w:t>
      </w:r>
      <w:r w:rsidR="0EFC38D8" w:rsidRPr="00D50DBC">
        <w:rPr>
          <w:rFonts w:ascii="Arial" w:hAnsi="Arial"/>
          <w:sz w:val="22"/>
          <w:szCs w:val="22"/>
        </w:rPr>
        <w:t xml:space="preserve"> el predio</w:t>
      </w:r>
      <w:r w:rsidRPr="00D50DBC">
        <w:rPr>
          <w:rFonts w:ascii="Arial" w:hAnsi="Arial"/>
          <w:sz w:val="22"/>
          <w:szCs w:val="22"/>
        </w:rPr>
        <w:t xml:space="preserve">. </w:t>
      </w:r>
    </w:p>
    <w:p w14:paraId="3F3EA297" w14:textId="77777777" w:rsidR="00A62A67" w:rsidRPr="00D50DBC" w:rsidRDefault="00A62A67" w:rsidP="00AA2140">
      <w:pPr>
        <w:pStyle w:val="Normal2"/>
        <w:pBdr>
          <w:top w:val="nil"/>
          <w:left w:val="nil"/>
          <w:bottom w:val="nil"/>
          <w:right w:val="nil"/>
        </w:pBdr>
        <w:jc w:val="both"/>
        <w:rPr>
          <w:rFonts w:ascii="Arial" w:hAnsi="Arial"/>
          <w:sz w:val="22"/>
        </w:rPr>
      </w:pPr>
    </w:p>
    <w:p w14:paraId="74FF3D18" w14:textId="04BBFBB6" w:rsidR="00382003" w:rsidRPr="00D50DBC" w:rsidRDefault="00382003" w:rsidP="047ABBFC">
      <w:pPr>
        <w:spacing w:line="276" w:lineRule="auto"/>
        <w:jc w:val="both"/>
        <w:rPr>
          <w:rFonts w:ascii="Arial" w:eastAsia="Arial" w:hAnsi="Arial" w:cs="Arial"/>
          <w:sz w:val="22"/>
          <w:szCs w:val="22"/>
        </w:rPr>
      </w:pPr>
      <w:r w:rsidRPr="00D50DBC">
        <w:rPr>
          <w:rFonts w:ascii="Arial" w:hAnsi="Arial"/>
          <w:sz w:val="22"/>
          <w:szCs w:val="22"/>
        </w:rPr>
        <w:t xml:space="preserve">Que de acuerdo a la información del componente económico verificada en la base de datos alfanumérica, geográfica, al </w:t>
      </w:r>
      <w:r w:rsidRPr="00D50DBC">
        <w:rPr>
          <w:rFonts w:ascii="Arial" w:hAnsi="Arial"/>
          <w:i/>
          <w:iCs/>
          <w:sz w:val="22"/>
          <w:szCs w:val="22"/>
        </w:rPr>
        <w:t xml:space="preserve">Estudio de ZHF y ZHG y sus anexos, al concepto de norma de uso del suelo </w:t>
      </w:r>
      <w:r w:rsidRPr="00D50DBC">
        <w:rPr>
          <w:rFonts w:ascii="Arial" w:hAnsi="Arial"/>
          <w:sz w:val="22"/>
          <w:szCs w:val="22"/>
        </w:rPr>
        <w:t>contempladas en el Plan de Ordenamiento Territorial vigente, es decir, el Acuerdo Municipal 029 de 2001,</w:t>
      </w:r>
      <w:r w:rsidRPr="00D50DBC">
        <w:rPr>
          <w:rFonts w:ascii="Arial" w:hAnsi="Arial"/>
          <w:i/>
          <w:iCs/>
          <w:sz w:val="22"/>
          <w:szCs w:val="22"/>
        </w:rPr>
        <w:t xml:space="preserve"> </w:t>
      </w:r>
      <w:r w:rsidRPr="00D50DBC">
        <w:rPr>
          <w:rFonts w:ascii="Arial" w:hAnsi="Arial"/>
          <w:sz w:val="22"/>
          <w:szCs w:val="22"/>
        </w:rPr>
        <w:t xml:space="preserve">se logra determinar que el predio identificado con Folio de matrícula Inmobiliaria </w:t>
      </w:r>
      <w:r w:rsidR="006A49B3" w:rsidRPr="00D50DBC">
        <w:rPr>
          <w:rFonts w:ascii="Arial" w:hAnsi="Arial" w:cs="Arial"/>
          <w:sz w:val="22"/>
          <w:szCs w:val="22"/>
        </w:rPr>
        <w:t>${</w:t>
      </w:r>
      <w:proofErr w:type="spellStart"/>
      <w:r w:rsidR="006A49B3" w:rsidRPr="00D50DBC">
        <w:rPr>
          <w:rFonts w:ascii="Arial" w:hAnsi="Arial" w:cs="Arial"/>
          <w:sz w:val="22"/>
          <w:szCs w:val="22"/>
        </w:rPr>
        <w:t>matricula_inmobiliaria</w:t>
      </w:r>
      <w:proofErr w:type="spellEnd"/>
      <w:r w:rsidR="006A49B3" w:rsidRPr="00D50DBC">
        <w:rPr>
          <w:rFonts w:ascii="Arial" w:hAnsi="Arial" w:cs="Arial"/>
          <w:sz w:val="22"/>
          <w:szCs w:val="22"/>
        </w:rPr>
        <w:t xml:space="preserve">} </w:t>
      </w:r>
      <w:r w:rsidRPr="00D50DBC">
        <w:rPr>
          <w:rFonts w:ascii="Arial" w:hAnsi="Arial"/>
          <w:sz w:val="22"/>
          <w:szCs w:val="22"/>
        </w:rPr>
        <w:t xml:space="preserve">y número predial nacional </w:t>
      </w:r>
      <w:r w:rsidR="006A49B3" w:rsidRPr="00D50DBC">
        <w:rPr>
          <w:rFonts w:ascii="Arial" w:hAnsi="Arial"/>
          <w:sz w:val="22"/>
          <w:szCs w:val="22"/>
        </w:rPr>
        <w:t>${</w:t>
      </w:r>
      <w:proofErr w:type="spellStart"/>
      <w:r w:rsidR="006A49B3" w:rsidRPr="00D50DBC">
        <w:rPr>
          <w:rFonts w:ascii="Arial" w:hAnsi="Arial"/>
          <w:sz w:val="22"/>
          <w:szCs w:val="22"/>
        </w:rPr>
        <w:t>numero_predial</w:t>
      </w:r>
      <w:proofErr w:type="spellEnd"/>
      <w:r w:rsidR="006A49B3" w:rsidRPr="00D50DBC">
        <w:rPr>
          <w:rFonts w:ascii="Arial" w:hAnsi="Arial"/>
          <w:sz w:val="22"/>
          <w:szCs w:val="22"/>
        </w:rPr>
        <w:t>}</w:t>
      </w:r>
      <w:r w:rsidRPr="00D50DBC">
        <w:rPr>
          <w:rFonts w:ascii="Arial" w:hAnsi="Arial"/>
          <w:sz w:val="22"/>
          <w:szCs w:val="22"/>
        </w:rPr>
        <w:t>, ubicado en la zona urbana del municipio de Fusagasugá,</w:t>
      </w:r>
      <w:r w:rsidR="000167D0" w:rsidRPr="00D50DBC">
        <w:rPr>
          <w:rFonts w:ascii="Arial" w:hAnsi="Arial"/>
          <w:sz w:val="22"/>
          <w:szCs w:val="22"/>
        </w:rPr>
        <w:t xml:space="preserve"> ${</w:t>
      </w:r>
      <w:proofErr w:type="spellStart"/>
      <w:r w:rsidR="000167D0" w:rsidRPr="00D50DBC">
        <w:rPr>
          <w:rFonts w:ascii="Arial" w:hAnsi="Arial"/>
          <w:sz w:val="22"/>
          <w:szCs w:val="22"/>
        </w:rPr>
        <w:t>se_grabo_base_datos</w:t>
      </w:r>
      <w:proofErr w:type="spellEnd"/>
      <w:r w:rsidR="000167D0" w:rsidRPr="00D50DBC">
        <w:rPr>
          <w:rFonts w:ascii="Arial" w:hAnsi="Arial"/>
          <w:sz w:val="22"/>
          <w:szCs w:val="22"/>
        </w:rPr>
        <w:t>}</w:t>
      </w:r>
      <w:r w:rsidRPr="00D50DBC">
        <w:rPr>
          <w:rFonts w:ascii="Arial" w:hAnsi="Arial"/>
          <w:sz w:val="22"/>
          <w:szCs w:val="22"/>
        </w:rPr>
        <w:t xml:space="preserve"> </w:t>
      </w:r>
    </w:p>
    <w:p w14:paraId="1ED52CB8" w14:textId="41D633C5" w:rsidR="00A62A67" w:rsidRPr="00D50DBC" w:rsidRDefault="00382003" w:rsidP="00AA2140">
      <w:pPr>
        <w:pStyle w:val="Normal2"/>
        <w:spacing w:before="240" w:after="200"/>
        <w:jc w:val="both"/>
        <w:rPr>
          <w:rFonts w:ascii="Arial" w:hAnsi="Arial"/>
          <w:sz w:val="22"/>
        </w:rPr>
      </w:pPr>
      <w:r w:rsidRPr="00D50DBC">
        <w:rPr>
          <w:rFonts w:ascii="Arial" w:hAnsi="Arial"/>
          <w:sz w:val="22"/>
        </w:rPr>
        <w:t xml:space="preserve">Que el cambio que se presenta en el componente económico del predio identificado con número predial nacional </w:t>
      </w:r>
      <w:r w:rsidR="000167D0" w:rsidRPr="00D50DBC">
        <w:rPr>
          <w:rFonts w:ascii="Arial" w:hAnsi="Arial"/>
          <w:sz w:val="22"/>
        </w:rPr>
        <w:t>${</w:t>
      </w:r>
      <w:proofErr w:type="spellStart"/>
      <w:r w:rsidR="000167D0" w:rsidRPr="00D50DBC">
        <w:rPr>
          <w:rFonts w:ascii="Arial" w:hAnsi="Arial"/>
          <w:sz w:val="22"/>
        </w:rPr>
        <w:t>numero_predial</w:t>
      </w:r>
      <w:proofErr w:type="spellEnd"/>
      <w:r w:rsidR="000167D0" w:rsidRPr="00D50DBC">
        <w:rPr>
          <w:rFonts w:ascii="Arial" w:hAnsi="Arial"/>
          <w:sz w:val="22"/>
        </w:rPr>
        <w:t>}</w:t>
      </w:r>
      <w:r w:rsidRPr="00D50DBC">
        <w:rPr>
          <w:rFonts w:ascii="Arial" w:hAnsi="Arial"/>
          <w:sz w:val="22"/>
        </w:rPr>
        <w:t xml:space="preserve"> implica una mutación de cuarta denominada </w:t>
      </w:r>
      <w:r w:rsidRPr="00D50DBC">
        <w:rPr>
          <w:rFonts w:ascii="Arial" w:hAnsi="Arial"/>
          <w:i/>
          <w:sz w:val="22"/>
        </w:rPr>
        <w:t>REVISIÓN DE AVALÚO</w:t>
      </w:r>
      <w:r w:rsidRPr="00D50DBC">
        <w:rPr>
          <w:rFonts w:ascii="Arial" w:hAnsi="Arial"/>
          <w:sz w:val="22"/>
        </w:rPr>
        <w:t xml:space="preserve">, contemplada en los artículos 15 literal d) ,33, 34 y 35 de la Resolución 1149 de 2021 </w:t>
      </w:r>
      <w:r w:rsidRPr="00D50DBC">
        <w:rPr>
          <w:rFonts w:ascii="Arial" w:hAnsi="Arial"/>
          <w:i/>
          <w:sz w:val="22"/>
        </w:rPr>
        <w:t xml:space="preserve">“Por la cual se actualiza la reglamentación técnica de la formación, actualización, conservación y difusión catastral con enfoque multipropósito”. </w:t>
      </w:r>
    </w:p>
    <w:p w14:paraId="02030D48" w14:textId="77777777" w:rsidR="00735C30" w:rsidRPr="00D50DBC" w:rsidRDefault="00735C30" w:rsidP="00AA2140">
      <w:pPr>
        <w:jc w:val="both"/>
        <w:rPr>
          <w:rFonts w:ascii="Arial" w:hAnsi="Arial" w:cs="Arial"/>
          <w:sz w:val="22"/>
          <w:szCs w:val="22"/>
        </w:rPr>
      </w:pPr>
      <w:proofErr w:type="gramStart"/>
      <w:r w:rsidRPr="00D50DBC">
        <w:rPr>
          <w:rFonts w:ascii="Arial" w:hAnsi="Arial" w:cs="Arial"/>
          <w:sz w:val="22"/>
          <w:szCs w:val="22"/>
        </w:rPr>
        <w:t>Que</w:t>
      </w:r>
      <w:proofErr w:type="gramEnd"/>
      <w:r w:rsidRPr="00D50DBC">
        <w:rPr>
          <w:rFonts w:ascii="Arial" w:hAnsi="Arial" w:cs="Arial"/>
          <w:sz w:val="22"/>
          <w:szCs w:val="22"/>
        </w:rPr>
        <w:t xml:space="preserve"> de acuerdo a </w:t>
      </w:r>
      <w:r w:rsidRPr="00D50DBC">
        <w:rPr>
          <w:rFonts w:ascii="Arial" w:eastAsia="Arial" w:hAnsi="Arial" w:cs="Arial"/>
          <w:sz w:val="22"/>
          <w:szCs w:val="22"/>
        </w:rPr>
        <w:t xml:space="preserve">los documentos aportados y la información recolectada en campo por método directo, se </w:t>
      </w:r>
      <w:r w:rsidRPr="00D50DBC">
        <w:rPr>
          <w:rFonts w:ascii="Arial" w:hAnsi="Arial" w:cs="Arial"/>
          <w:sz w:val="22"/>
          <w:szCs w:val="22"/>
        </w:rPr>
        <w:t xml:space="preserve">evidencia que esta difiere con la consignada en la base de datos del Gestor Catastral de Fusagasugá. Así pues, </w:t>
      </w:r>
      <w:bookmarkStart w:id="1" w:name="_Hlk145360626"/>
      <w:r w:rsidRPr="00D50DBC">
        <w:rPr>
          <w:rFonts w:ascii="Arial" w:hAnsi="Arial" w:cs="Arial"/>
          <w:sz w:val="22"/>
          <w:szCs w:val="22"/>
        </w:rPr>
        <w:t xml:space="preserve">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bookmarkEnd w:id="1"/>
    </w:p>
    <w:p w14:paraId="59BAA88C" w14:textId="77777777" w:rsidR="008636E6" w:rsidRPr="00D50DBC" w:rsidRDefault="008636E6" w:rsidP="00AA2140">
      <w:pPr>
        <w:jc w:val="both"/>
        <w:rPr>
          <w:rFonts w:ascii="Arial" w:hAnsi="Arial" w:cs="Arial"/>
          <w:sz w:val="22"/>
          <w:szCs w:val="22"/>
        </w:rPr>
      </w:pPr>
    </w:p>
    <w:p w14:paraId="75C2A5D8" w14:textId="77777777" w:rsidR="00A62A67" w:rsidRPr="00D50DBC" w:rsidRDefault="00382003" w:rsidP="00AA2140">
      <w:pPr>
        <w:jc w:val="center"/>
        <w:rPr>
          <w:rFonts w:ascii="Arial" w:hAnsi="Arial"/>
          <w:b/>
          <w:sz w:val="22"/>
        </w:rPr>
      </w:pPr>
      <w:r w:rsidRPr="00D50DBC">
        <w:rPr>
          <w:rFonts w:ascii="Arial" w:hAnsi="Arial"/>
          <w:b/>
          <w:sz w:val="22"/>
        </w:rPr>
        <w:t>RESUELVE</w:t>
      </w:r>
    </w:p>
    <w:p w14:paraId="47614269" w14:textId="77777777" w:rsidR="00A62A67" w:rsidRPr="00D50DBC" w:rsidRDefault="00A62A67" w:rsidP="00AA2140">
      <w:pPr>
        <w:jc w:val="both"/>
        <w:rPr>
          <w:rFonts w:ascii="Arial" w:hAnsi="Arial"/>
          <w:sz w:val="22"/>
        </w:rPr>
      </w:pPr>
    </w:p>
    <w:p w14:paraId="793D8232" w14:textId="77777777" w:rsidR="00A62A67" w:rsidRPr="00D50DBC" w:rsidRDefault="00382003" w:rsidP="00AA2140">
      <w:pPr>
        <w:jc w:val="both"/>
        <w:rPr>
          <w:rFonts w:ascii="Arial" w:hAnsi="Arial"/>
          <w:sz w:val="22"/>
        </w:rPr>
      </w:pPr>
      <w:r w:rsidRPr="00D50DBC">
        <w:rPr>
          <w:rFonts w:ascii="Arial" w:hAnsi="Arial"/>
          <w:b/>
          <w:sz w:val="22"/>
        </w:rPr>
        <w:t xml:space="preserve">ARTÍCULO PRIMERO: </w:t>
      </w:r>
      <w:r w:rsidRPr="00D50DBC">
        <w:rPr>
          <w:rFonts w:ascii="Arial" w:hAnsi="Arial"/>
          <w:sz w:val="22"/>
        </w:rPr>
        <w:t>Ordenar la inscripción en el catastro del municipio de Fusagasugá, los siguientes cambios:</w:t>
      </w:r>
    </w:p>
    <w:p w14:paraId="47B8A004" w14:textId="77777777" w:rsidR="00A62A67" w:rsidRPr="00D50DBC" w:rsidRDefault="00A62A67" w:rsidP="00AA2140">
      <w:pPr>
        <w:jc w:val="both"/>
        <w:rPr>
          <w:rFonts w:ascii="Arial" w:hAnsi="Arial"/>
          <w:sz w:val="22"/>
        </w:rPr>
      </w:pPr>
    </w:p>
    <w:p w14:paraId="10DF8A01" w14:textId="00AB8943" w:rsidR="00A62A67" w:rsidRPr="00D50DBC" w:rsidRDefault="00A62A67" w:rsidP="00AA2140">
      <w:pPr>
        <w:jc w:val="both"/>
        <w:rPr>
          <w:noProof/>
        </w:rPr>
      </w:pPr>
    </w:p>
    <w:p w14:paraId="131F6D11" w14:textId="77777777" w:rsidR="0075276F" w:rsidRPr="00D50DBC" w:rsidRDefault="0075276F" w:rsidP="00AA2140">
      <w:pPr>
        <w:jc w:val="both"/>
        <w:rPr>
          <w:noProof/>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D50DBC" w:rsidRPr="00D50DBC" w14:paraId="060E79B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86216B9"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CANCELA</w:t>
            </w:r>
          </w:p>
        </w:tc>
      </w:tr>
      <w:tr w:rsidR="00D50DBC" w:rsidRPr="00D50DBC" w14:paraId="54C3A74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4615340"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Datos Predio</w:t>
            </w:r>
          </w:p>
        </w:tc>
      </w:tr>
      <w:tr w:rsidR="00D50DBC" w:rsidRPr="00D50DBC" w14:paraId="0358B07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70F601EC"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8B4A97B"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5D69925"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4BDE288"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3A836D4"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74C1810"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D440EBA"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66F5EB81"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Vigencia</w:t>
            </w:r>
          </w:p>
        </w:tc>
      </w:tr>
      <w:tr w:rsidR="00D50DBC" w:rsidRPr="00D50DBC" w14:paraId="1818053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C76C80D"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cancela_datos_predio_nmero_catastral</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E5A078"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cancela_datos_predio_matricula_inmobiliaria</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49FE46"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cancela_datos_predio_direccion</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ACA5CF"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cancela_datos_predio_destino_economico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61E2FF"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cancela_datos_predio_area_terreno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84E2097"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cancela_datos_predio_area_construida</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44ED10"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cancela_datos_predio_avaluo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475F18"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cancela_datos_predio_vigencia</w:t>
            </w:r>
            <w:proofErr w:type="spellEnd"/>
            <w:r w:rsidRPr="00D50DBC">
              <w:rPr>
                <w:rFonts w:ascii="Arial Narrow" w:hAnsi="Arial Narrow" w:cstheme="minorHAnsi"/>
                <w:sz w:val="16"/>
                <w:szCs w:val="16"/>
              </w:rPr>
              <w:t>}</w:t>
            </w:r>
          </w:p>
        </w:tc>
      </w:tr>
      <w:tr w:rsidR="00D50DBC" w:rsidRPr="00D50DBC" w14:paraId="791C604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C8D0597"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Propietarios</w:t>
            </w:r>
          </w:p>
        </w:tc>
      </w:tr>
      <w:tr w:rsidR="00D50DBC" w:rsidRPr="00D50DBC" w14:paraId="50DA416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0A739EC"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lastRenderedPageBreak/>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A65E562"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21DA17D"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5C91DC9"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F889F15"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74BB43A"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E4E1FD7"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6283DDF"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6FB8C23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00C828E"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cancela_propietarios_nmero_catastral</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F975E0"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cancela_propietarios_numero_propietario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2BE89E"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cancela_propietarios_nombre_propietario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87D1DC"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cancela_propietarios_tipo_documento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8AC44E"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cancela_propietarios_numero_documento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99C6F1"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B71E6E3"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B37C6A"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2578813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DFF1A9C"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ACA4B8"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37FCB7"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E6B21A"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4B5D13"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3E5C45"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66B002"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7B40FA"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42B8B11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1B024FB6"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INSCRIBE</w:t>
            </w:r>
          </w:p>
        </w:tc>
      </w:tr>
      <w:tr w:rsidR="00D50DBC" w:rsidRPr="00D50DBC" w14:paraId="262919A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26E8D22"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Datos Predio</w:t>
            </w:r>
          </w:p>
        </w:tc>
      </w:tr>
      <w:tr w:rsidR="00D50DBC" w:rsidRPr="00D50DBC" w14:paraId="23CF9C5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11CA26BD"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133CD8EF"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05B0C1D"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FEC6C5B"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C05C544"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46D6BE3"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4D0C76C"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87F398C"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Vigencia</w:t>
            </w:r>
          </w:p>
        </w:tc>
      </w:tr>
      <w:tr w:rsidR="00D50DBC" w:rsidRPr="00D50DBC" w14:paraId="471B3BC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EAE297F"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inscribe_datos_predio_nmero_catastral</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7AD032"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inscribe_datos_predio_matricula_inmobiliaria</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91C6BC"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inscribe_datos_predio_Direccion</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81F975"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inscribe_datos_predio_destino_económico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4BCB34"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inscribe_datos_predio_area_terreno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F7198"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inscribe_datos_predio_area_construida</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7596AE"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inscribe_datos_predio_avaluo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26F78"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inscribe_datos_predio_vigencia</w:t>
            </w:r>
            <w:proofErr w:type="spellEnd"/>
            <w:r w:rsidRPr="00D50DBC">
              <w:rPr>
                <w:rFonts w:ascii="Arial Narrow" w:hAnsi="Arial Narrow" w:cstheme="minorHAnsi"/>
                <w:sz w:val="16"/>
                <w:szCs w:val="16"/>
              </w:rPr>
              <w:t>}</w:t>
            </w:r>
          </w:p>
        </w:tc>
      </w:tr>
      <w:tr w:rsidR="00D50DBC" w:rsidRPr="00D50DBC" w14:paraId="2FC8F6D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AD09AA0"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Propietarios</w:t>
            </w:r>
          </w:p>
        </w:tc>
      </w:tr>
      <w:tr w:rsidR="00D50DBC" w:rsidRPr="00D50DBC" w14:paraId="671E950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4BB19228"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640E763"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2F9BF85"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2352337"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B94BCEA"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4201EDE"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F4D1DE3"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C80753D"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1F34113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480EBA"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inscribe_propietarios_nmero_catastral</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69BF9A"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inscribe_propietarios_numero_propietario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E83C1B"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inscribe_propietarios_nombre_propietario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56A463"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inscribe_propietarios_tipo_documento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ED35DE"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inscribe_propietarios_numero_documento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385F91"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6EFF3"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2038E8"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5E0B4A8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2B866632"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Liquidación de Avalúos</w:t>
            </w:r>
          </w:p>
        </w:tc>
      </w:tr>
      <w:tr w:rsidR="00D50DBC" w:rsidRPr="00D50DBC" w14:paraId="71EB7B6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7236157F"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FE392CA"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7883075A"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5BDFBD5"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74730932"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C34B5CD" w14:textId="77777777" w:rsidR="000167D0" w:rsidRPr="00D50DBC" w:rsidRDefault="000167D0" w:rsidP="00A162EA">
            <w:pPr>
              <w:jc w:val="center"/>
              <w:rPr>
                <w:rFonts w:ascii="Arial Narrow" w:hAnsi="Arial Narrow" w:cstheme="minorHAnsi"/>
                <w:b/>
                <w:bCs/>
                <w:sz w:val="16"/>
                <w:szCs w:val="16"/>
              </w:rPr>
            </w:pPr>
            <w:r w:rsidRPr="00D50DBC">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D2F7662"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0DD3948"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r w:rsidR="00D50DBC" w:rsidRPr="00D50DBC" w14:paraId="1A8F365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1E96518"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inscribe_liquidacion_nmero_catastral</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D84BB9"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inscribe_liquidacion_concepto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DDB162"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inscribe_liquidacion_avaluo</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EAA06B" w14:textId="77777777" w:rsidR="000167D0" w:rsidRPr="00D50DBC" w:rsidRDefault="000167D0" w:rsidP="00A162EA">
            <w:pPr>
              <w:jc w:val="center"/>
              <w:rPr>
                <w:rFonts w:ascii="Arial Narrow" w:hAnsi="Arial Narrow" w:cstheme="minorHAnsi"/>
                <w:sz w:val="16"/>
                <w:szCs w:val="16"/>
              </w:rPr>
            </w:pPr>
            <w:r w:rsidRPr="00D50DBC">
              <w:rPr>
                <w:rFonts w:ascii="Arial Narrow" w:hAnsi="Arial Narrow" w:cstheme="minorHAnsi"/>
                <w:sz w:val="16"/>
                <w:szCs w:val="16"/>
              </w:rPr>
              <w:t>${</w:t>
            </w:r>
            <w:proofErr w:type="spellStart"/>
            <w:r w:rsidRPr="00D50DBC">
              <w:rPr>
                <w:rFonts w:ascii="Arial Narrow" w:hAnsi="Arial Narrow" w:cstheme="minorHAnsi"/>
                <w:sz w:val="16"/>
                <w:szCs w:val="16"/>
              </w:rPr>
              <w:t>inscribe_liquidacion_fecha</w:t>
            </w:r>
            <w:proofErr w:type="spellEnd"/>
            <w:r w:rsidRPr="00D50DBC">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18FBF8"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87346F"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F349EA"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674357" w14:textId="77777777" w:rsidR="000167D0" w:rsidRPr="00D50DBC" w:rsidRDefault="000167D0" w:rsidP="00A162EA">
            <w:pPr>
              <w:rPr>
                <w:rFonts w:ascii="Arial Narrow" w:hAnsi="Arial Narrow" w:cstheme="minorHAnsi"/>
                <w:sz w:val="16"/>
                <w:szCs w:val="16"/>
              </w:rPr>
            </w:pPr>
            <w:r w:rsidRPr="00D50DBC">
              <w:rPr>
                <w:rFonts w:ascii="Arial Narrow" w:hAnsi="Arial Narrow" w:cstheme="minorHAnsi"/>
                <w:sz w:val="16"/>
                <w:szCs w:val="16"/>
              </w:rPr>
              <w:t> </w:t>
            </w:r>
          </w:p>
        </w:tc>
      </w:tr>
    </w:tbl>
    <w:p w14:paraId="01752659" w14:textId="77777777" w:rsidR="008636E6" w:rsidRPr="00D50DBC" w:rsidRDefault="008636E6" w:rsidP="00AA2140">
      <w:pPr>
        <w:pStyle w:val="paragraph"/>
        <w:spacing w:before="0" w:beforeAutospacing="0" w:after="0" w:afterAutospacing="0"/>
        <w:jc w:val="both"/>
        <w:textAlignment w:val="baseline"/>
        <w:rPr>
          <w:rFonts w:ascii="Segoe UI" w:hAnsi="Segoe UI" w:cs="Segoe UI"/>
          <w:sz w:val="22"/>
          <w:szCs w:val="22"/>
        </w:rPr>
      </w:pPr>
      <w:r w:rsidRPr="00D50DBC">
        <w:rPr>
          <w:rStyle w:val="eop"/>
          <w:rFonts w:ascii="Arial" w:hAnsi="Arial" w:cs="Arial"/>
          <w:sz w:val="22"/>
          <w:szCs w:val="22"/>
        </w:rPr>
        <w:t>   </w:t>
      </w:r>
    </w:p>
    <w:p w14:paraId="064CD5A4" w14:textId="77777777" w:rsidR="008636E6" w:rsidRPr="00D50DBC"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50DBC">
        <w:rPr>
          <w:rStyle w:val="eop"/>
          <w:rFonts w:ascii="Arial" w:hAnsi="Arial" w:cs="Arial"/>
          <w:sz w:val="22"/>
          <w:szCs w:val="22"/>
        </w:rPr>
        <w:t> </w:t>
      </w:r>
    </w:p>
    <w:p w14:paraId="13F4DE12" w14:textId="77777777" w:rsidR="008636E6" w:rsidRPr="00D50DBC" w:rsidRDefault="008636E6" w:rsidP="00AA2140">
      <w:pPr>
        <w:pStyle w:val="paragraph"/>
        <w:spacing w:before="0" w:beforeAutospacing="0" w:after="0" w:afterAutospacing="0"/>
        <w:jc w:val="both"/>
        <w:textAlignment w:val="baseline"/>
        <w:rPr>
          <w:rFonts w:ascii="Segoe UI" w:hAnsi="Segoe UI" w:cs="Segoe UI"/>
          <w:sz w:val="22"/>
          <w:szCs w:val="22"/>
        </w:rPr>
      </w:pPr>
    </w:p>
    <w:p w14:paraId="33F822F2" w14:textId="245B811D" w:rsidR="008636E6" w:rsidRPr="00D50DBC" w:rsidRDefault="008636E6" w:rsidP="00AA2140">
      <w:pPr>
        <w:pStyle w:val="paragraph"/>
        <w:spacing w:before="0" w:beforeAutospacing="0" w:after="0" w:afterAutospacing="0"/>
        <w:jc w:val="both"/>
        <w:textAlignment w:val="baseline"/>
        <w:rPr>
          <w:rStyle w:val="normaltextrun"/>
          <w:rFonts w:ascii="Arial" w:hAnsi="Arial" w:cs="Arial"/>
          <w:sz w:val="22"/>
          <w:szCs w:val="22"/>
        </w:rPr>
      </w:pPr>
      <w:r w:rsidRPr="00D50DBC">
        <w:rPr>
          <w:rStyle w:val="normaltextrun"/>
          <w:rFonts w:ascii="Arial" w:hAnsi="Arial" w:cs="Arial"/>
          <w:b/>
          <w:bCs/>
          <w:sz w:val="22"/>
          <w:szCs w:val="22"/>
        </w:rPr>
        <w:t xml:space="preserve">ARTÍCULO </w:t>
      </w:r>
      <w:r w:rsidR="00D25B6E" w:rsidRPr="00D50DBC">
        <w:rPr>
          <w:rStyle w:val="normaltextrun"/>
          <w:rFonts w:ascii="Arial" w:hAnsi="Arial" w:cs="Arial"/>
          <w:b/>
          <w:bCs/>
          <w:sz w:val="22"/>
          <w:szCs w:val="22"/>
        </w:rPr>
        <w:t>SEGUNDO</w:t>
      </w:r>
      <w:r w:rsidRPr="00D50DBC">
        <w:rPr>
          <w:rStyle w:val="normaltextrun"/>
          <w:rFonts w:ascii="Arial" w:hAnsi="Arial" w:cs="Arial"/>
          <w:b/>
          <w:bCs/>
          <w:sz w:val="22"/>
          <w:szCs w:val="22"/>
        </w:rPr>
        <w:t>:</w:t>
      </w:r>
      <w:r w:rsidRPr="00D50DBC">
        <w:rPr>
          <w:rStyle w:val="normaltextrun"/>
          <w:rFonts w:ascii="Arial" w:hAnsi="Arial" w:cs="Arial"/>
          <w:sz w:val="22"/>
          <w:szCs w:val="22"/>
        </w:rPr>
        <w:t xml:space="preserve"> Notificar el contenido de esta resolución al(los) interesado(s), en los términos señalados en el artículo 56 de la Resolución IGAC 1149 de 2021.</w:t>
      </w:r>
    </w:p>
    <w:p w14:paraId="51615F8D" w14:textId="77777777" w:rsidR="008636E6" w:rsidRPr="00D50DBC" w:rsidRDefault="008636E6" w:rsidP="00AA2140">
      <w:pPr>
        <w:pStyle w:val="paragraph"/>
        <w:spacing w:before="0" w:beforeAutospacing="0" w:after="0" w:afterAutospacing="0"/>
        <w:jc w:val="both"/>
        <w:textAlignment w:val="baseline"/>
        <w:rPr>
          <w:rFonts w:ascii="Arial" w:hAnsi="Arial" w:cs="Arial"/>
          <w:sz w:val="22"/>
          <w:szCs w:val="22"/>
        </w:rPr>
      </w:pPr>
    </w:p>
    <w:p w14:paraId="1F9B828F" w14:textId="3363616E" w:rsidR="008636E6" w:rsidRPr="00D50DBC"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50DBC">
        <w:rPr>
          <w:rStyle w:val="normaltextrun"/>
          <w:rFonts w:ascii="Arial" w:hAnsi="Arial" w:cs="Arial"/>
          <w:b/>
          <w:bCs/>
          <w:sz w:val="22"/>
          <w:szCs w:val="22"/>
        </w:rPr>
        <w:t xml:space="preserve">ARTÍCULO </w:t>
      </w:r>
      <w:r w:rsidR="00D25B6E" w:rsidRPr="00D50DBC">
        <w:rPr>
          <w:rStyle w:val="normaltextrun"/>
          <w:rFonts w:ascii="Arial" w:hAnsi="Arial" w:cs="Arial"/>
          <w:b/>
          <w:bCs/>
          <w:sz w:val="22"/>
          <w:szCs w:val="22"/>
        </w:rPr>
        <w:t>TERCERO</w:t>
      </w:r>
      <w:r w:rsidRPr="00D50DBC">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D50DBC">
        <w:rPr>
          <w:rStyle w:val="eop"/>
          <w:rFonts w:ascii="Arial" w:hAnsi="Arial" w:cs="Arial"/>
          <w:sz w:val="22"/>
          <w:szCs w:val="22"/>
        </w:rPr>
        <w:t> </w:t>
      </w:r>
    </w:p>
    <w:p w14:paraId="2BEC75BA" w14:textId="77777777" w:rsidR="008636E6" w:rsidRPr="00D50DBC" w:rsidRDefault="008636E6" w:rsidP="00AA2140">
      <w:pPr>
        <w:pStyle w:val="paragraph"/>
        <w:spacing w:before="0" w:beforeAutospacing="0" w:after="0" w:afterAutospacing="0"/>
        <w:jc w:val="both"/>
        <w:textAlignment w:val="baseline"/>
        <w:rPr>
          <w:rStyle w:val="normaltextrun"/>
          <w:rFonts w:ascii="Arial" w:hAnsi="Arial" w:cs="Arial"/>
          <w:b/>
          <w:bCs/>
          <w:sz w:val="22"/>
          <w:szCs w:val="22"/>
        </w:rPr>
      </w:pPr>
    </w:p>
    <w:p w14:paraId="296D28E1" w14:textId="77777777" w:rsidR="008636E6" w:rsidRPr="00D50DBC"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50DBC">
        <w:rPr>
          <w:rStyle w:val="normaltextrun"/>
          <w:rFonts w:ascii="Arial" w:hAnsi="Arial" w:cs="Arial"/>
          <w:b/>
          <w:bCs/>
          <w:sz w:val="22"/>
          <w:szCs w:val="22"/>
        </w:rPr>
        <w:t xml:space="preserve">PARÁGRAFO. </w:t>
      </w:r>
      <w:r w:rsidRPr="00D50DBC">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D50DBC">
        <w:rPr>
          <w:rStyle w:val="normaltextrun"/>
          <w:rFonts w:ascii="Arial" w:hAnsi="Arial" w:cs="Arial"/>
          <w:sz w:val="22"/>
          <w:szCs w:val="22"/>
        </w:rPr>
        <w:t>de acuerdo con lo establecido en los artículos 76 y 77 de la Ley 1437 de 2011. </w:t>
      </w:r>
      <w:r w:rsidRPr="00D50DBC">
        <w:rPr>
          <w:rStyle w:val="eop"/>
          <w:rFonts w:ascii="Arial" w:hAnsi="Arial" w:cs="Arial"/>
          <w:sz w:val="22"/>
          <w:szCs w:val="22"/>
        </w:rPr>
        <w:t> </w:t>
      </w:r>
    </w:p>
    <w:p w14:paraId="5BC5FE14" w14:textId="77777777" w:rsidR="008636E6" w:rsidRPr="00D50DBC" w:rsidRDefault="008636E6" w:rsidP="00AA2140">
      <w:pPr>
        <w:pStyle w:val="paragraph"/>
        <w:spacing w:before="0" w:beforeAutospacing="0" w:after="0" w:afterAutospacing="0"/>
        <w:jc w:val="both"/>
        <w:textAlignment w:val="baseline"/>
        <w:rPr>
          <w:rFonts w:ascii="Segoe UI" w:hAnsi="Segoe UI" w:cs="Segoe UI"/>
          <w:sz w:val="22"/>
          <w:szCs w:val="22"/>
        </w:rPr>
      </w:pPr>
    </w:p>
    <w:p w14:paraId="55B123E6" w14:textId="27967494" w:rsidR="008636E6" w:rsidRPr="00D50DBC"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50DBC">
        <w:rPr>
          <w:rStyle w:val="normaltextrun"/>
          <w:rFonts w:ascii="Arial" w:hAnsi="Arial" w:cs="Arial"/>
          <w:b/>
          <w:bCs/>
          <w:sz w:val="22"/>
          <w:szCs w:val="22"/>
        </w:rPr>
        <w:t xml:space="preserve">ARTÍCULO </w:t>
      </w:r>
      <w:r w:rsidR="00D25B6E" w:rsidRPr="00D50DBC">
        <w:rPr>
          <w:rStyle w:val="normaltextrun"/>
          <w:rFonts w:ascii="Arial" w:hAnsi="Arial" w:cs="Arial"/>
          <w:b/>
          <w:bCs/>
          <w:sz w:val="22"/>
          <w:szCs w:val="22"/>
        </w:rPr>
        <w:t>CUARTO</w:t>
      </w:r>
      <w:r w:rsidRPr="00D50DBC">
        <w:rPr>
          <w:rStyle w:val="normaltextrun"/>
          <w:rFonts w:ascii="Arial" w:hAnsi="Arial" w:cs="Arial"/>
          <w:sz w:val="22"/>
          <w:szCs w:val="22"/>
        </w:rPr>
        <w:t>: La presente resolución quedará en firme de acuerdo a lo establecido en el artículo 87 de la Ley 1437 de 2011.</w:t>
      </w:r>
      <w:r w:rsidRPr="00D50DBC">
        <w:rPr>
          <w:rStyle w:val="eop"/>
          <w:rFonts w:ascii="Arial" w:hAnsi="Arial" w:cs="Arial"/>
          <w:sz w:val="22"/>
          <w:szCs w:val="22"/>
        </w:rPr>
        <w:t> </w:t>
      </w:r>
    </w:p>
    <w:p w14:paraId="07BB1835" w14:textId="77777777" w:rsidR="008636E6" w:rsidRPr="00D50DBC" w:rsidRDefault="008636E6" w:rsidP="00AA2140">
      <w:pPr>
        <w:pStyle w:val="paragraph"/>
        <w:spacing w:before="0" w:beforeAutospacing="0" w:after="0" w:afterAutospacing="0"/>
        <w:jc w:val="both"/>
        <w:textAlignment w:val="baseline"/>
        <w:rPr>
          <w:rFonts w:ascii="Arial" w:hAnsi="Arial" w:cs="Arial"/>
          <w:sz w:val="22"/>
          <w:szCs w:val="22"/>
        </w:rPr>
      </w:pPr>
    </w:p>
    <w:p w14:paraId="2F9C6114" w14:textId="1DCE37B7" w:rsidR="008636E6" w:rsidRPr="00D50DBC" w:rsidRDefault="008636E6" w:rsidP="00AA2140">
      <w:pPr>
        <w:pStyle w:val="paragraph"/>
        <w:spacing w:before="0" w:beforeAutospacing="0" w:after="0" w:afterAutospacing="0"/>
        <w:jc w:val="both"/>
        <w:textAlignment w:val="baseline"/>
        <w:rPr>
          <w:rFonts w:ascii="Arial" w:hAnsi="Arial" w:cs="Arial"/>
          <w:sz w:val="22"/>
          <w:szCs w:val="22"/>
        </w:rPr>
      </w:pPr>
      <w:r w:rsidRPr="00D50DBC">
        <w:rPr>
          <w:rStyle w:val="normaltextrun"/>
          <w:rFonts w:ascii="Arial" w:hAnsi="Arial" w:cs="Arial"/>
          <w:b/>
          <w:bCs/>
          <w:sz w:val="22"/>
          <w:szCs w:val="22"/>
        </w:rPr>
        <w:t xml:space="preserve">ARTÍCULO </w:t>
      </w:r>
      <w:r w:rsidR="00D25B6E" w:rsidRPr="00D50DBC">
        <w:rPr>
          <w:rStyle w:val="normaltextrun"/>
          <w:rFonts w:ascii="Arial" w:hAnsi="Arial" w:cs="Arial"/>
          <w:b/>
          <w:bCs/>
          <w:sz w:val="22"/>
          <w:szCs w:val="22"/>
        </w:rPr>
        <w:t>QUINTO</w:t>
      </w:r>
      <w:r w:rsidRPr="00D50DBC">
        <w:rPr>
          <w:rStyle w:val="normaltextrun"/>
          <w:rFonts w:ascii="Arial" w:hAnsi="Arial" w:cs="Arial"/>
          <w:sz w:val="22"/>
          <w:szCs w:val="22"/>
        </w:rPr>
        <w:t>: Los avalúos catastrales inscritos tendrán vigencia fiscal a partir del primero (01) de enero del año inmediatamente siguiente a la expedición del acto administrativo que ordene el proceso de formación o actualización catastral.</w:t>
      </w:r>
      <w:r w:rsidRPr="00D50DBC">
        <w:rPr>
          <w:rStyle w:val="eop"/>
          <w:rFonts w:ascii="Arial" w:hAnsi="Arial" w:cs="Arial"/>
          <w:sz w:val="22"/>
          <w:szCs w:val="22"/>
        </w:rPr>
        <w:t> </w:t>
      </w:r>
    </w:p>
    <w:p w14:paraId="1D44FC1B" w14:textId="77777777" w:rsidR="008636E6" w:rsidRPr="00D50DBC" w:rsidRDefault="008636E6" w:rsidP="00AA2140">
      <w:pPr>
        <w:pStyle w:val="Normal2"/>
        <w:jc w:val="both"/>
        <w:rPr>
          <w:rFonts w:ascii="Arial" w:eastAsia="Arial" w:hAnsi="Arial" w:cs="Arial"/>
          <w:sz w:val="22"/>
          <w:szCs w:val="22"/>
        </w:rPr>
      </w:pPr>
    </w:p>
    <w:p w14:paraId="7A88685A" w14:textId="77777777" w:rsidR="008636E6" w:rsidRPr="00D50DBC" w:rsidRDefault="008636E6" w:rsidP="00AA2140">
      <w:pPr>
        <w:pStyle w:val="Normal2"/>
        <w:jc w:val="center"/>
        <w:rPr>
          <w:rFonts w:ascii="Arial" w:eastAsia="Arial" w:hAnsi="Arial" w:cs="Arial"/>
          <w:b/>
          <w:sz w:val="22"/>
          <w:szCs w:val="22"/>
        </w:rPr>
      </w:pPr>
      <w:r w:rsidRPr="00D50DBC">
        <w:rPr>
          <w:rFonts w:ascii="Arial" w:eastAsia="Arial" w:hAnsi="Arial" w:cs="Arial"/>
          <w:b/>
          <w:sz w:val="22"/>
          <w:szCs w:val="22"/>
        </w:rPr>
        <w:t>NOTIFÍQUESE Y CÚMPLASE</w:t>
      </w:r>
    </w:p>
    <w:p w14:paraId="5E184F03" w14:textId="77777777" w:rsidR="008636E6" w:rsidRPr="00D50DBC" w:rsidRDefault="008636E6" w:rsidP="00AA2140">
      <w:pPr>
        <w:pStyle w:val="Normal2"/>
        <w:jc w:val="both"/>
        <w:rPr>
          <w:rFonts w:ascii="Arial" w:eastAsia="Arial" w:hAnsi="Arial" w:cs="Arial"/>
          <w:sz w:val="22"/>
          <w:szCs w:val="22"/>
        </w:rPr>
      </w:pPr>
    </w:p>
    <w:p w14:paraId="659C0BEA" w14:textId="13665FFA" w:rsidR="008636E6" w:rsidRPr="00D50DBC" w:rsidRDefault="008636E6" w:rsidP="00AA2140">
      <w:pPr>
        <w:pStyle w:val="Normal2"/>
        <w:jc w:val="both"/>
        <w:rPr>
          <w:rFonts w:ascii="Arial" w:eastAsia="Arial" w:hAnsi="Arial" w:cs="Arial"/>
          <w:sz w:val="22"/>
          <w:szCs w:val="22"/>
        </w:rPr>
      </w:pPr>
      <w:r w:rsidRPr="00D50DBC">
        <w:rPr>
          <w:rFonts w:ascii="Arial" w:eastAsia="Arial" w:hAnsi="Arial" w:cs="Arial"/>
          <w:sz w:val="22"/>
          <w:szCs w:val="22"/>
        </w:rPr>
        <w:t xml:space="preserve">Dada en Fusagasugá, </w:t>
      </w:r>
      <w:r w:rsidR="000167D0" w:rsidRPr="00D50DBC">
        <w:rPr>
          <w:rFonts w:ascii="Arial" w:eastAsia="Arial" w:hAnsi="Arial" w:cs="Arial"/>
          <w:sz w:val="22"/>
          <w:szCs w:val="22"/>
        </w:rPr>
        <w:t>a los ${</w:t>
      </w:r>
      <w:proofErr w:type="spellStart"/>
      <w:r w:rsidR="000167D0" w:rsidRPr="00D50DBC">
        <w:rPr>
          <w:rFonts w:ascii="Arial" w:eastAsia="Arial" w:hAnsi="Arial" w:cs="Arial"/>
          <w:sz w:val="22"/>
          <w:szCs w:val="22"/>
        </w:rPr>
        <w:t>dia_now_letra</w:t>
      </w:r>
      <w:proofErr w:type="spellEnd"/>
      <w:r w:rsidR="000167D0" w:rsidRPr="00D50DBC">
        <w:rPr>
          <w:rFonts w:ascii="Arial" w:eastAsia="Arial" w:hAnsi="Arial" w:cs="Arial"/>
          <w:sz w:val="22"/>
          <w:szCs w:val="22"/>
        </w:rPr>
        <w:t>} (${</w:t>
      </w:r>
      <w:proofErr w:type="spellStart"/>
      <w:r w:rsidR="000167D0" w:rsidRPr="00D50DBC">
        <w:rPr>
          <w:rFonts w:ascii="Arial" w:eastAsia="Arial" w:hAnsi="Arial" w:cs="Arial"/>
          <w:sz w:val="22"/>
          <w:szCs w:val="22"/>
        </w:rPr>
        <w:t>dia_now_numero</w:t>
      </w:r>
      <w:proofErr w:type="spellEnd"/>
      <w:r w:rsidR="000167D0" w:rsidRPr="00D50DBC">
        <w:rPr>
          <w:rFonts w:ascii="Arial" w:eastAsia="Arial" w:hAnsi="Arial" w:cs="Arial"/>
          <w:sz w:val="22"/>
          <w:szCs w:val="22"/>
        </w:rPr>
        <w:t>}) días del mes de ${</w:t>
      </w:r>
      <w:proofErr w:type="spellStart"/>
      <w:r w:rsidR="000167D0" w:rsidRPr="00D50DBC">
        <w:rPr>
          <w:rFonts w:ascii="Arial" w:eastAsia="Arial" w:hAnsi="Arial" w:cs="Arial"/>
          <w:sz w:val="22"/>
          <w:szCs w:val="22"/>
        </w:rPr>
        <w:t>mes_now_letra</w:t>
      </w:r>
      <w:proofErr w:type="spellEnd"/>
      <w:r w:rsidR="000167D0" w:rsidRPr="00D50DBC">
        <w:rPr>
          <w:rFonts w:ascii="Arial" w:eastAsia="Arial" w:hAnsi="Arial" w:cs="Arial"/>
          <w:sz w:val="22"/>
          <w:szCs w:val="22"/>
        </w:rPr>
        <w:t>} de ${</w:t>
      </w:r>
      <w:proofErr w:type="spellStart"/>
      <w:r w:rsidR="000167D0" w:rsidRPr="00D50DBC">
        <w:rPr>
          <w:rFonts w:ascii="Arial" w:eastAsia="Arial" w:hAnsi="Arial" w:cs="Arial"/>
          <w:sz w:val="22"/>
          <w:szCs w:val="22"/>
        </w:rPr>
        <w:t>annio_letra</w:t>
      </w:r>
      <w:proofErr w:type="spellEnd"/>
      <w:r w:rsidR="000167D0" w:rsidRPr="00D50DBC">
        <w:rPr>
          <w:rFonts w:ascii="Arial" w:eastAsia="Arial" w:hAnsi="Arial" w:cs="Arial"/>
          <w:sz w:val="22"/>
          <w:szCs w:val="22"/>
        </w:rPr>
        <w:t>} (${</w:t>
      </w:r>
      <w:proofErr w:type="spellStart"/>
      <w:r w:rsidR="000167D0" w:rsidRPr="00D50DBC">
        <w:rPr>
          <w:rFonts w:ascii="Arial" w:eastAsia="Arial" w:hAnsi="Arial" w:cs="Arial"/>
          <w:sz w:val="22"/>
          <w:szCs w:val="22"/>
        </w:rPr>
        <w:t>annio_numero</w:t>
      </w:r>
      <w:proofErr w:type="spellEnd"/>
      <w:r w:rsidR="000167D0" w:rsidRPr="00D50DBC">
        <w:rPr>
          <w:rFonts w:ascii="Arial" w:eastAsia="Arial" w:hAnsi="Arial" w:cs="Arial"/>
          <w:sz w:val="22"/>
          <w:szCs w:val="22"/>
        </w:rPr>
        <w:t>})</w:t>
      </w:r>
      <w:r w:rsidRPr="00D50DBC">
        <w:rPr>
          <w:rFonts w:ascii="Arial" w:eastAsia="Arial" w:hAnsi="Arial" w:cs="Arial"/>
          <w:sz w:val="22"/>
          <w:szCs w:val="22"/>
        </w:rPr>
        <w:t>.</w:t>
      </w:r>
    </w:p>
    <w:p w14:paraId="2E820A71" w14:textId="77777777" w:rsidR="008636E6" w:rsidRPr="00D50DBC" w:rsidRDefault="008636E6" w:rsidP="00AA2140">
      <w:pPr>
        <w:pStyle w:val="Normal2"/>
        <w:jc w:val="both"/>
        <w:rPr>
          <w:rFonts w:ascii="Arial" w:eastAsia="Arial" w:hAnsi="Arial" w:cs="Arial"/>
          <w:sz w:val="22"/>
          <w:szCs w:val="22"/>
        </w:rPr>
      </w:pPr>
    </w:p>
    <w:p w14:paraId="4DD7633F" w14:textId="77777777" w:rsidR="008636E6" w:rsidRPr="00D50DBC" w:rsidRDefault="008636E6" w:rsidP="00AA2140">
      <w:pPr>
        <w:pStyle w:val="Normal2"/>
        <w:jc w:val="center"/>
        <w:rPr>
          <w:rFonts w:ascii="Arial" w:eastAsia="Arial" w:hAnsi="Arial" w:cs="Arial"/>
          <w:b/>
          <w:bCs/>
          <w:sz w:val="22"/>
          <w:szCs w:val="22"/>
        </w:rPr>
      </w:pPr>
    </w:p>
    <w:p w14:paraId="7E41C664" w14:textId="77777777" w:rsidR="000167D0" w:rsidRPr="00D50DBC" w:rsidRDefault="000167D0" w:rsidP="000167D0">
      <w:pPr>
        <w:pStyle w:val="Normal2"/>
        <w:jc w:val="center"/>
        <w:rPr>
          <w:rFonts w:ascii="Arial" w:eastAsia="Arial" w:hAnsi="Arial" w:cs="Arial"/>
          <w:b/>
          <w:bCs/>
          <w:sz w:val="22"/>
          <w:szCs w:val="22"/>
        </w:rPr>
      </w:pPr>
      <w:r w:rsidRPr="00D50DBC">
        <w:rPr>
          <w:rFonts w:ascii="Arial" w:eastAsia="Arial" w:hAnsi="Arial" w:cs="Arial"/>
          <w:b/>
          <w:bCs/>
          <w:sz w:val="22"/>
          <w:szCs w:val="22"/>
        </w:rPr>
        <w:t>${</w:t>
      </w:r>
      <w:proofErr w:type="spellStart"/>
      <w:r w:rsidRPr="00D50DBC">
        <w:rPr>
          <w:rFonts w:ascii="Arial" w:eastAsia="Arial" w:hAnsi="Arial" w:cs="Arial"/>
          <w:b/>
          <w:bCs/>
          <w:sz w:val="22"/>
          <w:szCs w:val="22"/>
        </w:rPr>
        <w:t>nombre_director_ordenamiento</w:t>
      </w:r>
      <w:proofErr w:type="spellEnd"/>
      <w:r w:rsidRPr="00D50DBC">
        <w:rPr>
          <w:rFonts w:ascii="Arial" w:eastAsia="Arial" w:hAnsi="Arial" w:cs="Arial"/>
          <w:b/>
          <w:bCs/>
          <w:sz w:val="22"/>
          <w:szCs w:val="22"/>
        </w:rPr>
        <w:t>}</w:t>
      </w:r>
    </w:p>
    <w:p w14:paraId="41EF9D0B" w14:textId="3C64E938" w:rsidR="008636E6" w:rsidRPr="00D50DBC" w:rsidRDefault="000167D0" w:rsidP="000167D0">
      <w:pPr>
        <w:pStyle w:val="Normal2"/>
        <w:jc w:val="center"/>
        <w:rPr>
          <w:rFonts w:ascii="Arial" w:eastAsia="Arial" w:hAnsi="Arial" w:cs="Arial"/>
          <w:sz w:val="22"/>
          <w:szCs w:val="22"/>
        </w:rPr>
      </w:pPr>
      <w:r w:rsidRPr="00D50DBC">
        <w:rPr>
          <w:rFonts w:ascii="Arial" w:eastAsia="Arial" w:hAnsi="Arial" w:cs="Arial"/>
          <w:b/>
          <w:bCs/>
          <w:sz w:val="22"/>
          <w:szCs w:val="22"/>
        </w:rPr>
        <w:t>${</w:t>
      </w:r>
      <w:proofErr w:type="spellStart"/>
      <w:r w:rsidRPr="00D50DBC">
        <w:rPr>
          <w:rFonts w:ascii="Arial" w:eastAsia="Arial" w:hAnsi="Arial" w:cs="Arial"/>
          <w:b/>
          <w:bCs/>
          <w:sz w:val="22"/>
          <w:szCs w:val="22"/>
        </w:rPr>
        <w:t>cargo_director_ordenamiento</w:t>
      </w:r>
      <w:proofErr w:type="spellEnd"/>
      <w:r w:rsidRPr="00D50DBC">
        <w:rPr>
          <w:rFonts w:ascii="Arial" w:eastAsia="Arial" w:hAnsi="Arial" w:cs="Arial"/>
          <w:b/>
          <w:bCs/>
          <w:sz w:val="22"/>
          <w:szCs w:val="22"/>
        </w:rPr>
        <w:t>}</w:t>
      </w:r>
    </w:p>
    <w:p w14:paraId="20687D60" w14:textId="77777777" w:rsidR="008636E6" w:rsidRPr="00D50DBC" w:rsidRDefault="008636E6" w:rsidP="00AA2140">
      <w:pPr>
        <w:pStyle w:val="Normal2"/>
        <w:jc w:val="center"/>
        <w:rPr>
          <w:rFonts w:ascii="Arial" w:hAnsi="Arial" w:cs="Arial"/>
          <w:sz w:val="22"/>
          <w:szCs w:val="22"/>
        </w:rPr>
      </w:pPr>
      <w:r w:rsidRPr="00D50DBC">
        <w:rPr>
          <w:rFonts w:ascii="Arial" w:eastAsia="Arial" w:hAnsi="Arial" w:cs="Arial"/>
          <w:b/>
          <w:bCs/>
          <w:sz w:val="22"/>
          <w:szCs w:val="22"/>
        </w:rPr>
        <w:t>Alcaldía de Fusagasugá</w:t>
      </w:r>
    </w:p>
    <w:p w14:paraId="639E7F33" w14:textId="77777777" w:rsidR="008636E6" w:rsidRPr="00D50DBC" w:rsidRDefault="008636E6" w:rsidP="00AA2140">
      <w:pPr>
        <w:pStyle w:val="Normal2"/>
        <w:jc w:val="center"/>
        <w:rPr>
          <w:rFonts w:ascii="Arial" w:eastAsia="Arial" w:hAnsi="Arial" w:cs="Arial"/>
          <w:b/>
          <w:bCs/>
          <w:sz w:val="22"/>
          <w:szCs w:val="22"/>
        </w:rPr>
      </w:pPr>
    </w:p>
    <w:p w14:paraId="5C0E7FD2" w14:textId="37F829C7" w:rsidR="5C105385" w:rsidRPr="00D50DBC" w:rsidRDefault="5C105385" w:rsidP="0EA125F1">
      <w:pPr>
        <w:pStyle w:val="Normal1"/>
        <w:jc w:val="both"/>
        <w:rPr>
          <w:rFonts w:ascii="Arial" w:eastAsia="Arial" w:hAnsi="Arial" w:cs="Arial"/>
          <w:sz w:val="16"/>
          <w:szCs w:val="16"/>
          <w:lang w:val="es-ES"/>
        </w:rPr>
      </w:pPr>
      <w:r w:rsidRPr="00D50DBC">
        <w:rPr>
          <w:rFonts w:ascii="Arial" w:eastAsia="Arial" w:hAnsi="Arial" w:cs="Arial"/>
          <w:sz w:val="16"/>
          <w:szCs w:val="16"/>
        </w:rPr>
        <w:t>GESTIÓN DOCUMENTAL:</w:t>
      </w:r>
    </w:p>
    <w:p w14:paraId="338F0E84" w14:textId="3B6AFCD2" w:rsidR="5C105385" w:rsidRPr="00D50DBC" w:rsidRDefault="5C105385" w:rsidP="0EA125F1">
      <w:pPr>
        <w:pStyle w:val="Normal1"/>
        <w:spacing w:before="20"/>
        <w:jc w:val="both"/>
        <w:rPr>
          <w:rFonts w:ascii="Arial" w:eastAsia="Arial" w:hAnsi="Arial" w:cs="Arial"/>
          <w:sz w:val="16"/>
          <w:szCs w:val="16"/>
          <w:lang w:val="es-ES"/>
        </w:rPr>
      </w:pPr>
      <w:r w:rsidRPr="00D50DBC">
        <w:rPr>
          <w:rFonts w:ascii="Arial" w:eastAsia="Arial" w:hAnsi="Arial" w:cs="Arial"/>
          <w:sz w:val="16"/>
          <w:szCs w:val="16"/>
        </w:rPr>
        <w:t>Original: Destinatarios</w:t>
      </w:r>
    </w:p>
    <w:p w14:paraId="159562F3" w14:textId="77777777" w:rsidR="000167D0" w:rsidRPr="00D50DBC" w:rsidRDefault="000167D0" w:rsidP="000167D0">
      <w:pPr>
        <w:pStyle w:val="Normal1"/>
        <w:spacing w:before="20"/>
        <w:jc w:val="both"/>
        <w:rPr>
          <w:rFonts w:ascii="Arial" w:eastAsia="Arial" w:hAnsi="Arial" w:cs="Arial"/>
          <w:sz w:val="16"/>
          <w:szCs w:val="16"/>
        </w:rPr>
      </w:pPr>
      <w:r w:rsidRPr="00D50DBC">
        <w:rPr>
          <w:rFonts w:ascii="Arial" w:eastAsia="Arial" w:hAnsi="Arial" w:cs="Arial"/>
          <w:sz w:val="16"/>
          <w:szCs w:val="16"/>
        </w:rPr>
        <w:t>1ª Copia: Dirección de Ordenamiento Territorial y Gestión Catastral</w:t>
      </w:r>
    </w:p>
    <w:p w14:paraId="1F01B642" w14:textId="77777777" w:rsidR="000167D0" w:rsidRPr="00D50DBC" w:rsidRDefault="000167D0" w:rsidP="000167D0">
      <w:pPr>
        <w:pStyle w:val="Normal1"/>
        <w:spacing w:before="20"/>
        <w:jc w:val="both"/>
        <w:rPr>
          <w:rFonts w:ascii="Arial" w:eastAsia="Arial" w:hAnsi="Arial" w:cs="Arial"/>
          <w:sz w:val="16"/>
          <w:szCs w:val="16"/>
        </w:rPr>
      </w:pPr>
      <w:r w:rsidRPr="00D50DBC">
        <w:rPr>
          <w:rFonts w:ascii="Arial" w:eastAsia="Arial" w:hAnsi="Arial" w:cs="Arial"/>
          <w:sz w:val="16"/>
          <w:szCs w:val="16"/>
        </w:rPr>
        <w:t>Proyectó: ${</w:t>
      </w:r>
      <w:proofErr w:type="spellStart"/>
      <w:r w:rsidRPr="00D50DBC">
        <w:rPr>
          <w:rFonts w:ascii="Arial" w:eastAsia="Arial" w:hAnsi="Arial" w:cs="Arial"/>
          <w:sz w:val="16"/>
          <w:szCs w:val="16"/>
        </w:rPr>
        <w:t>nombre_proyecto_abogado</w:t>
      </w:r>
      <w:proofErr w:type="spellEnd"/>
      <w:r w:rsidRPr="00D50DBC">
        <w:rPr>
          <w:rFonts w:ascii="Arial" w:eastAsia="Arial" w:hAnsi="Arial" w:cs="Arial"/>
          <w:sz w:val="16"/>
          <w:szCs w:val="16"/>
        </w:rPr>
        <w:t>} - Abogado contratista</w:t>
      </w:r>
    </w:p>
    <w:p w14:paraId="1FB9BB60" w14:textId="77777777" w:rsidR="000167D0" w:rsidRPr="00D50DBC" w:rsidRDefault="000167D0" w:rsidP="000167D0">
      <w:pPr>
        <w:pStyle w:val="Normal1"/>
        <w:spacing w:before="20"/>
        <w:jc w:val="both"/>
        <w:rPr>
          <w:rFonts w:ascii="Arial" w:eastAsia="Arial" w:hAnsi="Arial" w:cs="Arial"/>
          <w:sz w:val="16"/>
          <w:szCs w:val="16"/>
        </w:rPr>
      </w:pPr>
      <w:r w:rsidRPr="00D50DBC">
        <w:rPr>
          <w:rFonts w:ascii="Arial" w:eastAsia="Arial" w:hAnsi="Arial" w:cs="Arial"/>
          <w:sz w:val="16"/>
          <w:szCs w:val="16"/>
        </w:rPr>
        <w:lastRenderedPageBreak/>
        <w:t>Revisó: ${</w:t>
      </w:r>
      <w:proofErr w:type="spellStart"/>
      <w:r w:rsidRPr="00D50DBC">
        <w:rPr>
          <w:rFonts w:ascii="Arial" w:eastAsia="Arial" w:hAnsi="Arial" w:cs="Arial"/>
          <w:sz w:val="16"/>
          <w:szCs w:val="16"/>
        </w:rPr>
        <w:t>nombre_reviso_contratista</w:t>
      </w:r>
      <w:proofErr w:type="spellEnd"/>
      <w:r w:rsidRPr="00D50DBC">
        <w:rPr>
          <w:rFonts w:ascii="Arial" w:eastAsia="Arial" w:hAnsi="Arial" w:cs="Arial"/>
          <w:sz w:val="16"/>
          <w:szCs w:val="16"/>
        </w:rPr>
        <w:t xml:space="preserve">} - contratista </w:t>
      </w:r>
    </w:p>
    <w:p w14:paraId="3765F258" w14:textId="33560A99" w:rsidR="1D9ADF21" w:rsidRPr="00D50DBC" w:rsidRDefault="000167D0" w:rsidP="000167D0">
      <w:pPr>
        <w:pStyle w:val="Normal1"/>
        <w:spacing w:before="20"/>
        <w:jc w:val="both"/>
        <w:rPr>
          <w:rFonts w:ascii="Arial" w:eastAsia="Arial" w:hAnsi="Arial" w:cs="Arial"/>
          <w:sz w:val="16"/>
          <w:szCs w:val="16"/>
        </w:rPr>
      </w:pPr>
      <w:r w:rsidRPr="00D50DBC">
        <w:rPr>
          <w:rFonts w:ascii="Arial" w:eastAsia="Arial" w:hAnsi="Arial" w:cs="Arial"/>
          <w:sz w:val="16"/>
          <w:szCs w:val="16"/>
        </w:rPr>
        <w:t>Revisó y aprobó: ${</w:t>
      </w:r>
      <w:proofErr w:type="spellStart"/>
      <w:r w:rsidRPr="00D50DBC">
        <w:rPr>
          <w:rFonts w:ascii="Arial" w:eastAsia="Arial" w:hAnsi="Arial" w:cs="Arial"/>
          <w:sz w:val="16"/>
          <w:szCs w:val="16"/>
        </w:rPr>
        <w:t>reviso_aprobo_nombre</w:t>
      </w:r>
      <w:proofErr w:type="spellEnd"/>
      <w:r w:rsidRPr="00D50DBC">
        <w:rPr>
          <w:rFonts w:ascii="Arial" w:eastAsia="Arial" w:hAnsi="Arial" w:cs="Arial"/>
          <w:sz w:val="16"/>
          <w:szCs w:val="16"/>
        </w:rPr>
        <w:t>} – ${</w:t>
      </w:r>
      <w:proofErr w:type="spellStart"/>
      <w:r w:rsidRPr="00D50DBC">
        <w:rPr>
          <w:rFonts w:ascii="Arial" w:eastAsia="Arial" w:hAnsi="Arial" w:cs="Arial"/>
          <w:sz w:val="16"/>
          <w:szCs w:val="16"/>
        </w:rPr>
        <w:t>reviso_aprobo_cargo</w:t>
      </w:r>
      <w:proofErr w:type="spellEnd"/>
      <w:r w:rsidRPr="00D50DBC">
        <w:rPr>
          <w:rFonts w:ascii="Arial" w:eastAsia="Arial" w:hAnsi="Arial" w:cs="Arial"/>
          <w:sz w:val="16"/>
          <w:szCs w:val="16"/>
        </w:rPr>
        <w:t>}</w:t>
      </w:r>
    </w:p>
    <w:p w14:paraId="206628F0" w14:textId="0E9FB580" w:rsidR="0EA125F1" w:rsidRPr="00D50DBC" w:rsidRDefault="0EA125F1" w:rsidP="0EA125F1">
      <w:pPr>
        <w:pStyle w:val="Normal1"/>
        <w:spacing w:before="20"/>
        <w:jc w:val="both"/>
        <w:rPr>
          <w:rFonts w:ascii="Arial" w:eastAsia="Arial" w:hAnsi="Arial" w:cs="Arial"/>
          <w:sz w:val="16"/>
          <w:szCs w:val="16"/>
        </w:rPr>
      </w:pPr>
    </w:p>
    <w:p w14:paraId="141C546D" w14:textId="22810C97" w:rsidR="5885EE2C" w:rsidRPr="00D50DBC" w:rsidRDefault="5885EE2C" w:rsidP="5885EE2C">
      <w:pPr>
        <w:pStyle w:val="Normal2"/>
        <w:spacing w:before="20"/>
        <w:jc w:val="both"/>
        <w:rPr>
          <w:rFonts w:ascii="Arial" w:eastAsia="Arial" w:hAnsi="Arial" w:cs="Arial"/>
          <w:sz w:val="16"/>
          <w:szCs w:val="16"/>
        </w:rPr>
      </w:pPr>
    </w:p>
    <w:bookmarkEnd w:id="0"/>
    <w:p w14:paraId="01B1ADDA" w14:textId="0B92C9EA" w:rsidR="00A62A67" w:rsidRPr="00D50DBC" w:rsidRDefault="00A62A67" w:rsidP="00AA2140">
      <w:pPr>
        <w:jc w:val="both"/>
        <w:rPr>
          <w:rFonts w:ascii="Arial" w:hAnsi="Arial"/>
          <w:sz w:val="16"/>
        </w:rPr>
      </w:pPr>
    </w:p>
    <w:sectPr w:rsidR="00A62A67" w:rsidRPr="00D50DBC">
      <w:headerReference w:type="default" r:id="rId7"/>
      <w:footerReference w:type="default" r:id="rId8"/>
      <w:pgSz w:w="12240" w:h="20160" w:code="5"/>
      <w:pgMar w:top="1695" w:right="1695" w:bottom="1275" w:left="1695" w:header="705" w:footer="135" w:gutter="0"/>
      <w:pgNumType w:start="1" w:chapSep="period"/>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DECEA" w14:textId="77777777" w:rsidR="009E0AD1" w:rsidRDefault="009E0AD1">
      <w:r>
        <w:separator/>
      </w:r>
    </w:p>
  </w:endnote>
  <w:endnote w:type="continuationSeparator" w:id="0">
    <w:p w14:paraId="62A61F00" w14:textId="77777777" w:rsidR="009E0AD1" w:rsidRDefault="009E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D1D38" w14:textId="77777777" w:rsidR="00A62A67" w:rsidRDefault="00A62A67">
    <w:pPr>
      <w:pBdr>
        <w:top w:val="nil"/>
        <w:left w:val="nil"/>
        <w:bottom w:val="nil"/>
        <w:right w:val="nil"/>
      </w:pBdr>
      <w:tabs>
        <w:tab w:val="center" w:pos="4419"/>
        <w:tab w:val="right" w:pos="8838"/>
      </w:tabs>
      <w:jc w:val="right"/>
      <w:rPr>
        <w:rFonts w:ascii="Arial Narrow" w:hAnsi="Arial Narrow"/>
        <w:color w:val="000000"/>
        <w:sz w:val="14"/>
      </w:rPr>
    </w:pPr>
  </w:p>
  <w:p w14:paraId="1726D8B8" w14:textId="77777777" w:rsidR="00A62A67" w:rsidRDefault="00A62A67">
    <w:pPr>
      <w:pBdr>
        <w:top w:val="nil"/>
        <w:left w:val="nil"/>
        <w:bottom w:val="nil"/>
        <w:right w:val="nil"/>
      </w:pBdr>
      <w:tabs>
        <w:tab w:val="center" w:pos="4419"/>
        <w:tab w:val="right" w:pos="8838"/>
      </w:tabs>
      <w:jc w:val="right"/>
      <w:rPr>
        <w:rFonts w:ascii="Arial Narrow" w:hAnsi="Arial Narrow"/>
        <w:color w:val="000000"/>
        <w:sz w:val="14"/>
      </w:rPr>
    </w:pPr>
  </w:p>
  <w:p w14:paraId="4854C97C"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Dirección: Calle. 6 N° 6 - 24, Alcaldía Fusagasugá - Cundinamarca</w:t>
    </w:r>
    <w:r>
      <w:rPr>
        <w:noProof/>
        <w:lang w:val="en-US" w:eastAsia="en-US"/>
      </w:rPr>
      <w:drawing>
        <wp:anchor distT="0" distB="0" distL="114300" distR="114300" simplePos="0" relativeHeight="251658240" behindDoc="0" locked="0" layoutInCell="1" allowOverlap="1" wp14:anchorId="681D882B" wp14:editId="4FFDCC09">
          <wp:simplePos x="0" y="0"/>
          <wp:positionH relativeFrom="column">
            <wp:posOffset>0</wp:posOffset>
          </wp:positionH>
          <wp:positionV relativeFrom="paragraph">
            <wp:posOffset>-23495</wp:posOffset>
          </wp:positionV>
          <wp:extent cx="1440815" cy="725805"/>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1440815" cy="725805"/>
                  </a:xfrm>
                  <a:prstGeom prst="rect">
                    <a:avLst/>
                  </a:prstGeom>
                </pic:spPr>
              </pic:pic>
            </a:graphicData>
          </a:graphic>
        </wp:anchor>
      </w:drawing>
    </w:r>
  </w:p>
  <w:p w14:paraId="77C26E30" w14:textId="77777777" w:rsidR="00A62A67" w:rsidRDefault="009E0AD1">
    <w:pPr>
      <w:pBdr>
        <w:top w:val="nil"/>
        <w:left w:val="nil"/>
        <w:bottom w:val="nil"/>
        <w:right w:val="nil"/>
      </w:pBdr>
      <w:tabs>
        <w:tab w:val="left" w:pos="733"/>
        <w:tab w:val="center" w:pos="4419"/>
        <w:tab w:val="right" w:pos="8838"/>
        <w:tab w:val="right" w:pos="8931"/>
      </w:tabs>
      <w:ind w:left="708"/>
      <w:jc w:val="right"/>
      <w:rPr>
        <w:rFonts w:ascii="Arial Narrow" w:hAnsi="Arial Narrow"/>
        <w:b/>
        <w:i/>
        <w:color w:val="0000FF"/>
        <w:sz w:val="14"/>
        <w:u w:val="single"/>
      </w:rPr>
    </w:pPr>
    <w:hyperlink r:id="rId2" w:history="1">
      <w:r w:rsidR="00382003">
        <w:rPr>
          <w:rFonts w:ascii="Arial Narrow" w:hAnsi="Arial Narrow"/>
          <w:b/>
          <w:i/>
          <w:color w:val="0000FF"/>
          <w:sz w:val="14"/>
          <w:u w:val="single"/>
        </w:rPr>
        <w:t>www.fusagasuga-cundinamarca.gov.co</w:t>
      </w:r>
    </w:hyperlink>
  </w:p>
  <w:p w14:paraId="790A26F6" w14:textId="77777777" w:rsidR="00A62A67" w:rsidRDefault="009E0AD1">
    <w:pPr>
      <w:pBdr>
        <w:top w:val="nil"/>
        <w:left w:val="nil"/>
        <w:bottom w:val="nil"/>
        <w:right w:val="nil"/>
      </w:pBdr>
      <w:tabs>
        <w:tab w:val="left" w:pos="733"/>
        <w:tab w:val="center" w:pos="4419"/>
        <w:tab w:val="right" w:pos="8838"/>
        <w:tab w:val="right" w:pos="8931"/>
      </w:tabs>
      <w:jc w:val="right"/>
      <w:rPr>
        <w:rFonts w:ascii="Arial Narrow" w:hAnsi="Arial Narrow"/>
        <w:b/>
        <w:i/>
        <w:color w:val="000000"/>
        <w:sz w:val="14"/>
      </w:rPr>
    </w:pPr>
    <w:hyperlink r:id="rId3" w:history="1">
      <w:r w:rsidR="00382003">
        <w:rPr>
          <w:rFonts w:ascii="Arial Narrow" w:hAnsi="Arial Narrow"/>
          <w:b/>
          <w:i/>
          <w:color w:val="0000FF"/>
          <w:sz w:val="14"/>
          <w:u w:val="single"/>
        </w:rPr>
        <w:t>atencionalciudadano@fusagasuga-cundinamarca.gov.co</w:t>
      </w:r>
    </w:hyperlink>
  </w:p>
  <w:p w14:paraId="1585B191"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Teléfonos: 886 81 81 – Fax: 886 81 86</w:t>
    </w:r>
  </w:p>
  <w:p w14:paraId="44F9C771"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 xml:space="preserve">Línea gratuita: 01 8000 12 7070 </w:t>
    </w:r>
  </w:p>
  <w:p w14:paraId="3D6503A1" w14:textId="77777777" w:rsidR="00A62A67" w:rsidRDefault="00382003">
    <w:pPr>
      <w:jc w:val="right"/>
      <w:rPr>
        <w:rFonts w:ascii="Arial Narrow" w:hAnsi="Arial Narrow"/>
        <w:sz w:val="14"/>
      </w:rPr>
    </w:pPr>
    <w:r>
      <w:rPr>
        <w:rFonts w:ascii="Arial Narrow" w:hAnsi="Arial Narrow"/>
        <w:sz w:val="14"/>
      </w:rPr>
      <w:t>Código Postal: 252211</w:t>
    </w:r>
  </w:p>
  <w:p w14:paraId="67491F90" w14:textId="47B223CD" w:rsidR="00A62A67" w:rsidRDefault="00382003">
    <w:pPr>
      <w:jc w:val="right"/>
      <w:rPr>
        <w:sz w:val="14"/>
      </w:rPr>
    </w:pPr>
    <w:r>
      <w:rPr>
        <w:rFonts w:ascii="Arial Narrow" w:hAnsi="Arial Narrow"/>
        <w:b/>
        <w:sz w:val="14"/>
      </w:rPr>
      <w:t xml:space="preserve">Página </w:t>
    </w:r>
    <w:r>
      <w:rPr>
        <w:rFonts w:ascii="Arial Narrow" w:hAnsi="Arial Narrow"/>
        <w:b/>
        <w:sz w:val="14"/>
      </w:rPr>
      <w:fldChar w:fldCharType="begin"/>
    </w:r>
    <w:r>
      <w:rPr>
        <w:rFonts w:ascii="Arial Narrow" w:hAnsi="Arial Narrow"/>
        <w:b/>
        <w:sz w:val="14"/>
      </w:rPr>
      <w:instrText>PAGE</w:instrText>
    </w:r>
    <w:r>
      <w:rPr>
        <w:rFonts w:ascii="Arial Narrow" w:hAnsi="Arial Narrow"/>
        <w:b/>
        <w:sz w:val="14"/>
      </w:rPr>
      <w:fldChar w:fldCharType="separate"/>
    </w:r>
    <w:r w:rsidR="00D50DBC">
      <w:rPr>
        <w:rFonts w:ascii="Arial Narrow" w:hAnsi="Arial Narrow"/>
        <w:b/>
        <w:noProof/>
        <w:sz w:val="14"/>
      </w:rPr>
      <w:t>5</w:t>
    </w:r>
    <w:r>
      <w:rPr>
        <w:rFonts w:ascii="Arial Narrow" w:hAnsi="Arial Narrow"/>
        <w:b/>
        <w:sz w:val="14"/>
      </w:rPr>
      <w:fldChar w:fldCharType="end"/>
    </w:r>
    <w:r>
      <w:rPr>
        <w:rFonts w:ascii="Arial Narrow" w:hAnsi="Arial Narrow"/>
        <w:b/>
        <w:sz w:val="14"/>
      </w:rPr>
      <w:t xml:space="preserve"> de </w:t>
    </w:r>
    <w:r>
      <w:rPr>
        <w:rFonts w:ascii="Arial Narrow" w:hAnsi="Arial Narrow"/>
        <w:b/>
        <w:sz w:val="14"/>
      </w:rPr>
      <w:fldChar w:fldCharType="begin"/>
    </w:r>
    <w:r>
      <w:rPr>
        <w:rFonts w:ascii="Arial Narrow" w:hAnsi="Arial Narrow"/>
        <w:b/>
        <w:sz w:val="14"/>
      </w:rPr>
      <w:instrText>NUMPAGES</w:instrText>
    </w:r>
    <w:r>
      <w:rPr>
        <w:rFonts w:ascii="Arial Narrow" w:hAnsi="Arial Narrow"/>
        <w:b/>
        <w:sz w:val="14"/>
      </w:rPr>
      <w:fldChar w:fldCharType="separate"/>
    </w:r>
    <w:r w:rsidR="00D50DBC">
      <w:rPr>
        <w:rFonts w:ascii="Arial Narrow" w:hAnsi="Arial Narrow"/>
        <w:b/>
        <w:noProof/>
        <w:sz w:val="14"/>
      </w:rPr>
      <w:t>5</w:t>
    </w:r>
    <w:r>
      <w:rPr>
        <w:rFonts w:ascii="Arial Narrow" w:hAnsi="Arial Narrow"/>
        <w:b/>
        <w:sz w:val="14"/>
      </w:rPr>
      <w:fldChar w:fldCharType="end"/>
    </w:r>
  </w:p>
  <w:p w14:paraId="7B4CBC9D" w14:textId="77777777" w:rsidR="00A62A67" w:rsidRDefault="00A62A67">
    <w:pPr>
      <w:jc w:val="right"/>
      <w:rPr>
        <w:sz w:val="14"/>
      </w:rPr>
    </w:pPr>
  </w:p>
  <w:p w14:paraId="49ECC30D" w14:textId="77777777" w:rsidR="00A62A67" w:rsidRDefault="00A62A67">
    <w:pPr>
      <w:jc w:val="right"/>
      <w:rPr>
        <w:sz w:val="14"/>
      </w:rPr>
    </w:pPr>
  </w:p>
  <w:p w14:paraId="1B03B8D8" w14:textId="77777777" w:rsidR="00A62A67" w:rsidRDefault="00A62A67">
    <w:pPr>
      <w:jc w:val="right"/>
      <w:rPr>
        <w:sz w:val="14"/>
      </w:rPr>
    </w:pPr>
  </w:p>
  <w:p w14:paraId="78D6F841" w14:textId="77777777" w:rsidR="00A62A67" w:rsidRDefault="00A62A67">
    <w:pPr>
      <w:jc w:val="right"/>
      <w:rPr>
        <w:sz w:val="14"/>
      </w:rPr>
    </w:pPr>
  </w:p>
  <w:p w14:paraId="69FEC1E2" w14:textId="77777777" w:rsidR="00A62A67" w:rsidRDefault="00A62A67">
    <w:pPr>
      <w:jc w:val="right"/>
      <w:rPr>
        <w:sz w:val="14"/>
      </w:rPr>
    </w:pPr>
  </w:p>
  <w:p w14:paraId="6D60E712" w14:textId="77777777" w:rsidR="00A62A67" w:rsidRDefault="00A62A67">
    <w:pPr>
      <w:jc w:val="right"/>
      <w:rPr>
        <w:sz w:val="14"/>
      </w:rPr>
    </w:pPr>
  </w:p>
  <w:p w14:paraId="398D93ED" w14:textId="77777777" w:rsidR="00A62A67" w:rsidRDefault="00A62A67">
    <w:pPr>
      <w:jc w:val="right"/>
      <w:rPr>
        <w:sz w:val="14"/>
      </w:rPr>
    </w:pPr>
  </w:p>
  <w:p w14:paraId="0770C4A4" w14:textId="77777777" w:rsidR="00A62A67" w:rsidRDefault="00A62A67">
    <w:pPr>
      <w:jc w:val="right"/>
      <w:rPr>
        <w:sz w:val="14"/>
      </w:rPr>
    </w:pPr>
  </w:p>
  <w:p w14:paraId="0C347D61" w14:textId="77777777" w:rsidR="00A62A67" w:rsidRDefault="00A62A67">
    <w:pPr>
      <w:jc w:val="right"/>
      <w:rPr>
        <w:sz w:val="14"/>
      </w:rPr>
    </w:pPr>
  </w:p>
  <w:p w14:paraId="54BAB5BF" w14:textId="77777777" w:rsidR="00A62A67" w:rsidRDefault="00A62A67">
    <w:pPr>
      <w:jc w:val="right"/>
      <w:rPr>
        <w:sz w:val="14"/>
      </w:rPr>
    </w:pPr>
  </w:p>
  <w:p w14:paraId="19DB537B" w14:textId="77777777" w:rsidR="00A62A67" w:rsidRDefault="00A62A67">
    <w:pPr>
      <w:jc w:val="right"/>
      <w:rPr>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9DEAE" w14:textId="77777777" w:rsidR="009E0AD1" w:rsidRDefault="009E0AD1">
      <w:r>
        <w:separator/>
      </w:r>
    </w:p>
  </w:footnote>
  <w:footnote w:type="continuationSeparator" w:id="0">
    <w:p w14:paraId="0A498DCC" w14:textId="77777777" w:rsidR="009E0AD1" w:rsidRDefault="009E0A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4E42" w14:textId="77777777" w:rsidR="00A62A67" w:rsidRDefault="00382003">
    <w:pPr>
      <w:pBdr>
        <w:top w:val="nil"/>
        <w:left w:val="nil"/>
        <w:bottom w:val="nil"/>
        <w:right w:val="nil"/>
      </w:pBdr>
      <w:tabs>
        <w:tab w:val="center" w:pos="4419"/>
        <w:tab w:val="right" w:pos="8838"/>
      </w:tabs>
      <w:jc w:val="center"/>
      <w:rPr>
        <w:color w:val="000000"/>
      </w:rPr>
    </w:pPr>
    <w:r>
      <w:rPr>
        <w:noProof/>
        <w:lang w:val="en-US" w:eastAsia="en-US"/>
      </w:rPr>
      <w:drawing>
        <wp:inline distT="0" distB="0" distL="0" distR="0" wp14:anchorId="2A364311" wp14:editId="7EB7B166">
          <wp:extent cx="3410585" cy="9048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3410585" cy="9048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65786"/>
    <w:multiLevelType w:val="hybridMultilevel"/>
    <w:tmpl w:val="C3E233E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7"/>
    <w:rsid w:val="00014BD2"/>
    <w:rsid w:val="000167D0"/>
    <w:rsid w:val="0004393A"/>
    <w:rsid w:val="00054DDC"/>
    <w:rsid w:val="001B50FA"/>
    <w:rsid w:val="001F41BA"/>
    <w:rsid w:val="003061F0"/>
    <w:rsid w:val="00382003"/>
    <w:rsid w:val="00494B40"/>
    <w:rsid w:val="006827CF"/>
    <w:rsid w:val="006A49B3"/>
    <w:rsid w:val="00735C30"/>
    <w:rsid w:val="0075276F"/>
    <w:rsid w:val="00794A63"/>
    <w:rsid w:val="008636E6"/>
    <w:rsid w:val="008C1D9D"/>
    <w:rsid w:val="009A18B4"/>
    <w:rsid w:val="009E0AD1"/>
    <w:rsid w:val="00A62A67"/>
    <w:rsid w:val="00AA2140"/>
    <w:rsid w:val="00B12063"/>
    <w:rsid w:val="00BC6395"/>
    <w:rsid w:val="00C41012"/>
    <w:rsid w:val="00CB497C"/>
    <w:rsid w:val="00CF5441"/>
    <w:rsid w:val="00D25B6E"/>
    <w:rsid w:val="00D50DBC"/>
    <w:rsid w:val="00E90582"/>
    <w:rsid w:val="00E96E80"/>
    <w:rsid w:val="00EA3F4C"/>
    <w:rsid w:val="00F8273D"/>
    <w:rsid w:val="047ABBFC"/>
    <w:rsid w:val="04C71AB1"/>
    <w:rsid w:val="081B55EA"/>
    <w:rsid w:val="0A928457"/>
    <w:rsid w:val="0BDDC073"/>
    <w:rsid w:val="0C8DBB67"/>
    <w:rsid w:val="0D0ABF60"/>
    <w:rsid w:val="0D384AB0"/>
    <w:rsid w:val="0E298BC8"/>
    <w:rsid w:val="0E6A1A8B"/>
    <w:rsid w:val="0EA125F1"/>
    <w:rsid w:val="0EFC38D8"/>
    <w:rsid w:val="1615D43D"/>
    <w:rsid w:val="17E57465"/>
    <w:rsid w:val="1A3EEB7F"/>
    <w:rsid w:val="1CD72494"/>
    <w:rsid w:val="1D9ADF21"/>
    <w:rsid w:val="20010C80"/>
    <w:rsid w:val="21B92CA6"/>
    <w:rsid w:val="21E87F17"/>
    <w:rsid w:val="2751B663"/>
    <w:rsid w:val="2852EA49"/>
    <w:rsid w:val="2D949D91"/>
    <w:rsid w:val="30E47B6C"/>
    <w:rsid w:val="38076E10"/>
    <w:rsid w:val="4092438A"/>
    <w:rsid w:val="40E4F339"/>
    <w:rsid w:val="43E0AA41"/>
    <w:rsid w:val="43F542B1"/>
    <w:rsid w:val="467B81D5"/>
    <w:rsid w:val="47FF43CA"/>
    <w:rsid w:val="48DC392B"/>
    <w:rsid w:val="4D4A6CD9"/>
    <w:rsid w:val="4D9681F1"/>
    <w:rsid w:val="525CF70B"/>
    <w:rsid w:val="5885EE2C"/>
    <w:rsid w:val="58CD93E0"/>
    <w:rsid w:val="59A4D9C4"/>
    <w:rsid w:val="5C105385"/>
    <w:rsid w:val="62C3DEDD"/>
    <w:rsid w:val="6373D9D1"/>
    <w:rsid w:val="6604D4AE"/>
    <w:rsid w:val="6A51D025"/>
    <w:rsid w:val="75EFF701"/>
    <w:rsid w:val="7F08442E"/>
    <w:rsid w:val="7F7DFB1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3EA8"/>
  <w15:docId w15:val="{3161AF61-71B8-429E-BA94-00AE7E6B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tabs>
        <w:tab w:val="left" w:pos="720"/>
      </w:tabs>
      <w:suppressAutoHyphens/>
      <w:outlineLvl w:val="0"/>
    </w:pPr>
    <w:rPr>
      <w:b/>
      <w:lang w:val="es-ES" w:eastAsia="es-ES"/>
    </w:rPr>
  </w:style>
  <w:style w:type="paragraph" w:styleId="Ttulo2">
    <w:name w:val="heading 2"/>
    <w:basedOn w:val="Normal"/>
    <w:next w:val="Normal"/>
    <w:link w:val="Ttulo2Car"/>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rPr>
  </w:style>
  <w:style w:type="paragraph" w:styleId="Prrafodelista">
    <w:name w:val="List Paragraph"/>
    <w:basedOn w:val="Normal"/>
    <w:link w:val="PrrafodelistaCar"/>
    <w:qFormat/>
    <w:pPr>
      <w:ind w:left="720"/>
    </w:p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deglobo">
    <w:name w:val="Balloon Text"/>
    <w:basedOn w:val="Normal"/>
    <w:link w:val="TextodegloboCar"/>
    <w:rPr>
      <w:rFonts w:ascii="Tahoma" w:hAnsi="Tahoma"/>
      <w:sz w:val="16"/>
    </w:rPr>
  </w:style>
  <w:style w:type="paragraph" w:styleId="NormalWeb">
    <w:name w:val="Normal (Web)"/>
    <w:basedOn w:val="Normal"/>
    <w:pPr>
      <w:spacing w:before="100" w:beforeAutospacing="1" w:after="100" w:afterAutospacing="1"/>
    </w:pPr>
  </w:style>
  <w:style w:type="paragraph" w:styleId="Sinespaciado">
    <w:name w:val="No Spacing"/>
    <w:link w:val="SinespaciadoCar"/>
    <w:qFormat/>
    <w:rPr>
      <w:rFonts w:ascii="Calibri" w:hAnsi="Calibri"/>
    </w:rPr>
  </w:style>
  <w:style w:type="paragraph" w:customStyle="1" w:styleId="ecxmsonormal">
    <w:name w:val="ecxmsonormal"/>
    <w:basedOn w:val="Normal"/>
    <w:pPr>
      <w:spacing w:before="100" w:beforeAutospacing="1" w:after="100" w:afterAutospacing="1"/>
    </w:pPr>
  </w:style>
  <w:style w:type="paragraph" w:customStyle="1" w:styleId="ecxmsobodytext">
    <w:name w:val="ecxmsobodytext"/>
    <w:basedOn w:val="Normal"/>
    <w:pPr>
      <w:spacing w:before="100" w:beforeAutospacing="1" w:after="100" w:afterAutospacing="1"/>
    </w:pPr>
    <w:rPr>
      <w:rFonts w:ascii="Calibri" w:hAnsi="Calibri"/>
      <w:lang w:val="es-ES" w:eastAsia="es-ES"/>
    </w:rPr>
  </w:style>
  <w:style w:type="paragraph" w:customStyle="1" w:styleId="ecxmsolistcxspmiddle">
    <w:name w:val="ecxmsolistcxspmiddle"/>
    <w:basedOn w:val="Normal"/>
    <w:pPr>
      <w:spacing w:before="100" w:beforeAutospacing="1" w:after="100" w:afterAutospacing="1"/>
    </w:pPr>
    <w:rPr>
      <w:rFonts w:ascii="Calibri" w:hAnsi="Calibri"/>
      <w:lang w:val="es-ES" w:eastAsia="es-ES"/>
    </w:rPr>
  </w:style>
  <w:style w:type="paragraph" w:customStyle="1" w:styleId="ecxmsolistcxsplast">
    <w:name w:val="ecxmsolistcxsplast"/>
    <w:basedOn w:val="Normal"/>
    <w:pPr>
      <w:spacing w:before="100" w:beforeAutospacing="1" w:after="100" w:afterAutospacing="1"/>
    </w:pPr>
    <w:rPr>
      <w:rFonts w:ascii="Calibri" w:hAnsi="Calibri"/>
      <w:lang w:val="es-ES" w:eastAsia="es-ES"/>
    </w:rPr>
  </w:style>
  <w:style w:type="paragraph" w:customStyle="1" w:styleId="ecxmsobodytextfirstindent2">
    <w:name w:val="ecxmsobodytextfirstindent2"/>
    <w:basedOn w:val="Normal"/>
    <w:pPr>
      <w:spacing w:before="100" w:beforeAutospacing="1" w:after="100" w:afterAutospacing="1"/>
    </w:pPr>
    <w:rPr>
      <w:rFonts w:ascii="Calibri" w:hAnsi="Calibri"/>
      <w:lang w:val="es-ES" w:eastAsia="es-ES"/>
    </w:rPr>
  </w:style>
  <w:style w:type="paragraph" w:customStyle="1" w:styleId="ecxyiv587511369msonormal">
    <w:name w:val="ecxyiv587511369msonormal"/>
    <w:basedOn w:val="Normal"/>
    <w:pPr>
      <w:spacing w:before="100" w:beforeAutospacing="1" w:after="100" w:afterAutospacing="1"/>
    </w:pPr>
    <w:rPr>
      <w:rFonts w:ascii="Calibri" w:hAnsi="Calibri"/>
      <w:lang w:val="es-ES" w:eastAsia="es-ES"/>
    </w:rPr>
  </w:style>
  <w:style w:type="paragraph" w:styleId="Textoindependiente">
    <w:name w:val="Body Text"/>
    <w:basedOn w:val="Normal"/>
    <w:link w:val="TextoindependienteCar"/>
    <w:pPr>
      <w:jc w:val="both"/>
    </w:pPr>
    <w:rPr>
      <w:rFonts w:ascii="Verdana" w:hAnsi="Verdana"/>
      <w:sz w:val="22"/>
      <w:lang w:val="es-ES" w:eastAsia="es-ES"/>
    </w:rPr>
  </w:style>
  <w:style w:type="paragraph" w:customStyle="1" w:styleId="Default">
    <w:name w:val="Default"/>
    <w:rPr>
      <w:rFonts w:ascii="Calibri" w:hAnsi="Calibri"/>
    </w:rPr>
  </w:style>
  <w:style w:type="paragraph" w:styleId="Sangradetextonormal">
    <w:name w:val="Body Text Indent"/>
    <w:basedOn w:val="Normal"/>
    <w:link w:val="SangradetextonormalCar"/>
    <w:pPr>
      <w:spacing w:after="120"/>
      <w:ind w:left="283"/>
    </w:pPr>
    <w:rPr>
      <w:lang w:val="es-ES" w:eastAsia="es-ES"/>
    </w:rPr>
  </w:style>
  <w:style w:type="paragraph" w:styleId="Textoindependiente2">
    <w:name w:val="Body Text 2"/>
    <w:basedOn w:val="Normal"/>
    <w:link w:val="Textoindependiente2Car"/>
    <w:semiHidden/>
    <w:pPr>
      <w:spacing w:after="120" w:line="480" w:lineRule="auto"/>
    </w:pPr>
    <w:rPr>
      <w:lang w:val="es-ES" w:eastAsia="es-ES"/>
    </w:rPr>
  </w:style>
  <w:style w:type="paragraph" w:styleId="Lista">
    <w:name w:val="List"/>
    <w:basedOn w:val="Normal"/>
    <w:pPr>
      <w:ind w:left="283" w:hanging="283"/>
    </w:pPr>
    <w:rPr>
      <w:lang w:val="es-ES" w:eastAsia="es-ES"/>
    </w:rPr>
  </w:style>
  <w:style w:type="paragraph" w:customStyle="1" w:styleId="WW-Listaconvietas">
    <w:name w:val="WW-Lista con viñetas"/>
    <w:basedOn w:val="Normal"/>
    <w:pPr>
      <w:suppressAutoHyphens/>
      <w:ind w:left="360" w:hanging="360"/>
      <w:jc w:val="both"/>
    </w:pPr>
    <w:rPr>
      <w:lang w:val="es-ES" w:eastAsia="es-ES"/>
    </w:rPr>
  </w:style>
  <w:style w:type="paragraph" w:customStyle="1" w:styleId="WW-Textoindependiente2">
    <w:name w:val="WW-Texto independiente 2"/>
    <w:basedOn w:val="Normal"/>
    <w:pPr>
      <w:suppressAutoHyphens/>
    </w:pPr>
    <w:rPr>
      <w:lang w:val="es-ES" w:eastAsia="es-E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paragraph" w:styleId="Cierre">
    <w:name w:val="Closing"/>
    <w:basedOn w:val="Normal"/>
    <w:link w:val="CierreCar"/>
    <w:pPr>
      <w:ind w:left="4252"/>
    </w:pPr>
    <w:rPr>
      <w:lang w:val="es-ES" w:eastAsia="es-ES"/>
    </w:rPr>
  </w:style>
  <w:style w:type="paragraph" w:customStyle="1" w:styleId="ecxdefault">
    <w:name w:val="ecxdefault"/>
    <w:basedOn w:val="Normal"/>
    <w:pPr>
      <w:spacing w:before="100" w:beforeAutospacing="1" w:after="100" w:afterAutospacing="1"/>
    </w:pPr>
    <w:rPr>
      <w:lang w:val="es-ES" w:eastAsia="es-ES"/>
    </w:rPr>
  </w:style>
  <w:style w:type="paragraph" w:customStyle="1" w:styleId="NormalLatinaArial">
    <w:name w:val="Normal + (Latina) Arial"/>
    <w:basedOn w:val="Normal"/>
    <w:pPr>
      <w:jc w:val="both"/>
    </w:pPr>
    <w:rPr>
      <w:rFonts w:ascii="Arial" w:hAnsi="Arial"/>
      <w:b/>
      <w:lang w:val="es-ES" w:eastAsia="es-ES"/>
    </w:rPr>
  </w:style>
  <w:style w:type="paragraph" w:customStyle="1" w:styleId="ecxmsolistparagraph">
    <w:name w:val="ecxmsolistparagraph"/>
    <w:basedOn w:val="Normal"/>
    <w:pPr>
      <w:spacing w:before="100" w:beforeAutospacing="1" w:after="100" w:afterAutospacing="1"/>
    </w:pPr>
    <w:rPr>
      <w:lang w:val="es-ES" w:eastAsia="es-ES"/>
    </w:rPr>
  </w:style>
  <w:style w:type="paragraph" w:styleId="Subttulo">
    <w:name w:val="Subtitle"/>
    <w:basedOn w:val="Normal"/>
    <w:next w:val="Normal"/>
    <w:uiPriority w:val="11"/>
    <w:qFormat/>
    <w:pPr>
      <w:keepNext/>
      <w:keepLines/>
      <w:spacing w:before="360" w:after="80"/>
    </w:pPr>
    <w:rPr>
      <w:rFonts w:ascii="Georgia" w:hAnsi="Georgia"/>
      <w:i/>
      <w:color w:val="666666"/>
      <w:sz w:val="48"/>
    </w:rPr>
  </w:style>
  <w:style w:type="paragraph" w:styleId="Revisin">
    <w:name w:val="Revision"/>
    <w:hidden/>
    <w:semiHidden/>
  </w:style>
  <w:style w:type="paragraph" w:customStyle="1" w:styleId="Normal2">
    <w:name w:val="Normal2"/>
    <w:qFormat/>
  </w:style>
  <w:style w:type="paragraph" w:styleId="Textocomentario">
    <w:name w:val="annotation text"/>
    <w:basedOn w:val="Normal"/>
    <w:link w:val="TextocomentarioCar"/>
    <w:uiPriority w:val="99"/>
    <w:rPr>
      <w:sz w:val="20"/>
    </w:rPr>
  </w:style>
  <w:style w:type="paragraph" w:styleId="Asuntodelcomentario">
    <w:name w:val="annotation subject"/>
    <w:basedOn w:val="Textocomentario"/>
    <w:next w:val="Textocomentario"/>
    <w:link w:val="AsuntodelcomentarioCar"/>
    <w:semiHidden/>
    <w:rPr>
      <w:b/>
    </w:r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Ttulo2"/>
    <w:rPr>
      <w:b/>
      <w:i/>
    </w:rPr>
  </w:style>
  <w:style w:type="character" w:customStyle="1" w:styleId="SinespaciadoCar">
    <w:name w:val="Sin espaciado Car"/>
    <w:link w:val="Sinespaciado"/>
    <w:rPr>
      <w:rFonts w:ascii="Calibri" w:hAnsi="Calibri"/>
    </w:rPr>
  </w:style>
  <w:style w:type="character" w:customStyle="1" w:styleId="Ttulo1Car">
    <w:name w:val="Título 1 Car"/>
    <w:basedOn w:val="Fuentedeprrafopredeter"/>
    <w:link w:val="Ttulo1"/>
    <w:rPr>
      <w:b/>
      <w:lang w:val="es-ES" w:eastAsia="es-ES"/>
    </w:rPr>
  </w:style>
  <w:style w:type="character" w:customStyle="1" w:styleId="apple-style-span">
    <w:name w:val="apple-style-span"/>
  </w:style>
  <w:style w:type="character" w:customStyle="1" w:styleId="TextoindependienteCar">
    <w:name w:val="Texto independiente Car"/>
    <w:basedOn w:val="Fuentedeprrafopredeter"/>
    <w:link w:val="Textoindependiente"/>
    <w:rPr>
      <w:rFonts w:ascii="Verdana" w:hAnsi="Verdana"/>
      <w:sz w:val="22"/>
      <w:lang w:val="es-ES" w:eastAsia="es-ES"/>
    </w:rPr>
  </w:style>
  <w:style w:type="character" w:customStyle="1" w:styleId="apple-converted-space">
    <w:name w:val="apple-converted-space"/>
  </w:style>
  <w:style w:type="character" w:customStyle="1" w:styleId="SangradetextonormalCar">
    <w:name w:val="Sangría de texto normal Car"/>
    <w:basedOn w:val="Fuentedeprrafopredeter"/>
    <w:link w:val="Sangradetextonormal"/>
    <w:rPr>
      <w:lang w:val="es-ES" w:eastAsia="es-ES"/>
    </w:rPr>
  </w:style>
  <w:style w:type="character" w:customStyle="1" w:styleId="PrrafodelistaCar">
    <w:name w:val="Párrafo de lista Car"/>
    <w:link w:val="Prrafodelista"/>
  </w:style>
  <w:style w:type="character" w:styleId="Hipervnculovisitado">
    <w:name w:val="FollowedHyperlink"/>
    <w:semiHidden/>
    <w:rPr>
      <w:color w:val="800080"/>
      <w:u w:val="single"/>
    </w:rPr>
  </w:style>
  <w:style w:type="character" w:customStyle="1" w:styleId="Textoindependiente2Car">
    <w:name w:val="Texto independiente 2 Car"/>
    <w:basedOn w:val="Fuentedeprrafopredeter"/>
    <w:link w:val="Textoindependiente2"/>
    <w:semiHidden/>
    <w:rPr>
      <w:lang w:val="es-ES" w:eastAsia="es-ES"/>
    </w:rPr>
  </w:style>
  <w:style w:type="character" w:customStyle="1" w:styleId="EncabezadodemensajeCar">
    <w:name w:val="Encabezado de mensaje Car"/>
    <w:basedOn w:val="Fuentedeprrafopredeter"/>
    <w:link w:val="Encabezadodemensaje"/>
    <w:rPr>
      <w:rFonts w:ascii="Cambria" w:hAnsi="Cambria"/>
      <w:lang w:val="es-ES" w:eastAsia="es-ES"/>
    </w:rPr>
  </w:style>
  <w:style w:type="character" w:customStyle="1" w:styleId="MessageHeaderChar">
    <w:name w:val="Message Header Char"/>
    <w:semiHidden/>
    <w:rPr>
      <w:rFonts w:ascii="Cambria" w:hAnsi="Cambria"/>
      <w:sz w:val="24"/>
      <w:shd w:val="pct20" w:color="auto" w:fill="auto"/>
      <w:lang w:val="es-ES" w:eastAsia="es-ES"/>
    </w:rPr>
  </w:style>
  <w:style w:type="character" w:customStyle="1" w:styleId="CierreCar">
    <w:name w:val="Cierre Car"/>
    <w:basedOn w:val="Fuentedeprrafopredeter"/>
    <w:link w:val="Cierre"/>
    <w:rPr>
      <w:lang w:val="es-ES" w:eastAsia="es-ES"/>
    </w:rPr>
  </w:style>
  <w:style w:type="character" w:customStyle="1" w:styleId="ClosingChar">
    <w:name w:val="Closing Char"/>
    <w:semiHidden/>
    <w:rPr>
      <w:rFonts w:ascii="Times New Roman" w:hAnsi="Times New Roman"/>
      <w:sz w:val="24"/>
      <w:lang w:val="es-ES" w:eastAsia="es-ES"/>
    </w:rPr>
  </w:style>
  <w:style w:type="character" w:customStyle="1" w:styleId="CarCar2">
    <w:name w:val="Car Car2"/>
    <w:rPr>
      <w:rFonts w:ascii="Cambria" w:hAnsi="Cambria"/>
      <w:sz w:val="24"/>
      <w:lang w:val="es-ES" w:eastAsia="es-ES" w:bidi="ar-SA"/>
    </w:rPr>
  </w:style>
  <w:style w:type="character" w:customStyle="1" w:styleId="CarCar1">
    <w:name w:val="Car Car1"/>
    <w:rPr>
      <w:sz w:val="24"/>
      <w:lang w:val="es-ES" w:eastAsia="es-ES" w:bidi="ar-SA"/>
    </w:rPr>
  </w:style>
  <w:style w:type="character" w:customStyle="1" w:styleId="CarCar21">
    <w:name w:val="Car Car21"/>
    <w:rPr>
      <w:rFonts w:ascii="Cambria" w:hAnsi="Cambria"/>
      <w:sz w:val="24"/>
      <w:lang w:val="es-ES" w:eastAsia="es-ES" w:bidi="ar-SA"/>
    </w:rPr>
  </w:style>
  <w:style w:type="character" w:customStyle="1" w:styleId="CarCar11">
    <w:name w:val="Car Car11"/>
    <w:rPr>
      <w:sz w:val="24"/>
      <w:lang w:val="es-ES" w:eastAsia="es-ES" w:bidi="ar-SA"/>
    </w:rPr>
  </w:style>
  <w:style w:type="character" w:customStyle="1" w:styleId="CarCar22">
    <w:name w:val="Car Car22"/>
    <w:rPr>
      <w:rFonts w:ascii="Cambria" w:hAnsi="Cambria"/>
      <w:sz w:val="24"/>
      <w:lang w:val="es-ES" w:eastAsia="es-ES" w:bidi="ar-SA"/>
    </w:rPr>
  </w:style>
  <w:style w:type="character" w:customStyle="1" w:styleId="CarCar12">
    <w:name w:val="Car Car12"/>
    <w:rPr>
      <w:sz w:val="24"/>
      <w:lang w:val="es-ES" w:eastAsia="es-ES" w:bidi="ar-SA"/>
    </w:rPr>
  </w:style>
  <w:style w:type="character" w:styleId="Refdecomentario">
    <w:name w:val="annotation reference"/>
    <w:basedOn w:val="Fuentedeprrafopredeter"/>
    <w:semiHidden/>
    <w:rPr>
      <w:sz w:val="16"/>
    </w:rPr>
  </w:style>
  <w:style w:type="character" w:customStyle="1" w:styleId="TextocomentarioCar">
    <w:name w:val="Texto comentario Car"/>
    <w:basedOn w:val="Fuentedeprrafopredeter"/>
    <w:link w:val="Textocomentario"/>
    <w:uiPriority w:val="99"/>
    <w:rPr>
      <w:sz w:val="20"/>
    </w:rPr>
  </w:style>
  <w:style w:type="character" w:customStyle="1" w:styleId="AsuntodelcomentarioCar">
    <w:name w:val="Asunto del comentario Car"/>
    <w:basedOn w:val="TextocomentarioCar"/>
    <w:link w:val="Asuntodelcomentario"/>
    <w:semiHidden/>
    <w:rPr>
      <w:b/>
      <w:sz w:val="20"/>
    </w:rPr>
  </w:style>
  <w:style w:type="character" w:customStyle="1" w:styleId="normaltextrun">
    <w:name w:val="normaltextrun"/>
    <w:basedOn w:val="Fuentedeprrafopredeter"/>
  </w:style>
  <w:style w:type="character" w:customStyle="1" w:styleId="eop">
    <w:name w:val="eop"/>
    <w:basedOn w:val="Fuentedeprrafopredete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NormalTable0">
    <w:name w:val="Normal Table0"/>
    <w:tblPr>
      <w:tblCellMar>
        <w:top w:w="0" w:type="dxa"/>
        <w:left w:w="0" w:type="dxa"/>
        <w:bottom w:w="0" w:type="dxa"/>
        <w:right w:w="0"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8">
    <w:name w:val="Table Grid 8"/>
    <w:basedOn w:val="Tablanormal"/>
    <w:rPr>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color w:val="FFFFFF"/>
      </w:rPr>
      <w:tblPr/>
      <w:tcPr>
        <w:shd w:val="solid" w:color="000080" w:fill="FFFFFF"/>
      </w:tcPr>
    </w:tblStylePr>
    <w:tblStylePr w:type="lastRow">
      <w:rPr>
        <w:b/>
        <w:color w:val="auto"/>
      </w:rPr>
    </w:tblStylePr>
    <w:tblStylePr w:type="lastCol">
      <w:rPr>
        <w:b/>
        <w:color w:val="auto"/>
      </w:rPr>
    </w:tblStylePr>
  </w:style>
  <w:style w:type="table" w:styleId="Tablaconcuadrcula7">
    <w:name w:val="Table Grid 7"/>
    <w:basedOn w:val="Tablanormal"/>
    <w:rPr>
      <w:b/>
      <w:sz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rPr>
      <w:tblPr/>
      <w:tcPr>
        <w:tcBorders>
          <w:bottom w:val="single" w:sz="12" w:space="0" w:color="000000"/>
        </w:tcBorders>
      </w:tcPr>
    </w:tblStylePr>
    <w:tblStylePr w:type="lastRow">
      <w:rPr>
        <w:b w:val="0"/>
      </w:rPr>
      <w:tblPr/>
      <w:tcPr>
        <w:tcBorders>
          <w:top w:val="single" w:sz="6" w:space="0" w:color="000000"/>
        </w:tcBorders>
      </w:tcPr>
    </w:tblStylePr>
    <w:tblStylePr w:type="firstCol">
      <w:rPr>
        <w:b w:val="0"/>
      </w:rPr>
    </w:tblStylePr>
    <w:tblStylePr w:type="lastCol">
      <w:rPr>
        <w:b w:val="0"/>
      </w:rPr>
    </w:tblStylePr>
    <w:tblStylePr w:type="nwCell">
      <w:tblPr/>
      <w:tcPr>
        <w:tcBorders>
          <w:tl2br w:val="single" w:sz="6" w:space="0" w:color="000000"/>
        </w:tcBorders>
      </w:tcPr>
    </w:tblStylePr>
  </w:style>
  <w:style w:type="table" w:styleId="Tabladecuadrcula6concolores">
    <w:name w:val="Grid Table 6 Colorful"/>
    <w:basedOn w:val="Tablanormal"/>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FCFCF" w:themeFill="text1" w:themeFillTint="30"/>
      </w:tcPr>
    </w:tblStylePr>
    <w:tblStylePr w:type="band1Horz">
      <w:tblPr/>
      <w:tcPr>
        <w:shd w:val="clear" w:color="auto" w:fill="CFCFCF" w:themeFill="text1" w:themeFillTint="30"/>
      </w:tcPr>
    </w:tblStyle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8636E6"/>
    <w:pPr>
      <w:spacing w:before="100" w:beforeAutospacing="1" w:after="100" w:afterAutospacing="1"/>
    </w:pPr>
    <w:rPr>
      <w:szCs w:val="24"/>
    </w:rPr>
  </w:style>
  <w:style w:type="paragraph" w:customStyle="1" w:styleId="Normal1">
    <w:name w:val="Normal1"/>
    <w:basedOn w:val="Normal"/>
    <w:uiPriority w:val="1"/>
    <w:qFormat/>
    <w:rsid w:val="5885E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atencionalciudadan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2070</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23</cp:revision>
  <dcterms:created xsi:type="dcterms:W3CDTF">2023-09-12T02:26:00Z</dcterms:created>
  <dcterms:modified xsi:type="dcterms:W3CDTF">2023-12-12T03:21:00Z</dcterms:modified>
</cp:coreProperties>
</file>