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METODOLOGÍA TÉCNICA Y CIENTÍFICA: WETLAND MONITOR CHILE</w:t>
      </w:r>
    </w:p>
    <w:p>
      <w:r>
        <w:t>Este documento describe de manera exhaustiva el marco metodológico, los algoritmos estadísticos y la base científica del sistema de monitoreo satelital avanzado aplicado a humedales.</w:t>
      </w:r>
    </w:p>
    <w:p>
      <w:pPr>
        <w:pStyle w:val="Heading1"/>
      </w:pPr>
      <w:r>
        <w:t>1. INFRAESTRUCTURA DE PROCESAMIENTO</w:t>
      </w:r>
    </w:p>
    <w:p>
      <w:r>
        <w:rPr>
          <w:b/>
        </w:rPr>
        <w:t>El software utiliza una arquitectura de borde para el análisis de Big Data Geoespacial:</w:t>
      </w:r>
    </w:p>
    <w:p>
      <w:pPr>
        <w:pStyle w:val="ListBullet"/>
      </w:pPr>
      <w:r>
        <w:t>Cloud Computing: Google Earth Engine (GEE) como motor de cómputo paralelo.</w:t>
      </w:r>
    </w:p>
    <w:p>
      <w:pPr>
        <w:pStyle w:val="ListBullet"/>
      </w:pPr>
      <w:r>
        <w:t>Sensores: Sentinel-2 Multispectral Instrument (MSI) nivel L2A (reflectancia de fondo de atmósfera).</w:t>
      </w:r>
    </w:p>
    <w:p>
      <w:pPr>
        <w:pStyle w:val="ListBullet"/>
      </w:pPr>
      <w:r>
        <w:t>Backend: FastAPI (Python 3.11) para orquestación de procesos asíncronos.</w:t>
      </w:r>
    </w:p>
    <w:p>
      <w:pPr>
        <w:pStyle w:val="ListBullet"/>
      </w:pPr>
      <w:r>
        <w:t>Resoluciones: Escala nativa de 10-20 metros por píxel.</w:t>
      </w:r>
    </w:p>
    <w:p>
      <w:pPr>
        <w:pStyle w:val="Heading1"/>
      </w:pPr>
      <w:r>
        <w:t>2. PREPROCESAMIENTO Y FILTRADO</w:t>
      </w:r>
    </w:p>
    <w:p>
      <w:r>
        <w:t>Para asegurar la integridad de las tendencias, el sistema aplica una cadena de limpieza automática:</w:t>
      </w:r>
    </w:p>
    <w:p>
      <w:pPr>
        <w:pStyle w:val="ListBullet"/>
      </w:pPr>
      <w:r>
        <w:rPr>
          <w:b/>
        </w:rPr>
        <w:t xml:space="preserve">Máscara de Nubes: </w:t>
      </w:r>
      <w:r>
        <w:t>Uso de la banda QA60 y filtrado recursivo por porcentaje de nubosidad (&lt;20%).</w:t>
      </w:r>
    </w:p>
    <w:p>
      <w:pPr>
        <w:pStyle w:val="ListBullet"/>
      </w:pPr>
      <w:r>
        <w:rPr>
          <w:b/>
        </w:rPr>
        <w:t xml:space="preserve">Geometría de Precisión: </w:t>
      </w:r>
      <w:r>
        <w:t>Normalización de coordenadas KML/KMZ a WGS-84 y simplificación de polígonos para compatibilidad con GEE.</w:t>
      </w:r>
    </w:p>
    <w:p>
      <w:pPr>
        <w:pStyle w:val="Heading1"/>
      </w:pPr>
      <w:r>
        <w:t>3. ALGORITMOS DE ÍNDICES ESPECTRALES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ÍNDICE</w:t>
            </w:r>
          </w:p>
        </w:tc>
        <w:tc>
          <w:tcPr>
            <w:tcW w:type="dxa" w:w="3120"/>
          </w:tcPr>
          <w:p>
            <w:r>
              <w:t>FÓRMULA</w:t>
            </w:r>
          </w:p>
        </w:tc>
        <w:tc>
          <w:tcPr>
            <w:tcW w:type="dxa" w:w="3120"/>
          </w:tcPr>
          <w:p>
            <w:r>
              <w:t>APLICACIÓN ECOLÓGICA</w:t>
            </w:r>
          </w:p>
        </w:tc>
      </w:tr>
      <w:tr>
        <w:tc>
          <w:tcPr>
            <w:tcW w:type="dxa" w:w="3120"/>
          </w:tcPr>
          <w:p>
            <w:r>
              <w:t>MNDWI</w:t>
            </w:r>
          </w:p>
        </w:tc>
        <w:tc>
          <w:tcPr>
            <w:tcW w:type="dxa" w:w="3120"/>
          </w:tcPr>
          <w:p>
            <w:r>
              <w:t>(Green - SWIR1) / (Green + SWIR1)</w:t>
            </w:r>
          </w:p>
        </w:tc>
        <w:tc>
          <w:tcPr>
            <w:tcW w:type="dxa" w:w="3120"/>
          </w:tcPr>
          <w:p>
            <w:r>
              <w:t>Detección de agua y humedad eliminando ruido de suelo.</w:t>
            </w:r>
          </w:p>
        </w:tc>
      </w:tr>
      <w:tr>
        <w:tc>
          <w:tcPr>
            <w:tcW w:type="dxa" w:w="3120"/>
          </w:tcPr>
          <w:p>
            <w:r>
              <w:t>NDRE</w:t>
            </w:r>
          </w:p>
        </w:tc>
        <w:tc>
          <w:tcPr>
            <w:tcW w:type="dxa" w:w="3120"/>
          </w:tcPr>
          <w:p>
            <w:r>
              <w:t>(NIR - RedEdge1) / (NIR + RedEdge1)</w:t>
            </w:r>
          </w:p>
        </w:tc>
        <w:tc>
          <w:tcPr>
            <w:tcW w:type="dxa" w:w="3120"/>
          </w:tcPr>
          <w:p>
            <w:r>
              <w:t>Salud vegetal basada en la banda Red Edge (clorofila).</w:t>
            </w:r>
          </w:p>
        </w:tc>
      </w:tr>
      <w:tr>
        <w:tc>
          <w:tcPr>
            <w:tcW w:type="dxa" w:w="3120"/>
          </w:tcPr>
          <w:p>
            <w:r>
              <w:t>NDCI</w:t>
            </w:r>
          </w:p>
        </w:tc>
        <w:tc>
          <w:tcPr>
            <w:tcW w:type="dxa" w:w="3120"/>
          </w:tcPr>
          <w:p>
            <w:r>
              <w:t>(RedEdge1 - Red) / (RedEdge1 + Red)</w:t>
            </w:r>
          </w:p>
        </w:tc>
        <w:tc>
          <w:tcPr>
            <w:tcW w:type="dxa" w:w="3120"/>
          </w:tcPr>
          <w:p>
            <w:r>
              <w:t>Cuantificación de clorofila-a en el agua (eutrofización).</w:t>
            </w:r>
          </w:p>
        </w:tc>
      </w:tr>
      <w:tr>
        <w:tc>
          <w:tcPr>
            <w:tcW w:type="dxa" w:w="3120"/>
          </w:tcPr>
          <w:p>
            <w:r>
              <w:t>SAVI</w:t>
            </w:r>
          </w:p>
        </w:tc>
        <w:tc>
          <w:tcPr>
            <w:tcW w:type="dxa" w:w="3120"/>
          </w:tcPr>
          <w:p>
            <w:r>
              <w:t>((NIR - Red) / (NIR + Red + 0.5)) * 1.5</w:t>
            </w:r>
          </w:p>
        </w:tc>
        <w:tc>
          <w:tcPr>
            <w:tcW w:type="dxa" w:w="3120"/>
          </w:tcPr>
          <w:p>
            <w:r>
              <w:t>Monitorización de vegetación con ajuste de brillo del suelo.</w:t>
            </w:r>
          </w:p>
        </w:tc>
      </w:tr>
      <w:tr>
        <w:tc>
          <w:tcPr>
            <w:tcW w:type="dxa" w:w="3120"/>
          </w:tcPr>
          <w:p>
            <w:r>
              <w:t>FAI</w:t>
            </w:r>
          </w:p>
        </w:tc>
        <w:tc>
          <w:tcPr>
            <w:tcW w:type="dxa" w:w="3120"/>
          </w:tcPr>
          <w:p>
            <w:r>
              <w:t>NIR - (Red + (SWIR1 - Red) * 0.177)</w:t>
            </w:r>
          </w:p>
        </w:tc>
        <w:tc>
          <w:tcPr>
            <w:tcW w:type="dxa" w:w="3120"/>
          </w:tcPr>
          <w:p>
            <w:r>
              <w:t>Detección de vegetación flotante y blooms algales.</w:t>
            </w:r>
          </w:p>
        </w:tc>
      </w:tr>
      <w:tr>
        <w:tc>
          <w:tcPr>
            <w:tcW w:type="dxa" w:w="3120"/>
          </w:tcPr>
          <w:p>
            <w:r>
              <w:t>NDSI</w:t>
            </w:r>
          </w:p>
        </w:tc>
        <w:tc>
          <w:tcPr>
            <w:tcW w:type="dxa" w:w="3120"/>
          </w:tcPr>
          <w:p>
            <w:r>
              <w:t>(Red - NIR) / (Red + NIR)</w:t>
            </w:r>
          </w:p>
        </w:tc>
        <w:tc>
          <w:tcPr>
            <w:tcW w:type="dxa" w:w="3120"/>
          </w:tcPr>
          <w:p>
            <w:r>
              <w:t>Identificación de costras salinas y salinidad superficial.</w:t>
            </w:r>
          </w:p>
        </w:tc>
      </w:tr>
      <w:tr>
        <w:tc>
          <w:tcPr>
            <w:tcW w:type="dxa" w:w="3120"/>
          </w:tcPr>
          <w:p>
            <w:r>
              <w:t>WRI</w:t>
            </w:r>
          </w:p>
        </w:tc>
        <w:tc>
          <w:tcPr>
            <w:tcW w:type="dxa" w:w="3120"/>
          </w:tcPr>
          <w:p>
            <w:r>
              <w:t>(Green + Red) / (NIR + SWIR1)</w:t>
            </w:r>
          </w:p>
        </w:tc>
        <w:tc>
          <w:tcPr>
            <w:tcW w:type="dxa" w:w="3120"/>
          </w:tcPr>
          <w:p>
            <w:r>
              <w:t>Ratio de agua para clasificación tierra/agua.</w:t>
            </w:r>
          </w:p>
        </w:tc>
      </w:tr>
    </w:tbl>
    <w:p>
      <w:pPr>
        <w:pStyle w:val="Heading1"/>
      </w:pPr>
      <w:r>
        <w:t>4. VALIDACIÓN ESTADÍSTICA ROBUSTA</w:t>
      </w:r>
    </w:p>
    <w:p>
      <w:r>
        <w:t>El sistema no utiliza promedios simples, sino métricas resistentes a anomalías:</w:t>
      </w:r>
    </w:p>
    <w:p>
      <w:pPr>
        <w:pStyle w:val="ListBullet"/>
      </w:pPr>
      <w:r>
        <w:rPr>
          <w:b/>
        </w:rPr>
        <w:t xml:space="preserve">Detección de Outliers (IQR): </w:t>
      </w:r>
      <w:r>
        <w:t>Identificación de valores espurios mediante el Rango Intercuartílico [Q1 - 1.5*IQR, Q3 + 1.5*IQR].</w:t>
      </w:r>
    </w:p>
    <w:p>
      <w:pPr>
        <w:pStyle w:val="ListBullet"/>
      </w:pPr>
      <w:r>
        <w:rPr>
          <w:b/>
        </w:rPr>
        <w:t xml:space="preserve">Amortiguación de Tendencias: </w:t>
      </w:r>
      <w:r>
        <w:t>Uso de un denominador de seguridad (ε=0.02) para evitar divisiones por cero o incrementos infinitos en zonas áridas.</w:t>
      </w:r>
    </w:p>
    <w:p>
      <w:pPr>
        <w:pStyle w:val="ListBullet"/>
      </w:pPr>
      <w:r>
        <w:rPr>
          <w:b/>
        </w:rPr>
        <w:t xml:space="preserve">Significancia Estadística: </w:t>
      </w:r>
      <w:r>
        <w:t>Implementación de Test-T de Welch para validar si los cambios entre años son estadísticamente diferentes (p &lt; 0.05).</w:t>
      </w:r>
    </w:p>
    <w:p>
      <w:pPr>
        <w:pStyle w:val="Heading1"/>
      </w:pPr>
      <w:r>
        <w:t>5. ANÁLISIS DE SERIES TEMPORALES AVANZADO</w:t>
      </w:r>
    </w:p>
    <w:p>
      <w:r>
        <w:t>Se integran técnicas de modelado matemático para entender el comportamiento dinámico:</w:t>
      </w:r>
    </w:p>
    <w:p>
      <w:pPr>
        <w:pStyle w:val="ListBullet"/>
      </w:pPr>
      <w:r>
        <w:rPr>
          <w:b/>
        </w:rPr>
        <w:t xml:space="preserve">Interpolación PCHIP: </w:t>
      </w:r>
      <w:r>
        <w:t>Reconstrucción de datos faltantes mediante Polinomios Cúbicos de Hermite que preservan la forma de la curva ambiental.</w:t>
      </w:r>
    </w:p>
    <w:p>
      <w:pPr>
        <w:pStyle w:val="ListBullet"/>
      </w:pPr>
      <w:r>
        <w:rPr>
          <w:b/>
        </w:rPr>
        <w:t xml:space="preserve">Descomposición STL (BFAST): </w:t>
      </w:r>
      <w:r>
        <w:t>Separación de la tendencia neta de los ciclos estacionales. Esto permite ver la degradación real más allá del invierno/verano.</w:t>
      </w:r>
    </w:p>
    <w:p>
      <w:pPr>
        <w:pStyle w:val="ListBullet"/>
      </w:pPr>
      <w:r>
        <w:rPr>
          <w:b/>
        </w:rPr>
        <w:t xml:space="preserve">Detección de Quiebres (PELT): </w:t>
      </w:r>
      <w:r>
        <w:t>Algoritmo de segmentación para encontrar el punto exacto en el tiempo donde la salud del humedal cambió de dirección.</w:t>
      </w:r>
    </w:p>
    <w:p>
      <w:pPr>
        <w:pStyle w:val="Heading1"/>
      </w:pPr>
      <w:r>
        <w:t>6. MATRIZ DE DIAGNÓSTICO GLOBAL</w:t>
      </w:r>
    </w:p>
    <w:p>
      <w:r>
        <w:t>El software simula el razonamiento de un experto ambiental mediante lógica cruzada:</w:t>
      </w:r>
    </w:p>
    <w:p>
      <w:pPr>
        <w:pStyle w:val="ListNumber"/>
      </w:pPr>
      <w:r>
        <w:t>Si Agua(-) + Vegetación(-)  =&gt;  Deterioro por Desecación Crítica</w:t>
      </w:r>
    </w:p>
    <w:p>
      <w:pPr>
        <w:pStyle w:val="ListNumber"/>
      </w:pPr>
      <w:r>
        <w:t>Si Calidad Agua(+) + Algas(+)  =&gt;  Riesgo Inminente de Eutrofización</w:t>
      </w:r>
    </w:p>
    <w:p>
      <w:pPr>
        <w:pStyle w:val="ListNumber"/>
      </w:pPr>
      <w:r>
        <w:t>Si Salinidad(+) + Humedad(-)  =&gt;  Proceso de Salinización por Evaporación</w:t>
      </w:r>
    </w:p>
    <w:p>
      <w:pPr>
        <w:pStyle w:val="ListNumber"/>
      </w:pPr>
      <w:r>
        <w:t>Si Agua(+) + Vegetación(+)  =&gt;  Fase de Recuperación Ecosistémica</w:t>
      </w:r>
    </w:p>
    <w:p>
      <w:pPr>
        <w:pStyle w:val="Heading1"/>
      </w:pPr>
      <w:r>
        <w:t>7. CONSISTENCIA ESPACIAL (MORAN)</w:t>
      </w:r>
    </w:p>
    <w:p>
      <w:r>
        <w:t>Se calcula el Índice de Moran Global sobre los mapas de píxeles resultantes. Esto diferencia si un cambio es un "error de sensor" (píxeles aislados) o una "realidad geográfica" (píxeles agrupados).</w:t>
      </w:r>
    </w:p>
    <w:p>
      <w:r>
        <w:br/>
        <w:t>Generado automáticamente por el Sistema GEOINT Wetland Monitor - Marzo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