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rFonts w:ascii="Arial" w:cs="Arial" w:eastAsia="Arial" w:hAnsi="Arial"/>
          <w:b/>
          <w:bCs/>
          <w:color w:val="1B3A5C"/>
          <w:sz w:val="44"/>
          <w:szCs w:val="44"/>
        </w:rPr>
        <w:t xml:space="preserve">CREDO TECHNOLOGY GROUP</w:t>
      </w:r>
    </w:p>
    <w:p>
      <w:pPr>
        <w:spacing w:after="60" w:before="0"/>
      </w:pPr>
      <w:r>
        <w:rPr>
          <w:rFonts w:ascii="Arial" w:cs="Arial" w:eastAsia="Arial" w:hAnsi="Arial"/>
          <w:color w:val="444444"/>
          <w:sz w:val="24"/>
          <w:szCs w:val="24"/>
        </w:rPr>
        <w:t xml:space="preserve">CRDO — NASDAQ  |  Quick Take  |  June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7145" w:val="clear"/>
            <w:tcMar>
              <w:top w:type="dxa" w:w="120"/>
              <w:left w:type="dxa" w:w="200"/>
              <w:bottom w:type="dxa" w:w="120"/>
              <w:right w:type="dxa" w:w="200"/>
            </w:tcMar>
          </w:tcPr>
          <w:p>
            <w:pPr>
              <w:jc w:val="center"/>
            </w:pPr>
            <w:r>
              <w:rPr>
                <w:rFonts w:ascii="Arial" w:cs="Arial" w:eastAsia="Arial" w:hAnsi="Arial"/>
                <w:b/>
                <w:bCs/>
                <w:color w:val="DDFFDD"/>
                <w:sz w:val="16"/>
                <w:szCs w:val="16"/>
              </w:rPr>
              <w:t xml:space="preserve">VIEW</w:t>
            </w:r>
          </w:p>
          <w:p>
            <w:pPr>
              <w:jc w:val="center"/>
            </w:pPr>
            <w:r>
              <w:rPr>
                <w:rFonts w:ascii="Arial" w:cs="Arial" w:eastAsia="Arial" w:hAnsi="Arial"/>
                <w:b/>
                <w:bCs/>
                <w:color w:val="FFFFFF"/>
                <w:sz w:val="28"/>
                <w:szCs w:val="28"/>
              </w:rPr>
              <w:t xml:space="preserve">POSITIVE</w:t>
            </w:r>
          </w:p>
        </w:tc>
        <w:tc>
          <w:tcPr>
            <w:tcW w:type="dxa" w:w="312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pPr>
              <w:jc w:val="center"/>
            </w:pPr>
            <w:r>
              <w:rPr>
                <w:rFonts w:ascii="Arial" w:cs="Arial" w:eastAsia="Arial" w:hAnsi="Arial"/>
                <w:b/>
                <w:bCs/>
                <w:color w:val="FFDDD0"/>
                <w:sz w:val="16"/>
                <w:szCs w:val="16"/>
              </w:rPr>
              <w:t xml:space="preserve">CONVICTION</w:t>
            </w:r>
          </w:p>
          <w:p>
            <w:pPr>
              <w:jc w:val="center"/>
            </w:pPr>
            <w:r>
              <w:rPr>
                <w:rFonts w:ascii="Arial" w:cs="Arial" w:eastAsia="Arial" w:hAnsi="Arial"/>
                <w:b/>
                <w:bCs/>
                <w:color w:val="FFFFFF"/>
                <w:sz w:val="28"/>
                <w:szCs w:val="28"/>
              </w:rPr>
              <w:t xml:space="preserve">MEDIUM</w:t>
            </w:r>
          </w:p>
        </w:tc>
        <w:tc>
          <w:tcPr>
            <w:tcW w:type="dxa" w:w="312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jc w:val="center"/>
            </w:pPr>
            <w:r>
              <w:rPr>
                <w:rFonts w:ascii="Arial" w:cs="Arial" w:eastAsia="Arial" w:hAnsi="Arial"/>
                <w:b/>
                <w:bCs/>
                <w:color w:val="D5E8F0"/>
                <w:sz w:val="16"/>
                <w:szCs w:val="16"/>
              </w:rPr>
              <w:t xml:space="preserve">PRICE</w:t>
            </w:r>
          </w:p>
          <w:p>
            <w:pPr>
              <w:jc w:val="center"/>
            </w:pPr>
            <w:r>
              <w:rPr>
                <w:rFonts w:ascii="Arial" w:cs="Arial" w:eastAsia="Arial" w:hAnsi="Arial"/>
                <w:b/>
                <w:bCs/>
                <w:color w:val="FFFFFF"/>
                <w:sz w:val="28"/>
                <w:szCs w:val="28"/>
              </w:rPr>
              <w:t xml:space="preserve">$302.52  (+10.8%)</w:t>
            </w:r>
          </w:p>
        </w:tc>
      </w:tr>
    </w:tbl>
    <w:p>
      <w:pPr>
        <w:spacing w:after="80" w:before="80"/>
      </w:pPr>
      <w:r>
        <w:t xml:space="preserve"/>
      </w:r>
    </w:p>
    <w:p>
      <w:pPr>
        <w:pBdr>
          <w:left w:val="single" w:color="2E75B6" w:sz="18" w:space="8"/>
        </w:pBdr>
        <w:shd w:fill="D5E8F0" w:val="clear"/>
        <w:spacing w:after="80" w:before="160"/>
        <w:ind w:left="200"/>
      </w:pPr>
      <w:r>
        <w:rPr>
          <w:rFonts w:ascii="Arial" w:cs="Arial" w:eastAsia="Arial" w:hAnsi="Arial"/>
          <w:b/>
          <w:bCs/>
          <w:color w:val="1B3A5C"/>
          <w:sz w:val="20"/>
          <w:szCs w:val="20"/>
        </w:rPr>
        <w:t xml:space="preserve">The thesis in one sentence: </w:t>
      </w:r>
      <w:r>
        <w:rPr>
          <w:rFonts w:ascii="Arial" w:cs="Arial" w:eastAsia="Arial" w:hAnsi="Arial"/>
          <w:i/>
          <w:iCs/>
          <w:sz w:val="20"/>
          <w:szCs w:val="20"/>
        </w:rPr>
        <w:t xml:space="preserve">CRDO is executing at hypergrowth velocity on the AI data-center connectivity build-out, but the premium valuation (~24x sales) and extreme customer concentration make it a high-reward, high-volatility position rather than a compounder for the faint-hearted.</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KEY POINTS</w:t>
      </w:r>
    </w:p>
    <w:p>
      <w:pPr>
        <w:pStyle w:val="ListParagraph"/>
        <w:numPr>
          <w:ilvl w:val="0"/>
          <w:numId w:val="2"/>
        </w:numPr>
        <w:spacing w:after="40" w:before="40"/>
      </w:pPr>
      <w:r>
        <w:rPr>
          <w:rFonts w:ascii="Arial" w:cs="Arial" w:eastAsia="Arial" w:hAnsi="Arial"/>
          <w:b/>
          <w:bCs/>
          <w:sz w:val="20"/>
          <w:szCs w:val="20"/>
        </w:rPr>
        <w:t xml:space="preserve">Revenue tripled in FY2026: </w:t>
      </w:r>
      <w:r>
        <w:rPr>
          <w:rFonts w:ascii="Arial" w:cs="Arial" w:eastAsia="Arial" w:hAnsi="Arial"/>
          <w:sz w:val="20"/>
          <w:szCs w:val="20"/>
        </w:rPr>
        <w:t xml:space="preserve">Full-year revenue hit $1.34B (+205.7% YoY); Q4 FY26 came in at $437M (+157% YoY) with ~68% gross margins and non-GAAP net income of $662M. Q1 FY27 guidance of $465–475M signals no slowdown.</w:t>
      </w:r>
    </w:p>
    <w:p>
      <w:pPr>
        <w:pStyle w:val="ListParagraph"/>
        <w:numPr>
          <w:ilvl w:val="0"/>
          <w:numId w:val="2"/>
        </w:numPr>
        <w:spacing w:after="40" w:before="40"/>
      </w:pPr>
      <w:r>
        <w:rPr>
          <w:rFonts w:ascii="Arial" w:cs="Arial" w:eastAsia="Arial" w:hAnsi="Arial"/>
          <w:b/>
          <w:bCs/>
          <w:sz w:val="20"/>
          <w:szCs w:val="20"/>
        </w:rPr>
        <w:t xml:space="preserve">Confirmed hyperscaler traction: </w:t>
      </w:r>
      <w:r>
        <w:rPr>
          <w:rFonts w:ascii="Arial" w:cs="Arial" w:eastAsia="Arial" w:hAnsi="Arial"/>
          <w:sz w:val="20"/>
          <w:szCs w:val="20"/>
        </w:rPr>
        <w:t xml:space="preserve">Microsoft, Amazon (AWS), and xAI are named customers. Credo's ZeroFlap AECs (copper-based, up to 1,000x more reliable than optical modules, at $300–500 each) are embedded in AI GPU racks at scale. The AEC market is on track to reach ~$4B by 2028.</w:t>
      </w:r>
    </w:p>
    <w:p>
      <w:pPr>
        <w:pStyle w:val="ListParagraph"/>
        <w:numPr>
          <w:ilvl w:val="0"/>
          <w:numId w:val="2"/>
        </w:numPr>
        <w:spacing w:after="40" w:before="40"/>
      </w:pPr>
      <w:r>
        <w:rPr>
          <w:rFonts w:ascii="Arial" w:cs="Arial" w:eastAsia="Arial" w:hAnsi="Arial"/>
          <w:b/>
          <w:bCs/>
          <w:sz w:val="20"/>
          <w:szCs w:val="20"/>
        </w:rPr>
        <w:t xml:space="preserve">DustPhotonics acquisition expands optionality: </w:t>
      </w:r>
      <w:r>
        <w:rPr>
          <w:rFonts w:ascii="Arial" w:cs="Arial" w:eastAsia="Arial" w:hAnsi="Arial"/>
          <w:sz w:val="20"/>
          <w:szCs w:val="20"/>
        </w:rPr>
        <w:t xml:space="preserve">Adds silicon photonics and a vertically integrated 800G–3.2T optical stack, opening a new ~$600M+ optical revenue opportunity in FY27. This diversifies CRDO beyond AEC into a full-stack connectivity platform.</w:t>
      </w:r>
    </w:p>
    <w:p>
      <w:pPr>
        <w:pStyle w:val="ListParagraph"/>
        <w:numPr>
          <w:ilvl w:val="0"/>
          <w:numId w:val="2"/>
        </w:numPr>
        <w:spacing w:after="40" w:before="40"/>
      </w:pPr>
      <w:r>
        <w:rPr>
          <w:rFonts w:ascii="Arial" w:cs="Arial" w:eastAsia="Arial" w:hAnsi="Arial"/>
          <w:b/>
          <w:bCs/>
          <w:sz w:val="20"/>
          <w:szCs w:val="20"/>
        </w:rPr>
        <w:t xml:space="preserve">Fortress balance sheet: </w:t>
      </w:r>
      <w:r>
        <w:rPr>
          <w:rFonts w:ascii="Arial" w:cs="Arial" w:eastAsia="Arial" w:hAnsi="Arial"/>
          <w:sz w:val="20"/>
          <w:szCs w:val="20"/>
        </w:rPr>
        <w:t xml:space="preserve">~$1.4B in cash and short-term investments, minimal debt, current ratio &gt;10. Gives CRDO the runway to invest in optical integration and SerDes/DSP R&amp;D without dilution pressure.</w:t>
      </w:r>
    </w:p>
    <w:p>
      <w:pPr>
        <w:pStyle w:val="ListParagraph"/>
        <w:numPr>
          <w:ilvl w:val="0"/>
          <w:numId w:val="2"/>
        </w:numPr>
        <w:spacing w:after="40" w:before="40"/>
      </w:pPr>
      <w:r>
        <w:rPr>
          <w:rFonts w:ascii="Arial" w:cs="Arial" w:eastAsia="Arial" w:hAnsi="Arial"/>
          <w:b/>
          <w:bCs/>
          <w:sz w:val="20"/>
          <w:szCs w:val="20"/>
        </w:rPr>
        <w:t xml:space="preserve">Wall Street broadly bullish post-Q4: </w:t>
      </w:r>
      <w:r>
        <w:rPr>
          <w:rFonts w:ascii="Arial" w:cs="Arial" w:eastAsia="Arial" w:hAnsi="Arial"/>
          <w:sz w:val="20"/>
          <w:szCs w:val="20"/>
        </w:rPr>
        <w:t xml:space="preserve">Needham ($275), Roth Capital ($300), BofA ($252), Susquehanna ($235), Jefferies, Mizuho, and JPMorgan ($250–270) all raised targets after the Q4 beat. Consensus is Strong Buy across ~18 analysts.</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VALUATION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Current</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$302.52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Near 52-week high of $308.67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Cap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~$56.4B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Up ~218% in past 12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 (trailing)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~68x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Above semi industry avg of 72.4x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P/S (TTM)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&gt;24x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Premium vs. Marvell, Broadcom peers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EV/Gross Profit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Reflects hypergrowth pricing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DCF Fair Value Est.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~$150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~50% premium to intrinsic value (SWS)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Analyst Consensus Target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18"/>
                <w:szCs w:val="18"/>
              </w:rPr>
              <w:t xml:space="preserve">$235–$300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Cluster of raised targets post-Q4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Implied Upside/Downside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~-25% to 0% vs. DCF</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Rich but defended by ~80%+ FY27 growth guide</w:t>
            </w:r>
          </w:p>
        </w:tc>
      </w:tr>
    </w:tbl>
    <w:p>
      <w:pPr>
        <w:spacing w:after="80" w:before="80"/>
      </w:pPr>
      <w:r>
        <w:t xml:space="preserve"/>
      </w:r>
    </w:p>
    <w:p>
      <w:pPr>
        <w:spacing w:after="60" w:before="60"/>
      </w:pPr>
      <w:r>
        <w:rPr>
          <w:rFonts w:ascii="Arial" w:cs="Arial" w:eastAsia="Arial" w:hAnsi="Arial"/>
          <w:sz w:val="20"/>
          <w:szCs w:val="20"/>
        </w:rPr>
        <w:t xml:space="preserve">The stock is pricing in strong FY27 execution. With optical products expected to drive &gt;$600M in FY27 revenue and AEC ramps continuing, a re-rating lower is possible only if growth disappoints or concentration risk materialises.</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MAIN RISK</w:t>
      </w:r>
    </w:p>
    <w:p>
      <w:pPr>
        <w:spacing w:after="60" w:before="60"/>
      </w:pPr>
      <w:r>
        <w:rPr>
          <w:rFonts w:ascii="Arial" w:cs="Arial" w:eastAsia="Arial" w:hAnsi="Arial"/>
          <w:b/>
          <w:bCs/>
          <w:color w:val="C55A11"/>
          <w:sz w:val="20"/>
          <w:szCs w:val="20"/>
        </w:rPr>
        <w:t xml:space="preserve">Customer concentration is the single biggest tail risk. </w:t>
      </w:r>
      <w:r>
        <w:rPr>
          <w:rFonts w:ascii="Arial" w:cs="Arial" w:eastAsia="Arial" w:hAnsi="Arial"/>
          <w:sz w:val="20"/>
          <w:szCs w:val="20"/>
        </w:rPr>
        <w:t xml:space="preserve">Over 81% of revenue is concentrated in two customers. SemiAnalysis' "Thick Cables, Thin Margins" report argued Microsoft AEC demand was overstated — pointing to a shift toward DAC (direct-attach copper) and optical transceivers that could reduce AEC unit volumes. This bear case has not materialised so far, but a data-centre architecture shift or hyperscaler in-sourcing decision could shave guidance dramatically and trigger rapid multiple compression from current &gt;24x sales.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Secondary risk: Gross margin dilution from DustPhotonics integration. Q4 guidance implied GMs falling to 64–66% from 68.6% as optical products (more commoditised) layer into the mix.</w:t>
      </w:r>
    </w:p>
    <w:p>
      <w:pPr>
        <w:pStyle w:val="ListParagraph"/>
        <w:numPr>
          <w:ilvl w:val="0"/>
          <w:numId w:val="2"/>
        </w:numPr>
        <w:spacing w:after="40" w:before="40"/>
      </w:pPr>
      <w:r>
        <w:rPr>
          <w:rFonts w:ascii="Arial" w:cs="Arial" w:eastAsia="Arial" w:hAnsi="Arial"/>
          <w:b w:val="false"/>
          <w:bCs w:val="false"/>
          <w:sz w:val="20"/>
          <w:szCs w:val="20"/>
        </w:rPr>
        <w:t xml:space="preserve">Macro risk: Any pause in hyperscaler capex or OpenAI/xAI spending trajectories would directly hit Credo's near-term order book.</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CATALYST</w:t>
      </w:r>
    </w:p>
    <w:p>
      <w:pPr>
        <w:spacing w:after="60" w:before="60"/>
      </w:pPr>
      <w:r>
        <w:rPr>
          <w:rFonts w:ascii="Arial" w:cs="Arial" w:eastAsia="Arial" w:hAnsi="Arial"/>
          <w:b/>
          <w:bCs/>
          <w:sz w:val="20"/>
          <w:szCs w:val="20"/>
        </w:rPr>
        <w:t xml:space="preserve">Primary catalyst: </w:t>
      </w:r>
      <w:r>
        <w:rPr>
          <w:rFonts w:ascii="Arial" w:cs="Arial" w:eastAsia="Arial" w:hAnsi="Arial"/>
          <w:sz w:val="20"/>
          <w:szCs w:val="20"/>
        </w:rPr>
        <w:t xml:space="preserve">Optical product revenue ramp in FY2027. Management has guided &gt;$600M from optical products; if early shipment data confirms this by Q1/Q2 FY27 earnings (expected Aug–Oct 2026), it de-risks the concentration concern and validates the DustPhotonics thesis.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Q1 FY27 earnings (guidance: $465–475M revenue). A beat-and-raise would sustain the momentum trade.</w:t>
      </w:r>
    </w:p>
    <w:p>
      <w:pPr>
        <w:pStyle w:val="ListParagraph"/>
        <w:numPr>
          <w:ilvl w:val="0"/>
          <w:numId w:val="2"/>
        </w:numPr>
        <w:spacing w:after="40" w:before="40"/>
      </w:pPr>
      <w:r>
        <w:rPr>
          <w:rFonts w:ascii="Arial" w:cs="Arial" w:eastAsia="Arial" w:hAnsi="Arial"/>
          <w:b w:val="false"/>
          <w:bCs w:val="false"/>
          <w:sz w:val="20"/>
          <w:szCs w:val="20"/>
        </w:rPr>
        <w:t xml:space="preserve">New hyperscaler customer wins (currently 3 named; Google, Meta not yet confirmed) — each addition structurally reduces concentration risk and expands TAM.</w:t>
      </w:r>
    </w:p>
    <w:p>
      <w:pPr>
        <w:pStyle w:val="ListParagraph"/>
        <w:numPr>
          <w:ilvl w:val="0"/>
          <w:numId w:val="2"/>
        </w:numPr>
        <w:spacing w:after="40" w:before="40"/>
      </w:pPr>
      <w:r>
        <w:rPr>
          <w:rFonts w:ascii="Arial" w:cs="Arial" w:eastAsia="Arial" w:hAnsi="Arial"/>
          <w:b w:val="false"/>
          <w:bCs w:val="false"/>
          <w:sz w:val="20"/>
          <w:szCs w:val="20"/>
        </w:rPr>
        <w:t xml:space="preserve">Potential index inclusion (CRDO's market cap now &gt;$56B; S&amp;P 500 eligibility watch).</w:t>
      </w:r>
    </w:p>
    <w:p>
      <w:pPr>
        <w:spacing w:after="80" w:before="80"/>
      </w:pPr>
      <w:r>
        <w:t xml:space="preserve"/>
      </w:r>
    </w:p>
    <w:p>
      <w:pPr>
        <w:spacing w:after="60" w:before="60"/>
      </w:pPr>
      <w:r>
        <w:rPr>
          <w:rFonts w:ascii="Arial" w:cs="Arial" w:eastAsia="Arial" w:hAnsi="Arial"/>
          <w:b/>
          <w:bCs/>
          <w:sz w:val="20"/>
          <w:szCs w:val="20"/>
        </w:rPr>
        <w:t xml:space="preserve">Timeline: </w:t>
      </w:r>
      <w:r>
        <w:rPr>
          <w:rFonts w:ascii="Arial" w:cs="Arial" w:eastAsia="Arial" w:hAnsi="Arial"/>
          <w:sz w:val="20"/>
          <w:szCs w:val="20"/>
        </w:rPr>
        <w:t xml:space="preserve">Next meaningful catalysts within 3–6 months (Q1 FY27 earnings; optical revenue early data points).</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QUICK QUALITY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OCF / NI 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18"/>
                <w:szCs w:val="18"/>
              </w:rPr>
              <w:t xml:space="preserve">Healthy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cash conversion; $1.4B net cash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7145"/>
                <w:sz w:val="18"/>
                <w:szCs w:val="18"/>
              </w:rPr>
              <w:t xml:space="preserve">Narrow → Wide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Proprietary SerDes/DSP IP; AEC pioneer. Defensibility vs. insourcing TBD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18"/>
                <w:szCs w:val="18"/>
              </w:rPr>
              <w:t xml:space="preserve">Strong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Consistent beat-and-raise; DustPhotonics deal adds strategic depth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Balance Sheet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7145"/>
                <w:sz w:val="18"/>
                <w:szCs w:val="18"/>
              </w:rPr>
              <w:t xml:space="preserve">Fortress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~$1.4B cash, minimal debt, current ratio &gt;10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Earnings Quality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Watch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Concentration means any customer pullback hits disproportionately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Insider Activity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Neutral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major red flags flagged in recent filings</w:t>
            </w:r>
          </w:p>
        </w:tc>
      </w:tr>
    </w:tbl>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VARIANT PERCEPTION (where this differs from consensus)</w:t>
      </w:r>
    </w:p>
    <w:p>
      <w:pPr>
        <w:spacing w:after="60" w:before="60"/>
      </w:pPr>
      <w:r>
        <w:rPr>
          <w:rFonts w:ascii="Arial" w:cs="Arial" w:eastAsia="Arial" w:hAnsi="Arial"/>
          <w:sz w:val="20"/>
          <w:szCs w:val="20"/>
        </w:rPr>
        <w:t xml:space="preserve">Consensus view: CRDO is a secular winner in AI infrastructure with 80%+ FY27 growth baked in. Multiple expansion is possible.</w:t>
      </w:r>
    </w:p>
    <w:p>
      <w:pPr>
        <w:spacing w:after="80" w:before="80"/>
      </w:pPr>
      <w:r>
        <w:t xml:space="preserve"/>
      </w:r>
    </w:p>
    <w:p>
      <w:pPr>
        <w:spacing w:after="60" w:before="60"/>
      </w:pPr>
      <w:r>
        <w:rPr>
          <w:rFonts w:ascii="Arial" w:cs="Arial" w:eastAsia="Arial" w:hAnsi="Arial"/>
          <w:b/>
          <w:bCs/>
          <w:color w:val="2E75B6"/>
          <w:sz w:val="20"/>
          <w:szCs w:val="20"/>
        </w:rPr>
        <w:t xml:space="preserve">Where we diverge: </w:t>
      </w:r>
      <w:r>
        <w:rPr>
          <w:rFonts w:ascii="Arial" w:cs="Arial" w:eastAsia="Arial" w:hAnsi="Arial"/>
          <w:sz w:val="20"/>
          <w:szCs w:val="20"/>
        </w:rPr>
        <w:t xml:space="preserve">The SemiAnalysis thesis (customer demand overstated, AEC cycle at peak) hasn't been proven right — but the margin compression from optical integration is real and underappreciated in consensus models. The market is pricing CRDO as a platform business (hence ~24x sales), but if opticals commoditise faster than expected or concentration persists through FY28, the platform premium may be premature. The asymmetry here is: bull case is genuinely substantial, but so is the drawdown risk on any guide-down (stock dropped ~15% after-hours on a beat, signalling how high expectations are set).</w:t>
      </w:r>
    </w:p>
    <w:p>
      <w:pPr>
        <w:spacing w:after="80" w:before="80"/>
      </w:pPr>
      <w:r>
        <w:t xml:space="preserve"/>
      </w:r>
    </w:p>
    <w:p>
      <w:pPr>
        <w:pBdr>
          <w:left w:val="single" w:color="2E75B6" w:sz="18" w:space="8"/>
        </w:pBdr>
        <w:shd w:fill="1B3A5C" w:val="clear"/>
        <w:spacing w:after="80" w:before="160"/>
        <w:ind w:left="200"/>
      </w:pPr>
      <w:r>
        <w:rPr>
          <w:rFonts w:ascii="Arial" w:cs="Arial" w:eastAsia="Arial" w:hAnsi="Arial"/>
          <w:b/>
          <w:bCs/>
          <w:color w:val="D5E8F0"/>
          <w:sz w:val="22"/>
          <w:szCs w:val="22"/>
        </w:rPr>
        <w:t xml:space="preserve">Bottom Line  </w:t>
      </w:r>
      <w:r>
        <w:rPr>
          <w:rFonts w:ascii="Arial" w:cs="Arial" w:eastAsia="Arial" w:hAnsi="Arial"/>
          <w:color w:val="FFFFFF"/>
          <w:sz w:val="20"/>
          <w:szCs w:val="20"/>
        </w:rPr>
        <w:t xml:space="preserve">CRDO is a genuine hypergrowth AI connectivity story executing at the top of its game — tripling revenues, expanding margins, and diversifying into optics via DustPhotonics. For investors comfortable with &gt;24x sales valuation and binary customer concentration risk, this remains the most direct AI data-center connectivity trade on the market. Position sizing should reflect the volatility (beta 3.2) and the fact that the stock is priced for perfection heading into a critical optical revenue ramp year.</w:t>
      </w:r>
    </w:p>
    <w:p>
      <w:pPr>
        <w:spacing w:after="80" w:before="80"/>
      </w:pPr>
      <w:r>
        <w:t xml:space="preserve"/>
      </w:r>
    </w:p>
    <w:p>
      <w:pPr>
        <w:pBdr>
          <w:bottom w:val="single" w:color="2E75B6" w:sz="6" w:space="4"/>
        </w:pBdr>
        <w:spacing w:after="80" w:before="200"/>
      </w:pPr>
      <w:r>
        <w:rPr>
          <w:rFonts w:ascii="Arial" w:cs="Arial" w:eastAsia="Arial" w:hAnsi="Arial"/>
          <w:b/>
          <w:bCs/>
          <w:color w:val="2E75B6"/>
          <w:sz w:val="22"/>
          <w:szCs w:val="22"/>
        </w:rPr>
        <w:t xml:space="preserve">SOURCES</w:t>
      </w:r>
    </w:p>
    <w:p>
      <w:pPr>
        <w:spacing w:after="40" w:before="40"/>
      </w:pPr>
      <w:hyperlink w:history="1" r:id="rId8pcowovbsdzgplcj559lz">
        <w:r>
          <w:rPr>
            <w:rFonts w:ascii="Arial" w:cs="Arial" w:eastAsia="Arial" w:hAnsi="Arial"/>
            <w:color w:val="2E75B6"/>
            <w:sz w:val="18"/>
            <w:szCs w:val="18"/>
            <w:u w:val="single"/>
          </w:rPr>
          <w:t xml:space="preserve">CRDO Stock Rallies As AI Earnings And Targets Surge — StocksToTrade (June 22, 2026)</w:t>
        </w:r>
      </w:hyperlink>
    </w:p>
    <w:p>
      <w:pPr>
        <w:spacing w:after="40" w:before="40"/>
      </w:pPr>
      <w:hyperlink w:history="1" r:id="rIdjxf51ximcxld9oxgfm2xj">
        <w:r>
          <w:rPr>
            <w:rFonts w:ascii="Arial" w:cs="Arial" w:eastAsia="Arial" w:hAnsi="Arial"/>
            <w:color w:val="2E75B6"/>
            <w:sz w:val="18"/>
            <w:szCs w:val="18"/>
            <w:u w:val="single"/>
          </w:rPr>
          <w:t xml:space="preserve">Credo Technology Group Q4 2026 Earnings Call Transcript — SahmCapital</w:t>
        </w:r>
      </w:hyperlink>
    </w:p>
    <w:p>
      <w:pPr>
        <w:spacing w:after="40" w:before="40"/>
      </w:pPr>
      <w:hyperlink w:history="1" r:id="rId0jytcey-do8xiqjwqqb6k">
        <w:r>
          <w:rPr>
            <w:rFonts w:ascii="Arial" w:cs="Arial" w:eastAsia="Arial" w:hAnsi="Arial"/>
            <w:color w:val="2E75B6"/>
            <w:sz w:val="18"/>
            <w:szCs w:val="18"/>
            <w:u w:val="single"/>
          </w:rPr>
          <w:t xml:space="preserve">FY2026 10-K Summary: Revenue $1.34B, EPS $2.51 — TradingView</w:t>
        </w:r>
      </w:hyperlink>
    </w:p>
    <w:p>
      <w:pPr>
        <w:spacing w:after="40" w:before="40"/>
      </w:pPr>
      <w:hyperlink w:history="1" r:id="rIdujy1fplfqtzyfqhzhhjp9">
        <w:r>
          <w:rPr>
            <w:rFonts w:ascii="Arial" w:cs="Arial" w:eastAsia="Arial" w:hAnsi="Arial"/>
            <w:color w:val="2E75B6"/>
            <w:sz w:val="18"/>
            <w:szCs w:val="18"/>
            <w:u w:val="single"/>
          </w:rPr>
          <w:t xml:space="preserve">Credo: The Bear Case Is Dead — Seeking Alpha</w:t>
        </w:r>
      </w:hyperlink>
    </w:p>
    <w:p>
      <w:pPr>
        <w:spacing w:after="40" w:before="40"/>
      </w:pPr>
      <w:hyperlink w:history="1" r:id="rIdlp1xvtkosei_gk3rco_qt">
        <w:r>
          <w:rPr>
            <w:rFonts w:ascii="Arial" w:cs="Arial" w:eastAsia="Arial" w:hAnsi="Arial"/>
            <w:color w:val="2E75B6"/>
            <w:sz w:val="18"/>
            <w:szCs w:val="18"/>
            <w:u w:val="single"/>
          </w:rPr>
          <w:t xml:space="preserve">Thick Cables, Thin Margins — SemiAnalysis</w:t>
        </w:r>
      </w:hyperlink>
    </w:p>
    <w:p>
      <w:pPr>
        <w:spacing w:after="40" w:before="40"/>
      </w:pPr>
      <w:hyperlink w:history="1" r:id="rIda3uyg7u3vqcei3bf1riia">
        <w:r>
          <w:rPr>
            <w:rFonts w:ascii="Arial" w:cs="Arial" w:eastAsia="Arial" w:hAnsi="Arial"/>
            <w:color w:val="2E75B6"/>
            <w:sz w:val="18"/>
            <w:szCs w:val="18"/>
            <w:u w:val="single"/>
          </w:rPr>
          <w:t xml:space="preserve">Up 218% in 12 Months, Can CRDO Keep Climbing? — TIKR.com</w:t>
        </w:r>
      </w:hyperlink>
    </w:p>
    <w:p>
      <w:pPr>
        <w:spacing w:after="40" w:before="40"/>
      </w:pPr>
      <w:hyperlink w:history="1" r:id="rIdl9zijh15lcxg8847wq7tb">
        <w:r>
          <w:rPr>
            <w:rFonts w:ascii="Arial" w:cs="Arial" w:eastAsia="Arial" w:hAnsi="Arial"/>
            <w:color w:val="2E75B6"/>
            <w:sz w:val="18"/>
            <w:szCs w:val="18"/>
            <w:u w:val="single"/>
          </w:rPr>
          <w:t xml:space="preserve">$500 Purple Cables Put Credo in Middle of the AI Boom — CNBC</w:t>
        </w:r>
      </w:hyperlink>
    </w:p>
    <w:p>
      <w:pPr>
        <w:spacing w:after="40" w:before="40"/>
      </w:pPr>
      <w:hyperlink w:history="1" r:id="rIduqj3-r2tk2mzystim_-ug">
        <w:r>
          <w:rPr>
            <w:rFonts w:ascii="Arial" w:cs="Arial" w:eastAsia="Arial" w:hAnsi="Arial"/>
            <w:color w:val="2E75B6"/>
            <w:sz w:val="18"/>
            <w:szCs w:val="18"/>
            <w:u w:val="single"/>
          </w:rPr>
          <w:t xml:space="preserve">Credo Technology Group Holding — Company Profile — FMP</w:t>
        </w:r>
      </w:hyperlink>
    </w:p>
    <w:p>
      <w:pPr>
        <w:spacing w:after="40" w:before="40"/>
      </w:pPr>
      <w:hyperlink w:history="1" r:id="rIdoiaqhmsfa14pkrnkje8t_">
        <w:r>
          <w:rPr>
            <w:rFonts w:ascii="Arial" w:cs="Arial" w:eastAsia="Arial" w:hAnsi="Arial"/>
            <w:color w:val="2E75B6"/>
            <w:sz w:val="18"/>
            <w:szCs w:val="18"/>
            <w:u w:val="single"/>
          </w:rPr>
          <w:t xml:space="preserve">Credo Stock Faces Rich Valuation as Net Margin Jumps to 35% — Simply Wall St</w:t>
        </w:r>
      </w:hyperlink>
    </w:p>
    <w:p>
      <w:pPr>
        <w:spacing w:after="80" w:before="80"/>
      </w:pPr>
      <w:r>
        <w:t xml:space="preserve"/>
      </w:r>
    </w:p>
    <w:p>
      <w:pPr>
        <w:pBdr>
          <w:top w:val="single" w:color="CCCCCC" w:sz="6" w:space="4"/>
        </w:pBdr>
        <w:spacing w:after="60" w:before="160"/>
      </w:pPr>
      <w:r>
        <w:rPr>
          <w:rFonts w:ascii="Arial" w:cs="Arial" w:eastAsia="Arial" w:hAnsi="Arial"/>
          <w:color w:val="666666"/>
          <w:sz w:val="16"/>
          <w:szCs w:val="16"/>
        </w:rPr>
        <w:t xml:space="preserve">Powered by </w:t>
      </w:r>
      <w:r>
        <w:rPr>
          <w:rFonts w:ascii="Arial" w:cs="Arial" w:eastAsia="Arial" w:hAnsi="Arial"/>
          <w:b/>
          <w:bCs/>
          <w:color w:val="2E75B6"/>
          <w:sz w:val="16"/>
          <w:szCs w:val="16"/>
        </w:rPr>
        <w:t xml:space="preserve">Bigdata.com</w:t>
      </w:r>
      <w:r>
        <w:rPr>
          <w:rFonts w:ascii="Arial" w:cs="Arial" w:eastAsia="Arial" w:hAnsi="Arial"/>
          <w:color w:val="666666"/>
          <w:sz w:val="16"/>
          <w:szCs w:val="16"/>
        </w:rPr>
        <w:t xml:space="preserve"> — https://bigdata.com</w:t>
      </w:r>
    </w:p>
    <w:p>
      <w:pPr>
        <w:spacing w:after="60" w:before="60"/>
      </w:pPr>
      <w:r>
        <w:rPr>
          <w:rFonts w:ascii="Arial" w:cs="Arial" w:eastAsia="Arial" w:hAnsi="Arial"/>
          <w:i/>
          <w:iCs/>
          <w:color w:val="888888"/>
          <w:sz w:val="16"/>
          <w:szCs w:val="16"/>
        </w:rPr>
        <w:t xml:space="preserve">Disclaimer: 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666666"/>
        <w:sz w:val="16"/>
        <w:szCs w:val="16"/>
      </w:rPr>
      <w:t xml:space="preserve">Powered by Bigdata.com — https://bigdata.com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666666"/>
        <w:sz w:val="18"/>
        <w:szCs w:val="18"/>
      </w:rPr>
      <w:t xml:space="preserve">CRDO — Quick Take  |  June 22, 2026</w:t>
    </w:r>
    <w:r>
      <w:rPr>
        <w:rFonts w:ascii="Arial" w:cs="Arial" w:eastAsia="Arial" w:hAnsi="Arial"/>
        <w:color w:val="999999"/>
        <w:sz w:val="18"/>
        <w:szCs w:val="18"/>
      </w:rPr>
      <w:t xml:space="preserve">	Internal Research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pcowovbsdzgplcj559lz" Type="http://schemas.openxmlformats.org/officeDocument/2006/relationships/hyperlink" Target="https://stockstotrade.com/news/credo-technology-group-holding-ltd-crdo-news-2026_06_22-2/" TargetMode="External"/><Relationship Id="rIdjxf51ximcxld9oxgfm2xj" Type="http://schemas.openxmlformats.org/officeDocument/2006/relationships/hyperlink" Target="https://www.sahmcapital.com/news/content/credo-technology-group-q4-2026-earnings-call-complete-transcript-2026-06-02" TargetMode="External"/><Relationship Id="rId0jytcey-do8xiqjwqqb6k" Type="http://schemas.openxmlformats.org/officeDocument/2006/relationships/hyperlink" Target="https://www.tradingview.com/news/tradingview:e47517dc5d142:0-credo-technology-group-holding-ltd-fy-2026-revenue-1-34b-eps-2-51-10-k-summary/" TargetMode="External"/><Relationship Id="rIdujy1fplfqtzyfqhzhhjp9" Type="http://schemas.openxmlformats.org/officeDocument/2006/relationships/hyperlink" Target="https://seekingalpha.com/article/4890538-credo-the-bear-case-is-dead" TargetMode="External"/><Relationship Id="rIdlp1xvtkosei_gk3rco_qt" Type="http://schemas.openxmlformats.org/officeDocument/2006/relationships/hyperlink" Target="https://newsletter.semianalysis.com/p/thick-cables-thin-margins-microsoft" TargetMode="External"/><Relationship Id="rIda3uyg7u3vqcei3bf1riia" Type="http://schemas.openxmlformats.org/officeDocument/2006/relationships/hyperlink" Target="https://www.tikr.com/blog/crdo-up-218-in-the-last-12-months-can-credo-technology-nasdaq-stock-keep-climbing-in-2026" TargetMode="External"/><Relationship Id="rIdl9zijh15lcxg8847wq7tb" Type="http://schemas.openxmlformats.org/officeDocument/2006/relationships/hyperlink" Target="https://www.cnbc.com/2025/10/17/500-purple-cables-put-credo-in-middle-of-the-ai-boom.html" TargetMode="External"/><Relationship Id="rIduqj3-r2tk2mzystim_-ug" Type="http://schemas.openxmlformats.org/officeDocument/2006/relationships/hyperlink" Target="https://financialmodelingprep.com" TargetMode="External"/><Relationship Id="rIdoiaqhmsfa14pkrnkje8t_" Type="http://schemas.openxmlformats.org/officeDocument/2006/relationships/hyperlink" Target="https://simplywall.st/stocks/us/semiconductors/nasdaq-crdo/credo-technology-group-holding/news/credo-crdo-stock-faces-rich-valuation-as-net-margin-jumps-to"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2026-06-23T03:15:44.485Z</dcterms:created>
  <dcterms:modified xsi:type="dcterms:W3CDTF">2026-06-23T03:15:44.485Z</dcterms:modified>
</cp:coreProperties>
</file>

<file path=docProps/custom.xml><?xml version="1.0" encoding="utf-8"?>
<Properties xmlns="http://schemas.openxmlformats.org/officeDocument/2006/custom-properties" xmlns:vt="http://schemas.openxmlformats.org/officeDocument/2006/docPropsVTypes"/>
</file>