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EARNINGS PREVIEW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FuelCell Energy  (FCEL)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Q2 Fiscal 2026  |  Reporting June 8, 2026  |  Upsteam AI Equity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780"/>
        <w:gridCol w:w="1780"/>
        <w:gridCol w:w="1800"/>
        <w:gridCol w:w="1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D2E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4916A"/>
                <w:sz w:val="15"/>
                <w:szCs w:val="15"/>
              </w:rPr>
              <w:t xml:space="preserve">Power-Gen-Grid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8"/>
                <w:szCs w:val="28"/>
              </w:rPr>
              <w:t xml:space="preserve">UNDER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REVIEW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$21.40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CURRENT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$8.73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CONS PT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-59%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0000"/>
                <w:sz w:val="14"/>
                <w:szCs w:val="14"/>
              </w:rPr>
              <w:t xml:space="preserve">TO CONS PT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4"/>
                <w:szCs w:val="24"/>
              </w:rPr>
              <w:t xml:space="preserve">+279%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7145"/>
                <w:sz w:val="14"/>
                <w:szCs w:val="14"/>
              </w:rPr>
              <w:t xml:space="preserve">1Y RTN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0000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C00000"/>
                <w:sz w:val="19"/>
                <w:szCs w:val="19"/>
              </w:rPr>
              <w:t xml:space="preserve">⚠️  CRITICAL SETUP NOTE: FCEL trades at $21.40 — 145% above analyst consensus PT of $8.73 and well above every sell-side PT ($12 high, $7 low). The market has ALREADY priced in a Bloom Energy-style transformation before any signed hyperscaler contract exists. This is NOT the pre-Oracle Bloom setup — Bloom ran from modest levels AFTER Oracle. FCEL has run +279% YoY BEFORE any equivalent contract. The risk/reward here is asymmetric to the downside unless June 8 delivers a named hyperscaler contract.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FuelCell Energy reports Q2 fiscal 2026 (period ended April 30, 2026) on June 8, 2026. This is the most binary earnings event in the AI power sector: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Driver 1:</w:t>
      </w:r>
      <w:r>
        <w:rPr>
          <w:rFonts w:ascii="Arial" w:cs="Arial" w:eastAsia="Arial" w:hAnsi="Arial"/>
          <w:sz w:val="20"/>
          <w:szCs w:val="20"/>
        </w:rPr>
        <w:t xml:space="preserve"> whether a signed hyperscaler contract is announced — the threshold event that would validate the Bloom Energy pattern for FCEL.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Driver 2:</w:t>
      </w:r>
      <w:r>
        <w:rPr>
          <w:rFonts w:ascii="Arial" w:cs="Arial" w:eastAsia="Arial" w:hAnsi="Arial"/>
          <w:sz w:val="20"/>
          <w:szCs w:val="20"/>
        </w:rPr>
        <w:t xml:space="preserve"> revenue trajectory and gross margin improvement — the company has had NEGATIVE gross margins for 6+ consecutive quarters.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Driver 3:</w:t>
      </w:r>
      <w:r>
        <w:rPr>
          <w:rFonts w:ascii="Arial" w:cs="Arial" w:eastAsia="Arial" w:hAnsi="Arial"/>
          <w:sz w:val="20"/>
          <w:szCs w:val="20"/>
        </w:rPr>
        <w:t xml:space="preserve"> balance sheet and cash burn — with ~$45M/quarter OCF outflow, runway is finite without new capital or contract revenue. The stock has front-run all three catalysts. At 145% above analyst consensus PT with no signed hyperscaler contract, the asymmetry skews negative unless June 8 delivers.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Primary Drivers — EPIC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80"/>
        <w:gridCol w:w="168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(Material?)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Predictable?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 Blind Spot?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Gap vs Consensus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Prioritized?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Hyperscaler contract announcement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Binary — transforms revenue trajectory by ~$400M+/yr if signed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Low — no public signal any LOI has converted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Market assumes it's coming; analysts assume it isn't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Market: pricing it in. Analysts: $8.73 PT says no. Massive gap.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single most important catalyst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Gross margin 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Negative gross margin (-16% TTM) must inflect for any earnings-based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Moderate — Korea LTSA (GGE) provides some visibility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Market ignoring; analysts flagging 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 has been negative for 6+ qtrs. Any positive print would shock.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quality screen 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Cash burn / liquidity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Moderate — ~$45M/qtr OCF outflow; runway finite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High — burn rate predictable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✗ Not ignored — balance sheet is well-flagged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gap; both we and analysts see this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— not the catalyst driver this quarter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Earnings Quality Quick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Watch For (Q2 FY26)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OCF / Net Income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OCF/NI ratio: OCF -$45.7M vs NI -$29.1M (Q1 FY26, Jan 2026). OCF worse than net income.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consumption exceeds reported losses — no OCF/NI quality issue, losses are real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Whether ExxonMobil Rotterdam milestones + Korea GGE deliveries improve OCF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TTM gross margin: -16%. All 6 recent quarters show negative gross profit ($-5M to $-11M)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loses money on every product dollar sold. No pricing power at current scale.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gross margin turn positive — first positive gross profit quarter would be thesis-validating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GAAP vs Non-GAAP 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GAAP EPS Q1 FY26: -$0.52. Non-GAAP adjustments for restructuring common. Large restructuring charges in FY25/26.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Non-GAAP adjustments are substantial and recurring — treat non-GAAP with caution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 of restructuring add-backs in Q2; whether 'adjusted EBITDA' path to $0 is realistic on current timeline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Financial Expectations — The Bar for Q2 FY2026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Q2 FY2026 (period ended April 30, 2026). </w:t>
      </w:r>
      <w:r>
        <w:rPr>
          <w:rFonts w:ascii="Arial" w:cs="Arial" w:eastAsia="Arial" w:hAnsi="Arial"/>
          <w:sz w:val="20"/>
          <w:szCs w:val="20"/>
        </w:rPr>
        <w:t xml:space="preserve">No formal consensus estimates available in Bigdata — very limited sell-side coverage (4 Buy / 13 Hold / 2 Sell). The revenue bar is informally set by Q1 FY2026's $30.5M print.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FY2026 Actual (Jan 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 FY2026 Bar (our estimate)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$30.5M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&gt;$30M (flat QoQ is base)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Korea GGE LTSA deliveries + generation revenue are recurring; no major new signed contracts 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 (~-$4M 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positive = bull signal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 for 6+ qtrs; needs scale for cost leverage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GAAP 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-$0.52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~-$0.40 to -$0.55 (flat)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meaningful operating leverage without contract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Adjusted EBITDA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-~$24M 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~-$18M to -$25M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improves materially with contract announcement or Korea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Contracts 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MOUs only; no signed hyperscaler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WATCH: Any signed GW-scale contract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is the binary event — not a financial line item but a disclosure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Sentiment &amp; Positioning (Structured)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2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/ Fact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vs consensus 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$21.40 vs mean PT $8.73 — stock at 145% PREMIUM to analyst consensus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Bigdata.com tearsheet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1-Year price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+279.4% (stock: $3.78 → $21.40+)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Bigdata.com tearsheet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YTD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+192.7%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Bigdata.com tearsheet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50-day moving average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$13.32 — stock trading 60% above 50-day 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Bigdata.com tearsheet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52-week 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$3.78 – $27.69 (stock at ~77% of range)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Bigdata.com tearsheet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Sell-side ratings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Buy / 13 Hold / 2 Sell; $8.73 mean PT ($7–$12 range)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Bigdata.com tearsheet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FY26 earnings miss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Simply Wall St notes 'Q1 earnings miss and ongoing execution questions'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Simply Wall St — Jun 4, 2026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4,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Sector sentiment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FCEL fell 10% on June 3 alongside fuel cell peers — 'profit-taking after parabolic run'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AOL.com / market news — Jun 3, 2026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Sector comparison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 +1,557% YoY; FCEL +317% YoY; Plug Power +346% YoY (as of June 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Benzinga — Jun 2, 2026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interest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 in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Institutional 13F changes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 in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Options positioning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available in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Recent Developments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Apr 2, 2026 — Annual General Meeting: </w:t>
      </w:r>
      <w:r>
        <w:rPr>
          <w:rFonts w:ascii="Arial" w:cs="Arial" w:eastAsia="Arial" w:hAnsi="Arial"/>
          <w:sz w:val="20"/>
          <w:szCs w:val="20"/>
        </w:rPr>
        <w:t xml:space="preserve">Pipeline up 275% YoY; 1.5 GW of pricing proposals submitted in Q1 FY26 alone; 80%+ of pipeline tied to data centers and digital infrastructure. SDCL collaboration targeting up to 450 MW of discrete projects globally. </w:t>
      </w:r>
      <w:hyperlink w:history="1" r:id="rIdst-jqcdayhkyvq1-oktni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Source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 9, 2026 — Q1 FY26 earnings (EPS -$0.52, Rev $30.5M): </w:t>
      </w:r>
      <w:r>
        <w:rPr>
          <w:rFonts w:ascii="Arial" w:cs="Arial" w:eastAsia="Arial" w:hAnsi="Arial"/>
          <w:sz w:val="20"/>
          <w:szCs w:val="20"/>
        </w:rPr>
        <w:t xml:space="preserve">Revenue grew vs. prior year. Company advancing Torrington manufacturing scale-up from 100 MW/yr toward 350 MW/yr. ExxonMobil Rotterdam carbon capture modules to ship in April 2026. Inuverse MOU for AI Daegu Data Center (100 MW) confirmed with land purchase agreement execution by Inuverse. </w:t>
      </w:r>
      <w:hyperlink w:history="1" r:id="rId6e81a6kcinpgupgmnfnv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Source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Q4 FY2025 — Data center pipeline build: </w:t>
      </w:r>
      <w:r>
        <w:rPr>
          <w:rFonts w:ascii="Arial" w:cs="Arial" w:eastAsia="Arial" w:hAnsi="Arial"/>
          <w:sz w:val="20"/>
          <w:szCs w:val="20"/>
        </w:rPr>
        <w:t xml:space="preserve">Management disclosed 'hundreds of megawatts of pricing proposals across hyperscalers, utilities, powered land developers, infrastructure players' — no signed contracts disclosed. GEV/Kiewit partnership comparison: NRG has signed contracts; FCEL still in proposal stage. </w:t>
      </w:r>
      <w:hyperlink w:history="1" r:id="rIdmpoibtk53mj9ubeib0rn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Source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 2025 — Global restructuring: </w:t>
      </w:r>
      <w:r>
        <w:rPr>
          <w:rFonts w:ascii="Arial" w:cs="Arial" w:eastAsia="Arial" w:hAnsi="Arial"/>
          <w:sz w:val="20"/>
          <w:szCs w:val="20"/>
        </w:rPr>
        <w:t xml:space="preserve">22% workforce reduction (122 employees). Cessation of solid oxide fuel cell development to focus on carbonate platform. Manufacturing recalibrated to contracted demand rather than forecasted demand — a key phrase signaling the company is not building ahead of contracts. </w:t>
      </w:r>
      <w:hyperlink w:history="1" r:id="rIduf9frkmbez2g05aj-bs-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Source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Q3 FY2025 — Inuverse MOU: </w:t>
      </w:r>
      <w:r>
        <w:rPr>
          <w:rFonts w:ascii="Arial" w:cs="Arial" w:eastAsia="Arial" w:hAnsi="Arial"/>
          <w:sz w:val="20"/>
          <w:szCs w:val="20"/>
        </w:rPr>
        <w:t xml:space="preserve">Up to 100 MW for AI Donggu/Daegu Data Center in South Korea, starting 2027. This is an MOU — not a purchase order. Inuverse is working to secure hyperscaler offtake agreements for the data center itself. </w:t>
      </w:r>
      <w:hyperlink w:history="1" r:id="rIdhgay1hhzvouijuktbxyi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Source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regulatory/legal material items: </w:t>
      </w:r>
      <w:r>
        <w:rPr>
          <w:rFonts w:ascii="Arial" w:cs="Arial" w:eastAsia="Arial" w:hAnsi="Arial"/>
          <w:sz w:val="20"/>
          <w:szCs w:val="20"/>
        </w:rPr>
        <w:t xml:space="preserve">Employment obligation penalty risk (Connecticut) related to workforce reduction is disclosed but not material. No SEC investigations or major litigation.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Industry Trends &amp; Sector Dynamics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Fuel cell AI power thesis validated — but by Bloom, not FCEL: </w:t>
      </w:r>
      <w:r>
        <w:rPr>
          <w:rFonts w:ascii="Arial" w:cs="Arial" w:eastAsia="Arial" w:hAnsi="Arial"/>
          <w:sz w:val="20"/>
          <w:szCs w:val="20"/>
        </w:rPr>
        <w:t xml:space="preserve">Bloom Energy (BE) has proven the on-site fuel cell model for AI data centers with Oracle (2.45 GW), Nebius ($2.6B), AEP/AWS (1 GW). FCEL uses different chemistry (molten carbonate vs. solid oxide) but benefits from the same tailwind. The market has extrapolated Bloom's success onto FCEL, running the stock +279% before any equivalent contract.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Grid interconnection queue remains structural advantage: </w:t>
      </w:r>
      <w:r>
        <w:rPr>
          <w:rFonts w:ascii="Arial" w:cs="Arial" w:eastAsia="Arial" w:hAnsi="Arial"/>
          <w:sz w:val="20"/>
          <w:szCs w:val="20"/>
        </w:rPr>
        <w:t xml:space="preserve">US grid interconnection average wait: 5+ years. FCEL's '18-24 months from contract to power' pitch is identical to Bloom's. This is a genuine bottleneck. The question is whether FCEL can execute on this pitch at commercial scale given its manufacturing constraints (current max 100 MW/yr vs. Bloom's 2 GW/yr target).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Competition within fuel cells: </w:t>
      </w:r>
      <w:r>
        <w:rPr>
          <w:rFonts w:ascii="Arial" w:cs="Arial" w:eastAsia="Arial" w:hAnsi="Arial"/>
          <w:sz w:val="20"/>
          <w:szCs w:val="20"/>
        </w:rPr>
        <w:t xml:space="preserve">Bloom Energy is the dominant player with signed contracts, 2 GW/yr manufacturing capacity, $2.52B cash, and positive guidance. FCEL is the distant #2 with negative gross margins, 100 MW/yr capacity, and MOU-only pipeline. Plug Power (PLUG) is another fuel cell player but focused on hydrogen/electrolyzer, less data center-focused.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Manufacturing scale gap is the critical constraint: </w:t>
      </w:r>
      <w:r>
        <w:rPr>
          <w:rFonts w:ascii="Arial" w:cs="Arial" w:eastAsia="Arial" w:hAnsi="Arial"/>
          <w:sz w:val="20"/>
          <w:szCs w:val="20"/>
        </w:rPr>
        <w:t xml:space="preserve">FCEL's Torrington plant has max 100 MW/yr capacity. A single hyperscaler contract of 360 MW (Diversified Energy partnership target) would require 3-4 years to fulfill at current capacity. Bloom's path to 2 GW/yr makes it the more credible delivery partner for hyperscalers. FCEL must either sign small initial contracts or announce expansion financing.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What's Priced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Implied by Market ($21.40)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Consensus ($8.73)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trajectory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~$400-500M+ annual revenue by 2027-2028 (implying 10-15x current run-rate)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~$100-150M by 2027 (organic Korea + modest wins)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is pricing a Bloom-like contract announcement. Without it, $8.73 consensus is closer to reality.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 to positive within 1-2 quarters on contract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Break-even gross margin not until 2028 at current trajectory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 can't turn positive without significantly higher volume — which requires a signed large contract first.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Hyperscaler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one major signed contract in next 1-2 quarters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named hyperscaler contract in next 12 months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bifurcation: market says 'it's coming,' analysts say 'show me.' June 8 is the verdict.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Valuation Cross-Check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At $21.40, FCEL has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$1.1B market cap</w:t>
      </w:r>
      <w:r>
        <w:rPr>
          <w:rFonts w:ascii="Arial" w:cs="Arial" w:eastAsia="Arial" w:hAnsi="Arial"/>
          <w:sz w:val="20"/>
          <w:szCs w:val="20"/>
        </w:rPr>
        <w:t xml:space="preserve"> on $30.5M quarterly revenue ($122M annualized TTM run-rate). That's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~9x annualized revenue</w:t>
      </w:r>
      <w:r>
        <w:rPr>
          <w:rFonts w:ascii="Arial" w:cs="Arial" w:eastAsia="Arial" w:hAnsi="Arial"/>
          <w:sz w:val="20"/>
          <w:szCs w:val="20"/>
        </w:rPr>
        <w:t xml:space="preserve"> for a company with negative gross margins and no signed hyperscaler contracts. Bloom Energy (BE) at $283 trades at ~7.9x 2026E revenue of $3.6B with positive gross margins (34% guided) and 4+ named hyperscaler customers.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sell-side consensus PT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$8.73</w:t>
      </w:r>
      <w:r>
        <w:rPr>
          <w:rFonts w:ascii="Arial" w:cs="Arial" w:eastAsia="Arial" w:hAnsi="Arial"/>
          <w:sz w:val="20"/>
          <w:szCs w:val="20"/>
        </w:rPr>
        <w:t xml:space="preserve"> (mean; range $7–$12) represents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59% downside from the current price</w:t>
      </w:r>
      <w:r>
        <w:rPr>
          <w:rFonts w:ascii="Arial" w:cs="Arial" w:eastAsia="Arial" w:hAnsi="Arial"/>
          <w:sz w:val="20"/>
          <w:szCs w:val="20"/>
        </w:rPr>
        <w:t xml:space="preserve">. Even the bull case analyst PT of $12 represents 44% downside. This means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stock is trading above the most optimistic analyst scenario before earnings</w:t>
      </w:r>
      <w:r>
        <w:rPr>
          <w:rFonts w:ascii="Arial" w:cs="Arial" w:eastAsia="Arial" w:hAnsi="Arial"/>
          <w:sz w:val="20"/>
          <w:szCs w:val="20"/>
        </w:rPr>
        <w:t xml:space="preserve">. The only scenario that justifies $21+ is a signed hyperscaler contract that validates a Bloom-like revenue ramp to $300M+ annually by 2027.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Variant Perception (FaVeS)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Fundamentals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Three KPIs dominate this print: (1) whether a signed hyperscaler contract is announced — this is not a financial line item but will overshadow every other number; (2) gross profit — negative for 6+ consecutive quarters, any positive print is thesis-validating; (3) new contract revenue ramp — how much of the 450 MW SDCL pipeline and 1.5 GW proposal book has converted to backlog. The Korea LTSA with GGE provides $10-15M per quarter of recurring revenue floor, but does not change the thesis.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Valuation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market embeds a Bloom Energy scenario: ~$300M+ annual revenue by 2027 at improving margins. At 7x 2027E revenue (Bloom's approximate multiple), that yields ~$2.1B enterprise value → ~$40/share. This is the bull case math the market is running. But it requires a signed contract, which requires manufacturing scale-up, which requires financing — all before Oracle, Nebius, AEP have already locked in Bloom Energy as the proven alternative. The valuation is pre-revenue speculation.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Sentiment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June 3 10% pullback (sector-wide fuel cell profit-taking) after a parabolic run suggests momentum is fragile. The stock is 60% above its 50-day MA — technical over-extension. Thirteen of 19 analysts have Hold ratings (consensus = wait and see). The Simply Wall St community most-popular narrative pegs fair value at $8.24 — far below current price. Sentiment has been driven entirely by the Bloom Energy comp trade. Any earnings print that doesn't include a named hyperscaler contract risks a 'sell the news' response even if other metrics are fine.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7145"/>
          <w:sz w:val="28"/>
          <w:szCs w:val="28"/>
        </w:rPr>
        <w:t xml:space="preserve">Bull Case: Drivers for Upside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[HIGH IMPACT] Signed hyperscaler contract announced June 8. </w:t>
      </w:r>
      <w:r>
        <w:rPr>
          <w:rFonts w:ascii="Arial" w:cs="Arial" w:eastAsia="Arial" w:hAnsi="Arial"/>
          <w:sz w:val="20"/>
          <w:szCs w:val="20"/>
        </w:rPr>
        <w:t xml:space="preserve">A single named hyperscaler signing (e.g., a company committing to 100-500 MW over 3-5 years) would replicate the Bloom Energy Oracle moment. At that scale, FCEL's revenue could 2-3x from current levels. Evidence: 1.5 GW of Q1 proposals, 80%+ data center pipeline, Diversified Energy partnership positioned for hyperscaler delivery. Impact: stock could re-rate to $30-40 on contract announcement (matching or exceeding current price). Probability: 20-25% based on management commentary cadence.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[MEDIUM] Gross margin turns positive for first time. </w:t>
      </w:r>
      <w:r>
        <w:rPr>
          <w:rFonts w:ascii="Arial" w:cs="Arial" w:eastAsia="Arial" w:hAnsi="Arial"/>
          <w:sz w:val="20"/>
          <w:szCs w:val="20"/>
        </w:rPr>
        <w:t xml:space="preserve">A positive gross profit quarter (even $1M) would signal volume leverage is starting to work. This would reset the structural bear narrative. Evidence: Q1 FY26 revenue of $30.5M was higher QoQ; Korea module deliveries continue. Impact: +$3-5 to stock on sentiment shift. Probability: 25-30%.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[MEDIUM] Accelerated manufacturing scale-up announcement. </w:t>
      </w:r>
      <w:r>
        <w:rPr>
          <w:rFonts w:ascii="Arial" w:cs="Arial" w:eastAsia="Arial" w:hAnsi="Arial"/>
          <w:sz w:val="20"/>
          <w:szCs w:val="20"/>
        </w:rPr>
        <w:t xml:space="preserve">Management announcing the first capital commitment toward the 350 MW/yr capacity build — with a named financing partner — would address the scale gap vs. Bloom. SDCL collaboration provides a pathway. Impact: +$2-4 to stock. Probability: 30-35%.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Bear Case: Risks to Consensus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[HIGH IMPACT] No hyperscaler contract announced — 'another quarter of proposals.' </w:t>
      </w:r>
      <w:r>
        <w:rPr>
          <w:rFonts w:ascii="Arial" w:cs="Arial" w:eastAsia="Arial" w:hAnsi="Arial"/>
          <w:sz w:val="20"/>
          <w:szCs w:val="20"/>
        </w:rPr>
        <w:t xml:space="preserve">If June 8 reveals another quarter of MOUs and pricing proposals without a signed contract, the gap between the stock price and analyst consensus ($8.73) becomes very difficult to sustain. Evidence: Stock already pricing in a contract; management language has been 'hundreds of megawatts of proposals' for 3+ quarters without a signed deal. Impact: -30% to -50% stock correction back toward $10-15. Probability: 55-65%.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[MEDIUM] Gross margin remains deeply negative, narrowing runway narrative. </w:t>
      </w:r>
      <w:r>
        <w:rPr>
          <w:rFonts w:ascii="Arial" w:cs="Arial" w:eastAsia="Arial" w:hAnsi="Arial"/>
          <w:sz w:val="20"/>
          <w:szCs w:val="20"/>
        </w:rPr>
        <w:t xml:space="preserve">Negative gross margins for 6+ consecutive quarters with no inflection would reinforce analyst skepticism. If operating cash burn is above $50M in Q2, balance sheet concerns become more prominent. Evidence: TTM gross margin -16%; no announced contracts to provide volume leverage. Impact: -$2-5 incremental if gross margin worsens. Probability: 40-50%.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[MEDIUM] Revenue below Q1's $30.5M. </w:t>
      </w:r>
      <w:r>
        <w:rPr>
          <w:rFonts w:ascii="Arial" w:cs="Arial" w:eastAsia="Arial" w:hAnsi="Arial"/>
          <w:sz w:val="20"/>
          <w:szCs w:val="20"/>
        </w:rPr>
        <w:t xml:space="preserve">Any revenue decline QoQ would signal the Korea LTSA deliveries are lumpy and the base business is not growing. Evidence: Q1 included module deliveries that may not repeat at same pace in Q2. Impact: -$2-3 on sentiment. Probability: 25-30%.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2800"/>
        <w:gridCol w:w="18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Assumptions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Implied Return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Named hyperscaler contract (100+ MW) signed; gross margin improves; management raises revenue outlook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$32–$40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+50% to +87%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hyperscaler contract; modest revenue growth QoQ; gross margin still negative; pipeline commentary constructive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$14–$18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-16% to -35%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contract; gross margin worsens or flat; management cautious on pipeline timing; balance sheet 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$8–$12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-44% to -63%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Probability-weighted expected value: </w:t>
      </w:r>
      <w:r>
        <w:rPr>
          <w:rFonts w:ascii="Arial" w:cs="Arial" w:eastAsia="Arial" w:hAnsi="Arial"/>
          <w:sz w:val="20"/>
          <w:szCs w:val="20"/>
        </w:rPr>
        <w:t xml:space="preserve">0.20 × $36 + 0.35 × $16 + 0.45 × $10 = $7.20 + $5.60 + $4.50 =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~$17.30 (P-weighted) vs $21.40 current → ~19% expected downside</w:t>
      </w:r>
      <w:r>
        <w:rPr>
          <w:rFonts w:ascii="Arial" w:cs="Arial" w:eastAsia="Arial" w:hAnsi="Arial"/>
          <w:sz w:val="20"/>
          <w:szCs w:val="20"/>
        </w:rPr>
        <w:t xml:space="preserve"> from current price. Even weighting the bull scenario at 20%, the expected value is below the current price. This reflects the asymmetric downside: the bear/base cases are more probable than the bull.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Metrics to Watch on June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Contract announcement: </w:t>
      </w:r>
      <w:r>
        <w:rPr>
          <w:rFonts w:ascii="Arial" w:cs="Arial" w:eastAsia="Arial" w:hAnsi="Arial"/>
          <w:sz w:val="20"/>
          <w:szCs w:val="20"/>
        </w:rPr>
        <w:t xml:space="preserve">Is there a signed hyperscaler or utility-scale data center contract? This single disclosure will dominate every other metric. The language to watch: 'signed' vs 'MOU' vs 'LOI' vs 'pricing proposal.' Any non-binding language is not the Oracle moment.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Gross profit: </w:t>
      </w:r>
      <w:r>
        <w:rPr>
          <w:rFonts w:ascii="Arial" w:cs="Arial" w:eastAsia="Arial" w:hAnsi="Arial"/>
          <w:sz w:val="20"/>
          <w:szCs w:val="20"/>
        </w:rPr>
        <w:t xml:space="preserve">Did Q2 generate positive gross profit? The company has been gross-margin negative for 6+ consecutive quarters. Turning positive for the first time (even slightly) signals volume leverage is beginning.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SDCL 450 MW progress: </w:t>
      </w:r>
      <w:r>
        <w:rPr>
          <w:rFonts w:ascii="Arial" w:cs="Arial" w:eastAsia="Arial" w:hAnsi="Arial"/>
          <w:sz w:val="20"/>
          <w:szCs w:val="20"/>
        </w:rPr>
        <w:t xml:space="preserve">Any update on the Sustainable Development Capital collaboration — specifically whether any of the 450 MW target has converted from 'identified opportunity' to 'development milestone.' Named project disclosures matter more than aggregate pipeline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Cash position and guidance: </w:t>
      </w:r>
      <w:r>
        <w:rPr>
          <w:rFonts w:ascii="Arial" w:cs="Arial" w:eastAsia="Arial" w:hAnsi="Arial"/>
          <w:sz w:val="20"/>
          <w:szCs w:val="20"/>
        </w:rPr>
        <w:t xml:space="preserve">With ~$45M/quarter OCF outflow, the July 2024 balance of $267M cash has likely declined to ~$150-180M. Any guidance on capital raises, EXIM Bank draws, or SDCL project financing is critical for runway concerns.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Torrington manufacturing update: </w:t>
      </w:r>
      <w:r>
        <w:rPr>
          <w:rFonts w:ascii="Arial" w:cs="Arial" w:eastAsia="Arial" w:hAnsi="Arial"/>
          <w:sz w:val="20"/>
          <w:szCs w:val="20"/>
        </w:rPr>
        <w:t xml:space="preserve">Progress toward 350 MW/yr capacity expansion. Any capital committed, timeline, or equipment orders would signal whether the scale-up is funded and on-track.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Management Guidance Focus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 conversion: </w:t>
      </w:r>
      <w:r>
        <w:rPr>
          <w:rFonts w:ascii="Arial" w:cs="Arial" w:eastAsia="Arial" w:hAnsi="Arial"/>
          <w:sz w:val="20"/>
          <w:szCs w:val="20"/>
        </w:rPr>
        <w:t xml:space="preserve">Will management quantify the 'hundreds of megawatts of pricing proposals' into something binding? The shift from 'proposals submitted' to 'LOIs signed' to 'purchase orders received' is the metric that matters.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Gross margin path: </w:t>
      </w:r>
      <w:r>
        <w:rPr>
          <w:rFonts w:ascii="Arial" w:cs="Arial" w:eastAsia="Arial" w:hAnsi="Arial"/>
          <w:sz w:val="20"/>
          <w:szCs w:val="20"/>
        </w:rPr>
        <w:t xml:space="preserve">What production volume is required to reach gross margin breakeven? Management has flagged 100 MW/yr annualized production as the adjusted EBITDA breakeven. At what volume does gross margin turn positive?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Balance sheet and financing: </w:t>
      </w:r>
      <w:r>
        <w:rPr>
          <w:rFonts w:ascii="Arial" w:cs="Arial" w:eastAsia="Arial" w:hAnsi="Arial"/>
          <w:sz w:val="20"/>
          <w:szCs w:val="20"/>
        </w:rPr>
        <w:t xml:space="preserve">EXIM Bank drew for Korea module financing; SDCL structured financing for projects. Any update on new capital structures or equity raise risks is important for near-term runway confidence.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Technology differentiation: </w:t>
      </w:r>
      <w:r>
        <w:rPr>
          <w:rFonts w:ascii="Arial" w:cs="Arial" w:eastAsia="Arial" w:hAnsi="Arial"/>
          <w:sz w:val="20"/>
          <w:szCs w:val="20"/>
        </w:rPr>
        <w:t xml:space="preserve">How are FCEL's molten carbonate cells positioned vs. Bloom's solid oxide for AI data centers? Native DC output (disclosed in Q1 FY26 call) is a genuine differentiator for data center power delivery — does management quantify this advantage?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Investment Implications — Upsteam AI Equity Research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12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D3D00"/>
                <w:sz w:val="19"/>
                <w:szCs w:val="19"/>
              </w:rPr>
              <w:t xml:space="preserve">CURRENT STATUS: Under Review. Not initiating until June 8 earnings. The vault thesis is: if FCEL announces a signed hyperscaler contract on June 8, this triggers the 'Bloom Energy pattern' and becomes a Buy. Without it, the risk/reward at $21.40 is unfavorable — expected value is ~$17.30, and the base/bear cases represent 35-63% downside. Do NOT chase ahead of the print. The opportunity was before the 279% run. If a contract IS announced, the entry point is the post-announcement dip (if any) as the market processes the news.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 assessment: Cautiously Negative heading into June 8</w:t>
      </w:r>
      <w:r>
        <w:rPr>
          <w:rFonts w:ascii="Arial" w:cs="Arial" w:eastAsia="Arial" w:hAnsi="Arial"/>
          <w:sz w:val="20"/>
          <w:szCs w:val="20"/>
        </w:rPr>
        <w:t xml:space="preserve"> — because [1] stock trading 145% above analyst consensus with no signed contract justifying the premium; [2] negative gross margins for 6+ quarters; [3] Bloom Energy has already locked in the hyperscaler relationships we'd need FCEL to compete for.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Key risk: </w:t>
      </w:r>
      <w:r>
        <w:rPr>
          <w:rFonts w:ascii="Arial" w:cs="Arial" w:eastAsia="Arial" w:hAnsi="Arial"/>
          <w:sz w:val="20"/>
          <w:szCs w:val="20"/>
        </w:rPr>
        <w:t xml:space="preserve">a surprise hyperscaler contract is announced, causing a 50%+ short-squeeze rally.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Next catalyst: </w:t>
      </w:r>
      <w:r>
        <w:rPr>
          <w:rFonts w:ascii="Arial" w:cs="Arial" w:eastAsia="Arial" w:hAnsi="Arial"/>
          <w:sz w:val="20"/>
          <w:szCs w:val="20"/>
        </w:rPr>
        <w:t xml:space="preserve">June 8 earnings call — the binary event that either validates or deflates the thesis.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Sources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[1] </w:t>
      </w:r>
      <w:hyperlink w:history="1" r:id="rIdpm7kjbdsieztrvq5zz9i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FuelCell Energy Q1 FY2026 Earnings Call (Mar 9, 2026)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[2] </w:t>
      </w:r>
      <w:hyperlink w:history="1" r:id="rIdn8kd0wthccj-rbl8k1yg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FuelCell Energy 2026 Annual General Meeting (Apr 2, 2026)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[3] </w:t>
      </w:r>
      <w:hyperlink w:history="1" r:id="rIdu0nuvpalmh0vxzzkfbbr6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FuelCell Energy Q4 FY2025 Earnings Call (Dec 18, 2025)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[4] </w:t>
      </w:r>
      <w:hyperlink w:history="1" r:id="rIdshegvmbilk4geevf1qmo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FuelCell Energy Q3 FY2025 Earnings Call (Sep 9, 2025)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[5] </w:t>
      </w:r>
      <w:hyperlink w:history="1" r:id="rId5_bi6t6oyjfnx9foheyq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FCEL 10-Q Q1 FY2026 (Mar 9, 2026)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[6] </w:t>
      </w:r>
      <w:hyperlink w:history="1" r:id="rIdeflmpifsndbktrrqbizm7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Simply Wall St — FCEL Valuation After Steep Rally (Jun 4, 2026)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[7] </w:t>
      </w:r>
      <w:hyperlink w:history="1" r:id="rIdgdt-gg0gprhfq6dxxgum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AOL.com — FuelCell Energy Plunges 10% (Jun 3, 2026)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[8] </w:t>
      </w:r>
      <w:hyperlink w:history="1" r:id="rIdb9kbvvu0eyd252nsqlyx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Benzinga — Trump Clean Energy Stocks (Jun 2, 2026)</w:t>
        </w:r>
      </w:hyperlink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[9] </w:t>
      </w:r>
      <w:hyperlink w:history="1" r:id="rIdf-g909o4h-djrcsid2as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Zacks — Bloom Energy vs FuelCell Energy (Jun 1, 2026)</w:t>
        </w:r>
      </w:hyperlink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75B6" w:sz="4"/>
        </w:pBd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Powered by </w:t>
      </w:r>
      <w:hyperlink w:history="1" r:id="rIdxg1aixxuo4eb6ashsuab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Bigdata.com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— Data sourced from Bigdata.com financial intelligence, Quartr earnings transcripts, and SEC EDGAR.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DISCLAIMER: For informational and research-assistance purposes only. Not investment advice. Not a recommendation to buy, sell, or hold any security. Verify independently before acting.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Powered by Bigdata.com  |  For informational purposes only. Not investment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4" w:space="4"/>
      </w:pBdr>
      <w:spacing w:after="80" w:before="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UPSTEAM AI EQUITY RESEARCH</w:t>
    </w:r>
    <w:r>
      <w:rPr>
        <w:rFonts w:ascii="Arial" w:cs="Arial" w:eastAsia="Arial" w:hAnsi="Arial"/>
        <w:color w:val="999999"/>
        <w:sz w:val="20"/>
        <w:szCs w:val="20"/>
      </w:rPr>
      <w:t xml:space="preserve">   |   </w:t>
    </w: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Earnings Preview</w:t>
    </w:r>
    <w:r>
      <w:rPr>
        <w:rFonts w:ascii="Arial" w:cs="Arial" w:eastAsia="Arial" w:hAnsi="Arial"/>
        <w:color w:val="999999"/>
        <w:sz w:val="20"/>
        <w:szCs w:val="20"/>
      </w:rPr>
      <w:t xml:space="preserve">   |   </w:t>
    </w:r>
    <w:r>
      <w:rPr>
        <w:rFonts w:ascii="Arial" w:cs="Arial" w:eastAsia="Arial" w:hAnsi="Arial"/>
        <w:color w:val="666666"/>
        <w:sz w:val="20"/>
        <w:szCs w:val="20"/>
      </w:rPr>
      <w:t xml:space="preserve">June 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t-jqcdayhkyvq1-oktni" Type="http://schemas.openxmlformats.org/officeDocument/2006/relationships/hyperlink" Target="https://app.bigdata.com/documents/845358D1157DB929148753AD06197513" TargetMode="External"/><Relationship Id="rId6e81a6kcinpgupgmnfnvf" Type="http://schemas.openxmlformats.org/officeDocument/2006/relationships/hyperlink" Target="https://app.bigdata.com/documents/88E67F3E1F1328DE5CC6028F9BCD4DD7" TargetMode="External"/><Relationship Id="rIdmpoibtk53mj9ubeib0rn4" Type="http://schemas.openxmlformats.org/officeDocument/2006/relationships/hyperlink" Target="https://app.bigdata.com/documents/70D25F719162BF20463E858E252F5724" TargetMode="External"/><Relationship Id="rIduf9frkmbez2g05aj-bs-o" Type="http://schemas.openxmlformats.org/officeDocument/2006/relationships/hyperlink" Target="https://www.sec.gov/Archives/edgar/data/886128/000110465926024970/fcel-20260131x10q.htm" TargetMode="External"/><Relationship Id="rIdhgay1hhzvouijuktbxyig" Type="http://schemas.openxmlformats.org/officeDocument/2006/relationships/hyperlink" Target="https://app.bigdata.com/documents/E2A3A7CA8460CD9DC1A190AD96D5EF46" TargetMode="External"/><Relationship Id="rIdpm7kjbdsieztrvq5zz9ij" Type="http://schemas.openxmlformats.org/officeDocument/2006/relationships/hyperlink" Target="https://app.bigdata.com/documents/88E67F3E1F1328DE5CC6028F9BCD4DD7" TargetMode="External"/><Relationship Id="rIdn8kd0wthccj-rbl8k1ygq" Type="http://schemas.openxmlformats.org/officeDocument/2006/relationships/hyperlink" Target="https://app.bigdata.com/documents/845358D1157DB929148753AD06197513" TargetMode="External"/><Relationship Id="rIdu0nuvpalmh0vxzzkfbbr6" Type="http://schemas.openxmlformats.org/officeDocument/2006/relationships/hyperlink" Target="https://app.bigdata.com/documents/70D25F719162BF20463E858E252F5724" TargetMode="External"/><Relationship Id="rIdshegvmbilk4geevf1qmog" Type="http://schemas.openxmlformats.org/officeDocument/2006/relationships/hyperlink" Target="https://app.bigdata.com/documents/E2A3A7CA8460CD9DC1A190AD96D5EF46" TargetMode="External"/><Relationship Id="rId5_bi6t6oyjfnx9foheyql" Type="http://schemas.openxmlformats.org/officeDocument/2006/relationships/hyperlink" Target="https://www.sec.gov/Archives/edgar/data/886128/000110465926024970/fcel-20260131x10q.htm" TargetMode="External"/><Relationship Id="rIdeflmpifsndbktrrqbizm7" Type="http://schemas.openxmlformats.org/officeDocument/2006/relationships/hyperlink" Target="https://app.bigdata.com/documents/1CAFB681C9E9FDFCEB50437B7EADE048" TargetMode="External"/><Relationship Id="rIdgdt-gg0gprhfq6dxxgumw" Type="http://schemas.openxmlformats.org/officeDocument/2006/relationships/hyperlink" Target="https://app.bigdata.com/documents/86FFDCA3B0435FF7E51C47B9F0F414BE" TargetMode="External"/><Relationship Id="rIdb9kbvvu0eyd252nsqlyxx" Type="http://schemas.openxmlformats.org/officeDocument/2006/relationships/hyperlink" Target="https://app.bigdata.com/documents/F05D607545A085A97D9435F7F628F236" TargetMode="External"/><Relationship Id="rIdf-g909o4h-djrcsid2asj" Type="http://schemas.openxmlformats.org/officeDocument/2006/relationships/hyperlink" Target="https://app.bigdata.com/documents/A34BE52E4386C56E0DE88F7B39DE1AD5" TargetMode="External"/><Relationship Id="rIdxg1aixxuo4eb6ashsuaby" Type="http://schemas.openxmlformats.org/officeDocument/2006/relationships/hyperlink" Target="https://bigdata.com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2026-06-05T00:46:19.641Z</dcterms:created>
  <dcterms:modified xsi:type="dcterms:W3CDTF">2026-06-05T00:46:19.647Z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