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56"/>
          <w:szCs w:val="56"/>
        </w:rPr>
        <w:t xml:space="preserve">VARIANT PERCEPTION</w:t>
      </w:r>
    </w:p>
    <w:p>
      <w:pPr>
        <w:spacing w:after="80" w:before="0"/>
      </w:pPr>
      <w:r>
        <w:rPr>
          <w:rFonts w:ascii="Arial" w:cs="Arial" w:eastAsia="Arial" w:hAnsi="Arial"/>
          <w:color w:val="2E75B6"/>
          <w:sz w:val="32"/>
          <w:szCs w:val="32"/>
        </w:rPr>
        <w:t xml:space="preserve">Power-Gen-Grid Series: CEG  ·  NRG  ·  VST</w:t>
      </w:r>
    </w:p>
    <w:p>
      <w:pPr>
        <w:spacing w:after="60" w:before="0"/>
      </w:pPr>
      <w:r>
        <w:rPr>
          <w:rFonts w:ascii="Arial" w:cs="Arial" w:eastAsia="Arial" w:hAnsi="Arial"/>
          <w:color w:val="666666"/>
          <w:sz w:val="20"/>
          <w:szCs w:val="20"/>
        </w:rPr>
        <w:t xml:space="preserve">Upsteam AI Equity Research  |  June 4, 2026</w:t>
      </w:r>
    </w:p>
    <w:p>
      <w:pPr>
        <w:spacing w:after="100" w:before="1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D6E4F0" w:val="clear"/>
            <w:tcMar>
              <w:top w:type="dxa" w:w="120"/>
              <w:left w:type="dxa" w:w="200"/>
              <w:bottom w:type="dxa" w:w="120"/>
              <w:right w:type="dxa" w:w="120"/>
            </w:tcMar>
          </w:tcPr>
          <w:p>
            <w:pPr>
              <w:spacing w:after="40" w:before="40"/>
            </w:pPr>
            <w:r>
              <w:rPr>
                <w:rFonts w:ascii="Arial" w:cs="Arial" w:eastAsia="Arial" w:hAnsi="Arial"/>
                <w:i/>
                <w:iCs/>
                <w:color w:val="1F3864"/>
                <w:sz w:val="19"/>
                <w:szCs w:val="19"/>
              </w:rPr>
              <w:t xml:space="preserve">These three names represent the widest consensus-to-stock-price gaps in the coverage universe: CEG -44%, NRG -45%, VST -49% vs. consensus price targets. This document uses the EPIC and FaVeS frameworks to articulate precisely where the market is wrong, by how much, and what evidence will close the gap.</w:t>
            </w:r>
          </w:p>
        </w:tc>
      </w:tr>
    </w:tbl>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w:r>
    </w:p>
    <w:p>
      <w:r>
        <w:br w:type="page"/>
      </w:r>
    </w:p>
    <w:p>
      <w:pPr>
        <w:pStyle w:val="Heading1"/>
        <w:spacing w:after="160" w:before="0"/>
      </w:pPr>
      <w:r>
        <w:rPr>
          <w:rFonts w:ascii="Arial" w:cs="Arial" w:eastAsia="Arial" w:hAnsi="Arial"/>
          <w:b/>
          <w:bCs/>
          <w:color w:val="1F3864"/>
          <w:sz w:val="36"/>
          <w:szCs w:val="36"/>
        </w:rPr>
        <w:t xml:space="preserve">1. CONSTELLATION ENERGY  (CEG)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1800"/>
      </w:tblGrid>
      <w:tr>
        <w:tc>
          <w:tcPr>
            <w:tcW w:type="dxa" w:w="2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20" w:before="0"/>
            </w:pPr>
            <w:r>
              <w:rPr>
                <w:rFonts w:ascii="Arial" w:cs="Arial" w:eastAsia="Arial" w:hAnsi="Arial"/>
                <w:b/>
                <w:bCs/>
                <w:color w:val="FFFFFF"/>
                <w:sz w:val="52"/>
                <w:szCs w:val="52"/>
              </w:rPr>
              <w:t xml:space="preserve">CEG</w:t>
            </w:r>
          </w:p>
          <w:p>
            <w:pPr>
              <w:spacing w:after="0" w:before="0"/>
            </w:pPr>
            <w:r>
              <w:rPr>
                <w:rFonts w:ascii="Arial" w:cs="Arial" w:eastAsia="Arial" w:hAnsi="Arial"/>
                <w:color w:val="B8CCE4"/>
                <w:sz w:val="16"/>
                <w:szCs w:val="16"/>
              </w:rPr>
              <w:t xml:space="preserve">Power-Gen-Grid</w:t>
            </w:r>
          </w:p>
        </w:tc>
        <w:tc>
          <w:tcPr>
            <w:tcW w:type="dxa" w:w="1800"/>
            <w:tcBorders>
              <w:top w:val="none" w:color="FFFFFF" w:sz="0"/>
              <w:left w:val="none" w:color="FFFFFF" w:sz="0"/>
              <w:bottom w:val="none" w:color="FFFFFF" w:sz="0"/>
              <w:right w:val="none" w:color="FFFFFF" w:sz="0"/>
            </w:tcBorders>
            <w:shd w:fill="1E7145" w:val="clear"/>
            <w:tcMar>
              <w:top w:type="dxa" w:w="120"/>
              <w:left w:type="dxa" w:w="160"/>
              <w:bottom w:type="dxa" w:w="120"/>
              <w:right w:type="dxa" w:w="160"/>
            </w:tcMar>
            <w:vAlign w:val="center"/>
          </w:tcPr>
          <w:p>
            <w:pPr>
              <w:spacing w:after="10" w:before="0"/>
              <w:jc w:val="center"/>
            </w:pPr>
            <w:r>
              <w:rPr>
                <w:rFonts w:ascii="Arial" w:cs="Arial" w:eastAsia="Arial" w:hAnsi="Arial"/>
                <w:b/>
                <w:bCs/>
                <w:color w:val="FFFFFF"/>
                <w:sz w:val="36"/>
                <w:szCs w:val="36"/>
              </w:rPr>
              <w:t xml:space="preserve">BUY</w:t>
            </w:r>
          </w:p>
          <w:p>
            <w:pPr>
              <w:spacing w:after="0" w:before="0"/>
              <w:jc w:val="center"/>
            </w:pPr>
            <w:r>
              <w:rPr>
                <w:rFonts w:ascii="Arial" w:cs="Arial" w:eastAsia="Arial" w:hAnsi="Arial"/>
                <w:color w:val="C8E6C9"/>
                <w:sz w:val="14"/>
                <w:szCs w:val="14"/>
              </w:rPr>
              <w:t xml:space="preserve">RATING</w:t>
            </w:r>
          </w:p>
        </w:tc>
        <w:tc>
          <w:tcPr>
            <w:tcW w:type="dxa" w:w="178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vAlign w:val="center"/>
          </w:tcPr>
          <w:p>
            <w:pPr>
              <w:spacing w:after="10" w:before="0"/>
              <w:jc w:val="center"/>
            </w:pPr>
            <w:r>
              <w:rPr>
                <w:rFonts w:ascii="Arial" w:cs="Arial" w:eastAsia="Arial" w:hAnsi="Arial"/>
                <w:b/>
                <w:bCs/>
                <w:color w:val="333333"/>
                <w:sz w:val="28"/>
                <w:szCs w:val="28"/>
              </w:rPr>
              <w:t xml:space="preserve">$267</w:t>
            </w:r>
          </w:p>
          <w:p>
            <w:pPr>
              <w:spacing w:after="0" w:before="0"/>
              <w:jc w:val="center"/>
            </w:pPr>
            <w:r>
              <w:rPr>
                <w:rFonts w:ascii="Arial" w:cs="Arial" w:eastAsia="Arial" w:hAnsi="Arial"/>
                <w:color w:val="666666"/>
                <w:sz w:val="14"/>
                <w:szCs w:val="14"/>
              </w:rPr>
              <w:t xml:space="preserve">CURRENT</w:t>
            </w:r>
          </w:p>
        </w:tc>
        <w:tc>
          <w:tcPr>
            <w:tcW w:type="dxa" w:w="17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spacing w:after="10" w:before="0"/>
              <w:jc w:val="center"/>
            </w:pPr>
            <w:r>
              <w:rPr>
                <w:rFonts w:ascii="Arial" w:cs="Arial" w:eastAsia="Arial" w:hAnsi="Arial"/>
                <w:b/>
                <w:bCs/>
                <w:color w:val="1F3864"/>
                <w:sz w:val="28"/>
                <w:szCs w:val="28"/>
              </w:rPr>
              <w:t xml:space="preserve">$385</w:t>
            </w:r>
          </w:p>
          <w:p>
            <w:pPr>
              <w:spacing w:after="0" w:before="0"/>
              <w:jc w:val="center"/>
            </w:pPr>
            <w:r>
              <w:rPr>
                <w:rFonts w:ascii="Arial" w:cs="Arial" w:eastAsia="Arial" w:hAnsi="Arial"/>
                <w:color w:val="2E75B6"/>
                <w:sz w:val="14"/>
                <w:szCs w:val="14"/>
              </w:rPr>
              <w:t xml:space="preserve">PRICE TARGET</w:t>
            </w:r>
          </w:p>
        </w:tc>
        <w:tc>
          <w:tcPr>
            <w:tcW w:type="dxa" w:w="1800"/>
            <w:tcBorders>
              <w:top w:val="none" w:color="FFFFFF" w:sz="0"/>
              <w:left w:val="none" w:color="FFFFFF" w:sz="0"/>
              <w:bottom w:val="none" w:color="FFFFFF" w:sz="0"/>
              <w:right w:val="none" w:color="FFFFFF" w:sz="0"/>
            </w:tcBorders>
            <w:shd w:fill="FFF3CC" w:val="clear"/>
            <w:tcMar>
              <w:top w:type="dxa" w:w="120"/>
              <w:left w:type="dxa" w:w="160"/>
              <w:bottom w:type="dxa" w:w="120"/>
              <w:right w:type="dxa" w:w="160"/>
            </w:tcMar>
            <w:vAlign w:val="center"/>
          </w:tcPr>
          <w:p>
            <w:pPr>
              <w:spacing w:after="10" w:before="0"/>
              <w:jc w:val="center"/>
            </w:pPr>
            <w:r>
              <w:rPr>
                <w:rFonts w:ascii="Arial" w:cs="Arial" w:eastAsia="Arial" w:hAnsi="Arial"/>
                <w:b/>
                <w:bCs/>
                <w:color w:val="BF8F00"/>
                <w:sz w:val="28"/>
                <w:szCs w:val="28"/>
              </w:rPr>
              <w:t xml:space="preserve">+44%</w:t>
            </w:r>
          </w:p>
          <w:p>
            <w:pPr>
              <w:spacing w:after="0" w:before="0"/>
              <w:jc w:val="center"/>
            </w:pPr>
            <w:r>
              <w:rPr>
                <w:rFonts w:ascii="Arial" w:cs="Arial" w:eastAsia="Arial" w:hAnsi="Arial"/>
                <w:color w:val="BF8F00"/>
                <w:sz w:val="14"/>
                <w:szCs w:val="14"/>
              </w:rPr>
              <w:t xml:space="preserve">UPSIDE</w:t>
            </w:r>
          </w:p>
        </w:tc>
      </w:tr>
    </w:tbl>
    <w:p>
      <w:pPr>
        <w:spacing w:after="100" w:before="100"/>
      </w:pPr>
      <w:r>
        <w:rPr>
          <w:rFonts w:ascii="Arial" w:cs="Arial" w:eastAsia="Arial" w:hAnsi="Arial"/>
          <w:sz w:val="20"/>
          <w:szCs w:val="20"/>
        </w:rPr>
        <w:t xml:space="preserve"/>
      </w:r>
    </w:p>
    <w:p>
      <w:pPr>
        <w:spacing w:after="80" w:before="80"/>
        <w:jc w:val="left"/>
      </w:pPr>
      <w:r>
        <w:rPr>
          <w:rFonts w:ascii="Arial" w:cs="Arial" w:eastAsia="Arial" w:hAnsi="Arial"/>
          <w:b/>
          <w:bCs/>
          <w:sz w:val="20"/>
          <w:szCs w:val="20"/>
        </w:rPr>
        <w:t xml:space="preserve">One-line variant: </w:t>
      </w:r>
      <w:r>
        <w:rPr>
          <w:rFonts w:ascii="Arial" w:cs="Arial" w:eastAsia="Arial" w:hAnsi="Arial"/>
          <w:sz w:val="20"/>
          <w:szCs w:val="20"/>
        </w:rPr>
        <w:t xml:space="preserve">The market is penalizing CEG for a conservative EPS guidance range while ignoring $385+ intrinsic value supported by 10,000+ MW of signed hyperscaler PPAs, Calpine FCF accretion, and a nuclear uprate pipeline that management explicitly excluded from base guidance.</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1.1  EPIC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1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Question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Assessment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Material to intrinsic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CFRA (May 2026): 20% EPS CAGR through 2029 excluding hyperscaler upside. Calpine adds &gt;$2B annual FCF. Q1 2026 adj. EPS $2.74 beat consensus by 5.1%. IRA nuclear PTC ($15/MWh) floors earnings through 2032. Each incremental hyperscaler GW = ~$400-600M annual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Predictability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Can we forecast drivers reliably?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Nuclear capacity factors (94.7% 2025) are highly predictable. Microsoft PPA (835 MW) and Meta PPA (1,121 MW) are signed 20-year contracts providing revenue certainty. Calpine dispatch is contractually defined. Only uncertainty: timing of incremental PPA signings — which management guided conservatively.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Independence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Does consensus misjudge this?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Yes. Market anchored on March 2026 guidance 'miss' ($11.00-$12.00 vs. ~$11.78 expected). Management explicitly stated it excluded 'significant upside from hyperscaler contracting, natural gas optimization, and the $5B buyback program.' The contracted earnings stream through 2040+ is not reflected in the current stock 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Consensus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Gap between our view and price?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Analyst consensus PT: $391 mean / $392 median. Our PT: $385 — we are below consensus. Stock at $267 is 32% below analyst consensus. The variance is not us vs. Street analysts — it's a positioning/sentiment dislocation. The buy-side has not acted on the analyst views.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1.2  FaVeS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Consensus View</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Our Variant 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Fundamentals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Nuclear IPP earning ~$4B adj. OCF. 94.7% fleet capacity factor. Calpine adds 33 GW gas fleet, &gt;$2B FCF accretion. 2026 adj. EPS guided $11.00-$12.00 (+28% YoY). Q1 beat by 5.1%.</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Nuclear economics are structurally superior: zero fuel cost variability, IRA PTC downside floor, 20-year life post-extension. Calpine co-location enables data center deals at above-merchant pricing. Combined 55+ GW fleet is national AI infrastructure.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Valuation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Street consensus: $391 PT, ~18-20x EV/EBITDA on $8B+ pro forma EBITDA. Reverse DCF at $267: implies zero hyperscaler PPA growth, flat earnings post-2026.</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Our $385 PT = 15x 2026E EV/EBITDA (~$8.5B) — still a 30%+ discount to contracted-nuclear peers (EDF Europe ~18x). The hyperscaler PPA optionality layer is a free call option at current price. $267 stock implies $3-4B of nuclear value has evaporated — it hasn't.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Sentiment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Down 35% from $413 peak. Narrative: Calpine integration challenged, hyperscaler demand slowing, nuclear premium deflated. Post-March guidance selloff created maximum pessimism.</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Every bear narrative is contradicted by recent data: (1) Q1 beat by 5.1%. (2) CyrusOne signed 760 MW across Texas in Q4 2025-Q1 2026. (3) NRC approved Clinton through 2047, Dresden 2049/2051. Management: 'We can structure deals now regardless of PJM outcome.' Positioning is washed out.</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1.3  Specific Disagreement vs. Consensus</w:t>
      </w:r>
    </w:p>
    <w:p>
      <w:pPr>
        <w:pStyle w:val="ListParagraph"/>
        <w:numPr>
          <w:ilvl w:val="0"/>
          <w:numId w:val="2"/>
        </w:numPr>
        <w:spacing w:after="60" w:before="60"/>
      </w:pPr>
      <w:r>
        <w:rPr>
          <w:rFonts w:ascii="Arial" w:cs="Arial" w:eastAsia="Arial" w:hAnsi="Arial"/>
          <w:b/>
          <w:bCs/>
          <w:sz w:val="20"/>
          <w:szCs w:val="20"/>
        </w:rPr>
        <w:t xml:space="preserve">Consensus says: </w:t>
      </w:r>
      <w:r>
        <w:rPr>
          <w:rFonts w:ascii="Arial" w:cs="Arial" w:eastAsia="Arial" w:hAnsi="Arial"/>
          <w:sz w:val="20"/>
          <w:szCs w:val="20"/>
        </w:rPr>
        <w:t xml:space="preserve">$11.50 EPS is the 2026 base case; guidance implies limited 2026 deal flow.</w:t>
      </w:r>
    </w:p>
    <w:p>
      <w:pPr>
        <w:pStyle w:val="ListParagraph"/>
        <w:numPr>
          <w:ilvl w:val="0"/>
          <w:numId w:val="2"/>
        </w:numPr>
        <w:spacing w:after="60" w:before="60"/>
      </w:pPr>
      <w:r>
        <w:rPr>
          <w:rFonts w:ascii="Arial" w:cs="Arial" w:eastAsia="Arial" w:hAnsi="Arial"/>
          <w:b/>
          <w:bCs/>
          <w:sz w:val="20"/>
          <w:szCs w:val="20"/>
        </w:rPr>
        <w:t xml:space="preserve">We say: </w:t>
      </w:r>
      <w:r>
        <w:rPr>
          <w:rFonts w:ascii="Arial" w:cs="Arial" w:eastAsia="Arial" w:hAnsi="Arial"/>
          <w:sz w:val="20"/>
          <w:szCs w:val="20"/>
        </w:rPr>
        <w:t xml:space="preserve">Management already contracted 10,000 MW at premium pricing — almost none is in $11.50 EPS midpoint. Base case EPS CAGR 20% through 2029 before any additional deals. Q1 2026 beat already shows guidance is conservative.</w:t>
      </w:r>
    </w:p>
    <w:p>
      <w:pPr>
        <w:pStyle w:val="ListParagraph"/>
        <w:numPr>
          <w:ilvl w:val="0"/>
          <w:numId w:val="2"/>
        </w:numPr>
        <w:spacing w:after="60" w:before="60"/>
      </w:pPr>
      <w:r>
        <w:rPr>
          <w:rFonts w:ascii="Arial" w:cs="Arial" w:eastAsia="Arial" w:hAnsi="Arial"/>
          <w:b/>
          <w:bCs/>
          <w:sz w:val="20"/>
          <w:szCs w:val="20"/>
        </w:rPr>
        <w:t xml:space="preserve">Key evidence: </w:t>
      </w:r>
      <w:r>
        <w:rPr>
          <w:rFonts w:ascii="Arial" w:cs="Arial" w:eastAsia="Arial" w:hAnsi="Arial"/>
          <w:sz w:val="20"/>
          <w:szCs w:val="20"/>
        </w:rPr>
        <w:t xml:space="preserve">CFRA (May 11, 2026) rates outperform; CyrusOne Phase 2 (380 MW exclusive) signed Q4 2025; Calpine Freestone facility operational Q4 2026; Clinton nuclear extended through 2047.</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1.4  Catalyst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60"/>
        <w:gridCol w:w="3040"/>
        <w:gridCol w:w="24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Event</w:t>
            </w:r>
          </w:p>
        </w:tc>
        <w:tc>
          <w:tcPr>
            <w:tcW w:type="dxa" w:w="3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Bull Case Impact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Monitoring Signal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Aug 7,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Q2 2026 earnings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+10-15% if hyperscaler PPA announcement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Track incremental contracted MW; EPS vs. $11.50 annualized run rate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H2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Incremental PPA signing</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+8-12% per major hyperscaler contract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8-K filings; CEG IR commentary on 'additional conversations'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2027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Crane/TMI restart (835 MW)</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+5-8% as Microsoft PPA revenue begins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NRC milestones; DOE loan drawdowns; construction progress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2026-2029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PJM capacity auctions</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+3-7% per auction above expectations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PJM CIFP regulatory process; RPM clearing prices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1.5  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0F0" w:val="clear"/>
            <w:tcMar>
              <w:top w:type="dxa" w:w="120"/>
              <w:left w:type="dxa" w:w="200"/>
              <w:bottom w:type="dxa" w:w="120"/>
              <w:right w:type="dxa" w:w="120"/>
            </w:tcMar>
          </w:tcPr>
          <w:p>
            <w:pPr>
              <w:spacing w:after="40" w:before="40"/>
            </w:pPr>
            <w:r>
              <w:rPr>
                <w:rFonts w:ascii="Arial" w:cs="Arial" w:eastAsia="Arial" w:hAnsi="Arial"/>
                <w:i/>
                <w:iCs/>
                <w:color w:val="C00000"/>
                <w:sz w:val="19"/>
                <w:szCs w:val="19"/>
              </w:rPr>
              <w:t xml:space="preserve">CHANGE RATING IF: (1) Two+ major hyperscaler deals fall through due to adverse PJM ruling. (2) Calpine EBITDA contribution &lt;$1.5B in first full year vs. ~$2B expected. (3) Nuclear capacity factor drops below 90% for two consecutive quarters. Bear case price: $220 (10x 2026E EBITDA, no hyperscaler upside, Calpine disappoints).</w:t>
            </w:r>
          </w:p>
        </w:tc>
      </w:tr>
    </w:tbl>
    <w:p>
      <w:pPr>
        <w:spacing w:after="80" w:before="120"/>
        <w:jc w:val="left"/>
      </w:pPr>
      <w:r>
        <w:rPr>
          <w:rFonts w:ascii="Arial" w:cs="Arial" w:eastAsia="Arial" w:hAnsi="Arial"/>
          <w:sz w:val="20"/>
          <w:szCs w:val="20"/>
        </w:rPr>
        <w:t xml:space="preserve">Sources: </w:t>
      </w:r>
      <w:hyperlink w:history="1" r:id="rIdmy9yxrswi96yxzdzmhhbc">
        <w:r>
          <w:rPr>
            <w:rStyle w:val="Hyperlink"/>
            <w:rFonts w:ascii="Arial" w:cs="Arial" w:eastAsia="Arial" w:hAnsi="Arial"/>
            <w:sz w:val="18"/>
            <w:szCs w:val="18"/>
          </w:rPr>
          <w:t xml:space="preserve">CEG Q1 2026 Earnings Call (May 11, 2026)</w:t>
        </w:r>
      </w:hyperlink>
      <w:r>
        <w:rPr>
          <w:rFonts w:ascii="Arial" w:cs="Arial" w:eastAsia="Arial" w:hAnsi="Arial"/>
          <w:sz w:val="20"/>
          <w:szCs w:val="20"/>
        </w:rPr>
        <w:t xml:space="preserve"> | </w:t>
      </w:r>
      <w:hyperlink w:history="1" r:id="rIdevmy1nacy5y_rl8yalx-s">
        <w:r>
          <w:rPr>
            <w:rStyle w:val="Hyperlink"/>
            <w:rFonts w:ascii="Arial" w:cs="Arial" w:eastAsia="Arial" w:hAnsi="Arial"/>
            <w:sz w:val="18"/>
            <w:szCs w:val="18"/>
          </w:rPr>
          <w:t xml:space="preserve">CFRA Research Alert (May 11, 2026)</w:t>
        </w:r>
      </w:hyperlink>
      <w:r>
        <w:rPr>
          <w:rFonts w:ascii="Arial" w:cs="Arial" w:eastAsia="Arial" w:hAnsi="Arial"/>
          <w:sz w:val="20"/>
          <w:szCs w:val="20"/>
        </w:rPr>
        <w:t xml:space="preserve"> | </w:t>
      </w:r>
      <w:hyperlink w:history="1" r:id="rId9xoln_8jr8crci1p46evc">
        <w:r>
          <w:rPr>
            <w:rStyle w:val="Hyperlink"/>
            <w:rFonts w:ascii="Arial" w:cs="Arial" w:eastAsia="Arial" w:hAnsi="Arial"/>
            <w:sz w:val="18"/>
            <w:szCs w:val="18"/>
          </w:rPr>
          <w:t xml:space="preserve">CEG Q4 2025 Results (Feb 24, 2026)</w:t>
        </w:r>
      </w:hyperlink>
      <w:r>
        <w:rPr>
          <w:rFonts w:ascii="Arial" w:cs="Arial" w:eastAsia="Arial" w:hAnsi="Arial"/>
          <w:sz w:val="20"/>
          <w:szCs w:val="20"/>
        </w:rPr>
        <w:t xml:space="preserve"> | </w:t>
      </w:r>
      <w:hyperlink w:history="1" r:id="rIdhfiurwfqzizzivgcayeyo">
        <w:r>
          <w:rPr>
            <w:rStyle w:val="Hyperlink"/>
            <w:rFonts w:ascii="Arial" w:cs="Arial" w:eastAsia="Arial" w:hAnsi="Arial"/>
            <w:sz w:val="18"/>
            <w:szCs w:val="18"/>
          </w:rPr>
          <w:t xml:space="preserve">CEG 10-Q Q1 2026</w:t>
        </w:r>
      </w:hyperlink>
    </w:p>
    <w:p>
      <w:r>
        <w:br w:type="page"/>
      </w:r>
    </w:p>
    <w:p>
      <w:pPr>
        <w:pStyle w:val="Heading1"/>
        <w:spacing w:after="160" w:before="0"/>
      </w:pPr>
      <w:r>
        <w:rPr>
          <w:rFonts w:ascii="Arial" w:cs="Arial" w:eastAsia="Arial" w:hAnsi="Arial"/>
          <w:b/>
          <w:bCs/>
          <w:color w:val="1F3864"/>
          <w:sz w:val="36"/>
          <w:szCs w:val="36"/>
        </w:rPr>
        <w:t xml:space="preserve">2. NRG ENERGY  (NRG)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1800"/>
      </w:tblGrid>
      <w:tr>
        <w:tc>
          <w:tcPr>
            <w:tcW w:type="dxa" w:w="2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20" w:before="0"/>
            </w:pPr>
            <w:r>
              <w:rPr>
                <w:rFonts w:ascii="Arial" w:cs="Arial" w:eastAsia="Arial" w:hAnsi="Arial"/>
                <w:b/>
                <w:bCs/>
                <w:color w:val="FFFFFF"/>
                <w:sz w:val="52"/>
                <w:szCs w:val="52"/>
              </w:rPr>
              <w:t xml:space="preserve">NRG</w:t>
            </w:r>
          </w:p>
          <w:p>
            <w:pPr>
              <w:spacing w:after="0" w:before="0"/>
            </w:pPr>
            <w:r>
              <w:rPr>
                <w:rFonts w:ascii="Arial" w:cs="Arial" w:eastAsia="Arial" w:hAnsi="Arial"/>
                <w:color w:val="B8CCE4"/>
                <w:sz w:val="16"/>
                <w:szCs w:val="16"/>
              </w:rPr>
              <w:t xml:space="preserve">Power-Gen-Grid</w:t>
            </w:r>
          </w:p>
        </w:tc>
        <w:tc>
          <w:tcPr>
            <w:tcW w:type="dxa" w:w="1800"/>
            <w:tcBorders>
              <w:top w:val="none" w:color="FFFFFF" w:sz="0"/>
              <w:left w:val="none" w:color="FFFFFF" w:sz="0"/>
              <w:bottom w:val="none" w:color="FFFFFF" w:sz="0"/>
              <w:right w:val="none" w:color="FFFFFF" w:sz="0"/>
            </w:tcBorders>
            <w:shd w:fill="1E7145" w:val="clear"/>
            <w:tcMar>
              <w:top w:type="dxa" w:w="120"/>
              <w:left w:type="dxa" w:w="160"/>
              <w:bottom w:type="dxa" w:w="120"/>
              <w:right w:type="dxa" w:w="160"/>
            </w:tcMar>
            <w:vAlign w:val="center"/>
          </w:tcPr>
          <w:p>
            <w:pPr>
              <w:spacing w:after="10" w:before="0"/>
              <w:jc w:val="center"/>
            </w:pPr>
            <w:r>
              <w:rPr>
                <w:rFonts w:ascii="Arial" w:cs="Arial" w:eastAsia="Arial" w:hAnsi="Arial"/>
                <w:b/>
                <w:bCs/>
                <w:color w:val="FFFFFF"/>
                <w:sz w:val="36"/>
                <w:szCs w:val="36"/>
              </w:rPr>
              <w:t xml:space="preserve">BUY</w:t>
            </w:r>
          </w:p>
          <w:p>
            <w:pPr>
              <w:spacing w:after="0" w:before="0"/>
              <w:jc w:val="center"/>
            </w:pPr>
            <w:r>
              <w:rPr>
                <w:rFonts w:ascii="Arial" w:cs="Arial" w:eastAsia="Arial" w:hAnsi="Arial"/>
                <w:color w:val="C8E6C9"/>
                <w:sz w:val="14"/>
                <w:szCs w:val="14"/>
              </w:rPr>
              <w:t xml:space="preserve">RATING</w:t>
            </w:r>
          </w:p>
        </w:tc>
        <w:tc>
          <w:tcPr>
            <w:tcW w:type="dxa" w:w="178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vAlign w:val="center"/>
          </w:tcPr>
          <w:p>
            <w:pPr>
              <w:spacing w:after="10" w:before="0"/>
              <w:jc w:val="center"/>
            </w:pPr>
            <w:r>
              <w:rPr>
                <w:rFonts w:ascii="Arial" w:cs="Arial" w:eastAsia="Arial" w:hAnsi="Arial"/>
                <w:b/>
                <w:bCs/>
                <w:color w:val="333333"/>
                <w:sz w:val="28"/>
                <w:szCs w:val="28"/>
              </w:rPr>
              <w:t xml:space="preserve">$134</w:t>
            </w:r>
          </w:p>
          <w:p>
            <w:pPr>
              <w:spacing w:after="0" w:before="0"/>
              <w:jc w:val="center"/>
            </w:pPr>
            <w:r>
              <w:rPr>
                <w:rFonts w:ascii="Arial" w:cs="Arial" w:eastAsia="Arial" w:hAnsi="Arial"/>
                <w:color w:val="666666"/>
                <w:sz w:val="14"/>
                <w:szCs w:val="14"/>
              </w:rPr>
              <w:t xml:space="preserve">CURRENT</w:t>
            </w:r>
          </w:p>
        </w:tc>
        <w:tc>
          <w:tcPr>
            <w:tcW w:type="dxa" w:w="17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spacing w:after="10" w:before="0"/>
              <w:jc w:val="center"/>
            </w:pPr>
            <w:r>
              <w:rPr>
                <w:rFonts w:ascii="Arial" w:cs="Arial" w:eastAsia="Arial" w:hAnsi="Arial"/>
                <w:b/>
                <w:bCs/>
                <w:color w:val="1F3864"/>
                <w:sz w:val="28"/>
                <w:szCs w:val="28"/>
              </w:rPr>
              <w:t xml:space="preserve">$185</w:t>
            </w:r>
          </w:p>
          <w:p>
            <w:pPr>
              <w:spacing w:after="0" w:before="0"/>
              <w:jc w:val="center"/>
            </w:pPr>
            <w:r>
              <w:rPr>
                <w:rFonts w:ascii="Arial" w:cs="Arial" w:eastAsia="Arial" w:hAnsi="Arial"/>
                <w:color w:val="2E75B6"/>
                <w:sz w:val="14"/>
                <w:szCs w:val="14"/>
              </w:rPr>
              <w:t xml:space="preserve">PRICE TARGET</w:t>
            </w:r>
          </w:p>
        </w:tc>
        <w:tc>
          <w:tcPr>
            <w:tcW w:type="dxa" w:w="1800"/>
            <w:tcBorders>
              <w:top w:val="none" w:color="FFFFFF" w:sz="0"/>
              <w:left w:val="none" w:color="FFFFFF" w:sz="0"/>
              <w:bottom w:val="none" w:color="FFFFFF" w:sz="0"/>
              <w:right w:val="none" w:color="FFFFFF" w:sz="0"/>
            </w:tcBorders>
            <w:shd w:fill="FFF3CC" w:val="clear"/>
            <w:tcMar>
              <w:top w:type="dxa" w:w="120"/>
              <w:left w:type="dxa" w:w="160"/>
              <w:bottom w:type="dxa" w:w="120"/>
              <w:right w:type="dxa" w:w="160"/>
            </w:tcMar>
            <w:vAlign w:val="center"/>
          </w:tcPr>
          <w:p>
            <w:pPr>
              <w:spacing w:after="10" w:before="0"/>
              <w:jc w:val="center"/>
            </w:pPr>
            <w:r>
              <w:rPr>
                <w:rFonts w:ascii="Arial" w:cs="Arial" w:eastAsia="Arial" w:hAnsi="Arial"/>
                <w:b/>
                <w:bCs/>
                <w:color w:val="BF8F00"/>
                <w:sz w:val="28"/>
                <w:szCs w:val="28"/>
              </w:rPr>
              <w:t xml:space="preserve">+38%</w:t>
            </w:r>
          </w:p>
          <w:p>
            <w:pPr>
              <w:spacing w:after="0" w:before="0"/>
              <w:jc w:val="center"/>
            </w:pPr>
            <w:r>
              <w:rPr>
                <w:rFonts w:ascii="Arial" w:cs="Arial" w:eastAsia="Arial" w:hAnsi="Arial"/>
                <w:color w:val="BF8F00"/>
                <w:sz w:val="14"/>
                <w:szCs w:val="14"/>
              </w:rPr>
              <w:t xml:space="preserve">UPSIDE</w:t>
            </w:r>
          </w:p>
        </w:tc>
      </w:tr>
    </w:tbl>
    <w:p>
      <w:pPr>
        <w:spacing w:after="100" w:before="100"/>
      </w:pPr>
      <w:r>
        <w:rPr>
          <w:rFonts w:ascii="Arial" w:cs="Arial" w:eastAsia="Arial" w:hAnsi="Arial"/>
          <w:sz w:val="20"/>
          <w:szCs w:val="20"/>
        </w:rPr>
        <w:t xml:space="preserve"/>
      </w:r>
    </w:p>
    <w:p>
      <w:pPr>
        <w:spacing w:after="80" w:before="80"/>
        <w:jc w:val="left"/>
      </w:pPr>
      <w:r>
        <w:rPr>
          <w:rFonts w:ascii="Arial" w:cs="Arial" w:eastAsia="Arial" w:hAnsi="Arial"/>
          <w:b/>
          <w:bCs/>
          <w:sz w:val="20"/>
          <w:szCs w:val="20"/>
        </w:rPr>
        <w:t xml:space="preserve">One-line variant: </w:t>
      </w:r>
      <w:r>
        <w:rPr>
          <w:rFonts w:ascii="Arial" w:cs="Arial" w:eastAsia="Arial" w:hAnsi="Arial"/>
          <w:sz w:val="20"/>
          <w:szCs w:val="20"/>
        </w:rPr>
        <w:t xml:space="preserve">NRG doubled its generation fleet in January 2026 (LS Power, ~$10B). The 5.4 GW GEV/Kiewit CCGT pipeline — capable of adding $2.5B+ annual EBITDA — is explicitly excluded from guidance and absent from sell-side models. The market prices NRG as a Texas retailer; the business is becoming a hyperscaler power platform trading at a 45% discount to analyst consensus.</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2.1  EPIC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1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Question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Assessment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Material to intrinsic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LS Power adds ~$1.5B adj. EBITDA — already closed but not in stock price. GEV/Kiewit 5.4 GW pipeline at &gt;$80/MWh, 20-year terms = ~$2.5B additional annual adj. EBITDA at buildout (2029-2032). At conservative 8x multiple, pipeline alone = ~$20B incremental equity value — vs. $28B current market cap.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Predictability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Can we forecast drivers reliably?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LS Power EBITDA is contracted and in guidance — high predictability. GEV H-class turbines slot-reserved (2.4 GW secured); Kiewit is EPC contractor. Infrastructure is in place. Key uncertainty: hyperscaler LOI-to-contract conversion timing. Q3 2025: LOIs up 35% QoQ. Q1 2026: NRG has 'construction capability, equipment access, and execution readiness that most companies are still trying to establish.'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Independence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Does consensus misjudge this?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Yes. Sell-side models are backward-looking: Texas retail, LS Power contribution, TEF construction. Zero probability-weighted value for 5.4 GW pipeline in any model. Management explicit: 'base plan does not require incremental contribution from large load — those remain upside.' Consensus models the floor. We model the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Consensus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Gap between our view and price?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Analyst consensus PT $194.50 mean / $201.50 median; 17 Buy / 7 Hold / 2 Sell. Our PT $185 is BELOW consensus — we're more conservative on pipeline timing. Stock at $134 is 45% below analyst consensus. Widest discount in our coverage universe. Pure positioning/neglect anomaly.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2.2  FaVeS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Consensus View</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Our Variant 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Fundamentals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~25 GW IPP + integrated retail (TXU Energy, Reliant). 2026E adj. EBITDA guidance $5.325-$5.825B. FCF yield ~10-12%. Q1 2026 EBITDA $1.474B (run-rate ~$5.9B). New CEO Robert Gaudette (Apr 30, 2026) — BYOP architect. Capital returns ≥$1.4B/year.</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LS Power fleet not priced in — market models old 12 GW NRG. BYOP model eliminates balance sheet risk for pipeline: hyperscaler funds new capacity, NRG builds/operates, 20-year contracted cash flow. At $134, NRG is the highest FCF yield in the coverage universe. ERCOT summer is a free option on top.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Valuation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Street: ~$195 PT implies ~8x EV/EBITDA on $5.575B. No pipeline value in any model. Net debt concern ($27B, ~4.8x EBITDA) discounts multiple.</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At $134: 9.9x EV/EBITDA on base guidance. 30% pipeline credit (1.6 GW contracted): EBITDA ~$6.4B, equity ~$34B, ~$162/share. 50% credit (2.7 GW): equity ~$38B, ~$180/share. Full pipeline: equity ~$46B, ~$215/share. Our $185 = conservative 30% credit. Net debt heals quickly at $3B+ annual FCF.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Sentiment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Stock -17% YTD while peers up 50-200%. Viewed as levered Texas utility. Q3 2024 mark-to-market loss (-$449M EBITDA) distorts TTM, makes trailing multiples misleading. Perceived as a value trap.</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Q3 2024 loss was one-time mark-to-market — not operational. Q1 2026 EBITDA $1.474B confirms underlying earnings power. New CEO Gaudette told Fortune (May 2026): 'NRG is uniquely positioned with two attacks on how we solve the challenges' — BYOP + VPP. Post-LS Power platform is substantially more valuable than pre-acquisition.</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2.3  Specific Disagreement vs. Consensus</w:t>
      </w:r>
    </w:p>
    <w:p>
      <w:pPr>
        <w:pStyle w:val="ListParagraph"/>
        <w:numPr>
          <w:ilvl w:val="0"/>
          <w:numId w:val="2"/>
        </w:numPr>
        <w:spacing w:after="60" w:before="60"/>
      </w:pPr>
      <w:r>
        <w:rPr>
          <w:rFonts w:ascii="Arial" w:cs="Arial" w:eastAsia="Arial" w:hAnsi="Arial"/>
          <w:b/>
          <w:bCs/>
          <w:sz w:val="20"/>
          <w:szCs w:val="20"/>
        </w:rPr>
        <w:t xml:space="preserve">The market says: </w:t>
      </w:r>
      <w:r>
        <w:rPr>
          <w:rFonts w:ascii="Arial" w:cs="Arial" w:eastAsia="Arial" w:hAnsi="Arial"/>
          <w:sz w:val="20"/>
          <w:szCs w:val="20"/>
        </w:rPr>
        <w:t xml:space="preserve">NRG is a Texas utility with leverage risk post-LS Power ($27B debt). GEV/Kiewit pipeline is speculative. ERCOT weather exposure creates earnings volatility.</w:t>
      </w:r>
    </w:p>
    <w:p>
      <w:pPr>
        <w:pStyle w:val="ListParagraph"/>
        <w:numPr>
          <w:ilvl w:val="0"/>
          <w:numId w:val="2"/>
        </w:numPr>
        <w:spacing w:after="60" w:before="60"/>
      </w:pPr>
      <w:r>
        <w:rPr>
          <w:rFonts w:ascii="Arial" w:cs="Arial" w:eastAsia="Arial" w:hAnsi="Arial"/>
          <w:b/>
          <w:bCs/>
          <w:sz w:val="20"/>
          <w:szCs w:val="20"/>
        </w:rPr>
        <w:t xml:space="preserve">We say: </w:t>
      </w:r>
      <w:r>
        <w:rPr>
          <w:rFonts w:ascii="Arial" w:cs="Arial" w:eastAsia="Arial" w:hAnsi="Arial"/>
          <w:sz w:val="20"/>
          <w:szCs w:val="20"/>
        </w:rPr>
        <w:t xml:space="preserve">LS Power closed Jan 30, 2026 — the fleet doubled. FCF yield ~10-12% is exceptional. The pipeline isn't speculative: GEV H-class turbines are slot-reserved, Kiewit is EPC, LOIs are growing 35% QoQ. The balance sheet deleverages automatically at $3B+ FCF/year.</w:t>
      </w:r>
    </w:p>
    <w:p>
      <w:pPr>
        <w:pStyle w:val="ListParagraph"/>
        <w:numPr>
          <w:ilvl w:val="0"/>
          <w:numId w:val="2"/>
        </w:numPr>
        <w:spacing w:after="60" w:before="60"/>
      </w:pPr>
      <w:r>
        <w:rPr>
          <w:rFonts w:ascii="Arial" w:cs="Arial" w:eastAsia="Arial" w:hAnsi="Arial"/>
          <w:b/>
          <w:bCs/>
          <w:sz w:val="20"/>
          <w:szCs w:val="20"/>
        </w:rPr>
        <w:t xml:space="preserve">Quantified edge: </w:t>
      </w:r>
      <w:r>
        <w:rPr>
          <w:rFonts w:ascii="Arial" w:cs="Arial" w:eastAsia="Arial" w:hAnsi="Arial"/>
          <w:sz w:val="20"/>
          <w:szCs w:val="20"/>
        </w:rPr>
        <w:t xml:space="preserve">If 5.4 GW pipeline reaches full contracted capacity at $80/MWh: +$2.5B adj. EBITDA. At 8x multiple: +$20B equity value (+$95/share) from a pipeline that is currently valued at zero in every sell-side model.</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2.4  Catalyst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60"/>
        <w:gridCol w:w="3040"/>
        <w:gridCol w:w="24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Event</w:t>
            </w:r>
          </w:p>
        </w:tc>
        <w:tc>
          <w:tcPr>
            <w:tcW w:type="dxa" w:w="3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Bull Case Impact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Monitoring Signal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Aug 7,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Q2 2026 earnings + new CEO update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+15-20% if GEV/Kiewit PPA announced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LOI conversion; new BYOP deal disclosures; Gaudette strategy clarity</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Q2-Q3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ERCOT summer heat wave</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+10-15% if prices &gt;$70/MWh sustained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ERCOT real-time vs. $52/MWh guidance base case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2026-2027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Hyperscaler PPA signings (5.4 GW)</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+$15-30/share per GW contracted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8-K filings naming hyperscaler counterparties; NRG IR pipeline updates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Jan 2027</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TEF Greens Bayou (443 MW) online</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+5-8% as Texas scarcity tightens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ERCOT SARA capacity report; TEF commissioning notices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2.5  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0F0" w:val="clear"/>
            <w:tcMar>
              <w:top w:type="dxa" w:w="120"/>
              <w:left w:type="dxa" w:w="200"/>
              <w:bottom w:type="dxa" w:w="120"/>
              <w:right w:type="dxa" w:w="120"/>
            </w:tcMar>
          </w:tcPr>
          <w:p>
            <w:pPr>
              <w:spacing w:after="40" w:before="40"/>
            </w:pPr>
            <w:r>
              <w:rPr>
                <w:rFonts w:ascii="Arial" w:cs="Arial" w:eastAsia="Arial" w:hAnsi="Arial"/>
                <w:i/>
                <w:iCs/>
                <w:color w:val="C00000"/>
                <w:sz w:val="19"/>
                <w:szCs w:val="19"/>
              </w:rPr>
              <w:t xml:space="preserve">CHANGE RATING IF: (1) No GEV/Kiewit LOI converts to signed PPA within 12 months. (2) Net debt/EBITDA does not decline below 5.0x by YE2026. (3) ERCOT prices structurally below $40/MWh for sustained period. Bear case price: $110 (9x $5.0B EBITDA with $27B net debt, zero pipeline value).</w:t>
            </w:r>
          </w:p>
        </w:tc>
      </w:tr>
    </w:tbl>
    <w:p>
      <w:pPr>
        <w:spacing w:after="80" w:before="120"/>
        <w:jc w:val="left"/>
      </w:pPr>
      <w:r>
        <w:rPr>
          <w:rFonts w:ascii="Arial" w:cs="Arial" w:eastAsia="Arial" w:hAnsi="Arial"/>
          <w:sz w:val="20"/>
          <w:szCs w:val="20"/>
        </w:rPr>
        <w:t xml:space="preserve">Sources: </w:t>
      </w:r>
      <w:hyperlink w:history="1" r:id="rIdl2cpkrm-yssfcul26g5ur">
        <w:r>
          <w:rPr>
            <w:rStyle w:val="Hyperlink"/>
            <w:rFonts w:ascii="Arial" w:cs="Arial" w:eastAsia="Arial" w:hAnsi="Arial"/>
            <w:sz w:val="18"/>
            <w:szCs w:val="18"/>
          </w:rPr>
          <w:t xml:space="preserve">NRG Q1 2026 Earnings Call (May 6, 2026)</w:t>
        </w:r>
      </w:hyperlink>
      <w:r>
        <w:rPr>
          <w:rFonts w:ascii="Arial" w:cs="Arial" w:eastAsia="Arial" w:hAnsi="Arial"/>
          <w:sz w:val="20"/>
          <w:szCs w:val="20"/>
        </w:rPr>
        <w:t xml:space="preserve"> | </w:t>
      </w:r>
      <w:hyperlink w:history="1" r:id="rIdsdw_bsdtxwdkuhhbocfiv">
        <w:r>
          <w:rPr>
            <w:rStyle w:val="Hyperlink"/>
            <w:rFonts w:ascii="Arial" w:cs="Arial" w:eastAsia="Arial" w:hAnsi="Arial"/>
            <w:sz w:val="18"/>
            <w:szCs w:val="18"/>
          </w:rPr>
          <w:t xml:space="preserve">NRG Q4 2025 Earnings (Feb 24, 2026)</w:t>
        </w:r>
      </w:hyperlink>
      <w:r>
        <w:rPr>
          <w:rFonts w:ascii="Arial" w:cs="Arial" w:eastAsia="Arial" w:hAnsi="Arial"/>
          <w:sz w:val="20"/>
          <w:szCs w:val="20"/>
        </w:rPr>
        <w:t xml:space="preserve"> | </w:t>
      </w:r>
      <w:hyperlink w:history="1" r:id="rId87xxostpxmfljq79o5kwl">
        <w:r>
          <w:rPr>
            <w:rStyle w:val="Hyperlink"/>
            <w:rFonts w:ascii="Arial" w:cs="Arial" w:eastAsia="Arial" w:hAnsi="Arial"/>
            <w:sz w:val="18"/>
            <w:szCs w:val="18"/>
          </w:rPr>
          <w:t xml:space="preserve">NRG Q3 2025 Earnings (Nov 6, 2025)</w:t>
        </w:r>
      </w:hyperlink>
      <w:r>
        <w:rPr>
          <w:rFonts w:ascii="Arial" w:cs="Arial" w:eastAsia="Arial" w:hAnsi="Arial"/>
          <w:sz w:val="20"/>
          <w:szCs w:val="20"/>
        </w:rPr>
        <w:t xml:space="preserve"> | </w:t>
      </w:r>
      <w:hyperlink w:history="1" r:id="rIdods75nstgoztziitidbsk">
        <w:r>
          <w:rPr>
            <w:rStyle w:val="Hyperlink"/>
            <w:rFonts w:ascii="Arial" w:cs="Arial" w:eastAsia="Arial" w:hAnsi="Arial"/>
            <w:sz w:val="18"/>
            <w:szCs w:val="18"/>
          </w:rPr>
          <w:t xml:space="preserve">Fortune CEO Interview (May 17, 2026)</w:t>
        </w:r>
      </w:hyperlink>
    </w:p>
    <w:p>
      <w:r>
        <w:br w:type="page"/>
      </w:r>
    </w:p>
    <w:p>
      <w:pPr>
        <w:pStyle w:val="Heading1"/>
        <w:spacing w:after="160" w:before="0"/>
      </w:pPr>
      <w:r>
        <w:rPr>
          <w:rFonts w:ascii="Arial" w:cs="Arial" w:eastAsia="Arial" w:hAnsi="Arial"/>
          <w:b/>
          <w:bCs/>
          <w:color w:val="1F3864"/>
          <w:sz w:val="36"/>
          <w:szCs w:val="36"/>
        </w:rPr>
        <w:t xml:space="preserve">3. VISTRA CORP.  (VST)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80"/>
        <w:gridCol w:w="1780"/>
        <w:gridCol w:w="1800"/>
      </w:tblGrid>
      <w:tr>
        <w:tc>
          <w:tcPr>
            <w:tcW w:type="dxa" w:w="220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after="20" w:before="0"/>
            </w:pPr>
            <w:r>
              <w:rPr>
                <w:rFonts w:ascii="Arial" w:cs="Arial" w:eastAsia="Arial" w:hAnsi="Arial"/>
                <w:b/>
                <w:bCs/>
                <w:color w:val="FFFFFF"/>
                <w:sz w:val="52"/>
                <w:szCs w:val="52"/>
              </w:rPr>
              <w:t xml:space="preserve">VST</w:t>
            </w:r>
          </w:p>
          <w:p>
            <w:pPr>
              <w:spacing w:after="0" w:before="0"/>
            </w:pPr>
            <w:r>
              <w:rPr>
                <w:rFonts w:ascii="Arial" w:cs="Arial" w:eastAsia="Arial" w:hAnsi="Arial"/>
                <w:color w:val="B8CCE4"/>
                <w:sz w:val="16"/>
                <w:szCs w:val="16"/>
              </w:rPr>
              <w:t xml:space="preserve">Power-Gen-Grid</w:t>
            </w:r>
          </w:p>
        </w:tc>
        <w:tc>
          <w:tcPr>
            <w:tcW w:type="dxa" w:w="1800"/>
            <w:tcBorders>
              <w:top w:val="none" w:color="FFFFFF" w:sz="0"/>
              <w:left w:val="none" w:color="FFFFFF" w:sz="0"/>
              <w:bottom w:val="none" w:color="FFFFFF" w:sz="0"/>
              <w:right w:val="none" w:color="FFFFFF" w:sz="0"/>
            </w:tcBorders>
            <w:shd w:fill="1E7145" w:val="clear"/>
            <w:tcMar>
              <w:top w:type="dxa" w:w="120"/>
              <w:left w:type="dxa" w:w="160"/>
              <w:bottom w:type="dxa" w:w="120"/>
              <w:right w:type="dxa" w:w="160"/>
            </w:tcMar>
            <w:vAlign w:val="center"/>
          </w:tcPr>
          <w:p>
            <w:pPr>
              <w:spacing w:after="10" w:before="0"/>
              <w:jc w:val="center"/>
            </w:pPr>
            <w:r>
              <w:rPr>
                <w:rFonts w:ascii="Arial" w:cs="Arial" w:eastAsia="Arial" w:hAnsi="Arial"/>
                <w:b/>
                <w:bCs/>
                <w:color w:val="FFFFFF"/>
                <w:sz w:val="36"/>
                <w:szCs w:val="36"/>
              </w:rPr>
              <w:t xml:space="preserve">BUY</w:t>
            </w:r>
          </w:p>
          <w:p>
            <w:pPr>
              <w:spacing w:after="0" w:before="0"/>
              <w:jc w:val="center"/>
            </w:pPr>
            <w:r>
              <w:rPr>
                <w:rFonts w:ascii="Arial" w:cs="Arial" w:eastAsia="Arial" w:hAnsi="Arial"/>
                <w:color w:val="C8E6C9"/>
                <w:sz w:val="14"/>
                <w:szCs w:val="14"/>
              </w:rPr>
              <w:t xml:space="preserve">RATING</w:t>
            </w:r>
          </w:p>
        </w:tc>
        <w:tc>
          <w:tcPr>
            <w:tcW w:type="dxa" w:w="1780"/>
            <w:tcBorders>
              <w:top w:val="none" w:color="FFFFFF" w:sz="0"/>
              <w:left w:val="none" w:color="FFFFFF" w:sz="0"/>
              <w:bottom w:val="none" w:color="FFFFFF" w:sz="0"/>
              <w:right w:val="none" w:color="FFFFFF" w:sz="0"/>
            </w:tcBorders>
            <w:shd w:fill="F2F2F2" w:val="clear"/>
            <w:tcMar>
              <w:top w:type="dxa" w:w="120"/>
              <w:left w:type="dxa" w:w="160"/>
              <w:bottom w:type="dxa" w:w="120"/>
              <w:right w:type="dxa" w:w="160"/>
            </w:tcMar>
            <w:vAlign w:val="center"/>
          </w:tcPr>
          <w:p>
            <w:pPr>
              <w:spacing w:after="10" w:before="0"/>
              <w:jc w:val="center"/>
            </w:pPr>
            <w:r>
              <w:rPr>
                <w:rFonts w:ascii="Arial" w:cs="Arial" w:eastAsia="Arial" w:hAnsi="Arial"/>
                <w:b/>
                <w:bCs/>
                <w:color w:val="333333"/>
                <w:sz w:val="28"/>
                <w:szCs w:val="28"/>
              </w:rPr>
              <w:t xml:space="preserve">$154</w:t>
            </w:r>
          </w:p>
          <w:p>
            <w:pPr>
              <w:spacing w:after="0" w:before="0"/>
              <w:jc w:val="center"/>
            </w:pPr>
            <w:r>
              <w:rPr>
                <w:rFonts w:ascii="Arial" w:cs="Arial" w:eastAsia="Arial" w:hAnsi="Arial"/>
                <w:color w:val="666666"/>
                <w:sz w:val="14"/>
                <w:szCs w:val="14"/>
              </w:rPr>
              <w:t xml:space="preserve">CURRENT</w:t>
            </w:r>
          </w:p>
        </w:tc>
        <w:tc>
          <w:tcPr>
            <w:tcW w:type="dxa" w:w="178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vAlign w:val="center"/>
          </w:tcPr>
          <w:p>
            <w:pPr>
              <w:spacing w:after="10" w:before="0"/>
              <w:jc w:val="center"/>
            </w:pPr>
            <w:r>
              <w:rPr>
                <w:rFonts w:ascii="Arial" w:cs="Arial" w:eastAsia="Arial" w:hAnsi="Arial"/>
                <w:b/>
                <w:bCs/>
                <w:color w:val="1F3864"/>
                <w:sz w:val="28"/>
                <w:szCs w:val="28"/>
              </w:rPr>
              <w:t xml:space="preserve">$230</w:t>
            </w:r>
          </w:p>
          <w:p>
            <w:pPr>
              <w:spacing w:after="0" w:before="0"/>
              <w:jc w:val="center"/>
            </w:pPr>
            <w:r>
              <w:rPr>
                <w:rFonts w:ascii="Arial" w:cs="Arial" w:eastAsia="Arial" w:hAnsi="Arial"/>
                <w:color w:val="2E75B6"/>
                <w:sz w:val="14"/>
                <w:szCs w:val="14"/>
              </w:rPr>
              <w:t xml:space="preserve">PRICE TARGET</w:t>
            </w:r>
          </w:p>
        </w:tc>
        <w:tc>
          <w:tcPr>
            <w:tcW w:type="dxa" w:w="1800"/>
            <w:tcBorders>
              <w:top w:val="none" w:color="FFFFFF" w:sz="0"/>
              <w:left w:val="none" w:color="FFFFFF" w:sz="0"/>
              <w:bottom w:val="none" w:color="FFFFFF" w:sz="0"/>
              <w:right w:val="none" w:color="FFFFFF" w:sz="0"/>
            </w:tcBorders>
            <w:shd w:fill="FFF3CC" w:val="clear"/>
            <w:tcMar>
              <w:top w:type="dxa" w:w="120"/>
              <w:left w:type="dxa" w:w="160"/>
              <w:bottom w:type="dxa" w:w="120"/>
              <w:right w:type="dxa" w:w="160"/>
            </w:tcMar>
            <w:vAlign w:val="center"/>
          </w:tcPr>
          <w:p>
            <w:pPr>
              <w:spacing w:after="10" w:before="0"/>
              <w:jc w:val="center"/>
            </w:pPr>
            <w:r>
              <w:rPr>
                <w:rFonts w:ascii="Arial" w:cs="Arial" w:eastAsia="Arial" w:hAnsi="Arial"/>
                <w:b/>
                <w:bCs/>
                <w:color w:val="BF8F00"/>
                <w:sz w:val="28"/>
                <w:szCs w:val="28"/>
              </w:rPr>
              <w:t xml:space="preserve">+49%</w:t>
            </w:r>
          </w:p>
          <w:p>
            <w:pPr>
              <w:spacing w:after="0" w:before="0"/>
              <w:jc w:val="center"/>
            </w:pPr>
            <w:r>
              <w:rPr>
                <w:rFonts w:ascii="Arial" w:cs="Arial" w:eastAsia="Arial" w:hAnsi="Arial"/>
                <w:color w:val="BF8F00"/>
                <w:sz w:val="14"/>
                <w:szCs w:val="14"/>
              </w:rPr>
              <w:t xml:space="preserve">UPSIDE</w:t>
            </w:r>
          </w:p>
        </w:tc>
      </w:tr>
    </w:tbl>
    <w:p>
      <w:pPr>
        <w:spacing w:after="100" w:before="100"/>
      </w:pPr>
      <w:r>
        <w:rPr>
          <w:rFonts w:ascii="Arial" w:cs="Arial" w:eastAsia="Arial" w:hAnsi="Arial"/>
          <w:sz w:val="20"/>
          <w:szCs w:val="20"/>
        </w:rPr>
        <w:t xml:space="preserve"/>
      </w:r>
    </w:p>
    <w:p>
      <w:pPr>
        <w:spacing w:after="80" w:before="80"/>
        <w:jc w:val="left"/>
      </w:pPr>
      <w:r>
        <w:rPr>
          <w:rFonts w:ascii="Arial" w:cs="Arial" w:eastAsia="Arial" w:hAnsi="Arial"/>
          <w:b/>
          <w:bCs/>
          <w:sz w:val="20"/>
          <w:szCs w:val="20"/>
        </w:rPr>
        <w:t xml:space="preserve">One-line variant: </w:t>
      </w:r>
      <w:r>
        <w:rPr>
          <w:rFonts w:ascii="Arial" w:cs="Arial" w:eastAsia="Arial" w:hAnsi="Arial"/>
          <w:sz w:val="20"/>
          <w:szCs w:val="20"/>
        </w:rPr>
        <w:t xml:space="preserve">VST nuclear fleet is transitioning from commodity to contracted: 20-year PPAs with Meta (2,609 MW) and AWS (1,200 MW) lock 3,800 MW at premium pricing. Market still applies merchant multiples (9.7x) when contracted book warrants 12-14x. Cogentrix (+5,500 MW gas, H2 2026) and dual IG credit provide re-rating catalysts. Analyst consensus and our $230 PT are essentially identical; the stock is 33% below both.</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3.1  EPIC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760"/>
        <w:gridCol w:w="1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Test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Question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Assessment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Material to intrinsic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Meta PPA (2,609 MW, 20 yrs): premium vs. merchant ~$20-40/MWh = $1.3-2.6B NPV uplift. AWS PPA (1,200 MW, Comanche Peak, 20 yrs): similar economics. Combined: ~$2-4B NPV of PPA premium not in merchant models. Cogentrix adds ~$600-800M incremental EBITDA. Multiple re-rating from 9.7x to 12x alone: +24% in stock price before any earnings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Predictability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Can we forecast drivers reliably?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Highly predictable: Meta and AWS PPAs are contractually binding at fixed terms. Nuclear capacity factors stable (93%+). 2026 guidance $6.8-7.6B is well-hedged with nuclear PTC downside protection. Cogentrix close H2 2026 subject to regulatory approval — the key timing uncertainty. ERCOT summer: wildcard but additive upside, not downside risk.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Independence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Does consensus misjudge this?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Partially. Analyst consensus PT $228 is essentially our $230 — the Street is right. Market's misjudgment is applying merchant multiple (9.7x) to a company 10% contracted to investment-grade hyperscalers on 20-year terms. The contracted nuclear tranche earns utility-like economics — 12-14x is appropriate for that tranche. As PPAs reach full run rate (2027-2028), multiple expansion is math, not optimism.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bCs/>
                <w:color w:val="222222"/>
                <w:sz w:val="18"/>
                <w:szCs w:val="18"/>
              </w:rPr>
              <w:t xml:space="preserve">Consensus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Gap between our view and price?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b w:val="false"/>
                <w:bCs w:val="false"/>
                <w:color w:val="222222"/>
                <w:sz w:val="18"/>
                <w:szCs w:val="18"/>
              </w:rPr>
              <w:t xml:space="preserve">Our $230 = consensus $228. Both see ~49% upside. The gap is between fundamental value and the clearing price ($154). Why hasn't the stock moved? (1) Merchant IPP classification — most nuclear-buyers mandate regulated utilities. (2) Balance sheet anxiety ($19.2B debt, 2.7x). Both are temporary: contracted % grows with PPA ramp; debt deleverages at $4B+ FCF/year.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center"/>
            </w:pPr>
            <w:r>
              <w:rPr>
                <w:rFonts w:ascii="Arial" w:cs="Arial" w:eastAsia="Arial" w:hAnsi="Arial"/>
                <w:b/>
                <w:bCs/>
                <w:color w:val="1E7145"/>
                <w:sz w:val="18"/>
                <w:szCs w:val="18"/>
              </w:rPr>
              <w:t xml:space="preserve">PASS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3.2  FaVeS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Consensus View</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Our Variant 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Fundamentals</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Largest competitive US generator (38,700 MW). 2026E adj. EBITDA $6.8-7.6B; FCFbG $3.9-4.7B (excludes Cogentrix). Q1 2026: revenue $5.64B beat $5.24B consensus. Dual IG ratings (S&amp;P 2025, Fitch May 2026). Projects &gt;$10B cash generation through YE2027.</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Nuclear baseload economics are structurally superior: zero fuel cost, 24/7 availability, IRA PTC floor. Meta (2,609 MW) + AWS (1,200 MW) PPAs = largest corporate-supported nuclear commitments in US history. IG credit unlocks lower refinancing rates on ~$19B debt — WACC reduction compounds. Cogentrix (excluded from 2026 guidance) provides visible EBITDA step-up when closed.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Valuation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Street: ~$228 PT, 10-11x forward EBITDA. At $154: 9.7x 2026E EV/EBITDA ($7.2B midpoint). CEG trades 17-20x EBITDA on more contracted nuclear profile.</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Our $230 PT: 11x 2026E EBITDA + ~$15 Cogentrix option (50% prob x $3B equity value). Path to $270-290 as contracted revenue share reaches 30-40%: 12-13x is appropriate for hybrid contracted/merchant. Bear: $145 (9x, no Cogentrix, no multiple expansion). Bull: $290 (13x, Cogentrix closed, strong ERCOT summer, additional PPA).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22222"/>
                <w:sz w:val="18"/>
                <w:szCs w:val="18"/>
              </w:rPr>
              <w:t xml:space="preserve">Sentiment</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222222"/>
                <w:sz w:val="18"/>
                <w:szCs w:val="18"/>
              </w:rPr>
              <w:t xml:space="preserve">Down from $220 high. Q1 2026 GAAP net income -$268M (mild Texas winter, low retail margins). Viewed as levered ERCOT merchant despite nuclear PPAs. Despite 20 Buy / 2 Hold from analysts — stock doesn't move.</w:t>
            </w:r>
          </w:p>
        </w:tc>
        <w:tc>
          <w:tcPr>
            <w:tcW w:type="dxa" w:w="3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40"/>
            </w:pPr>
            <w:r>
              <w:rPr>
                <w:rFonts w:ascii="Arial" w:cs="Arial" w:eastAsia="Arial" w:hAnsi="Arial"/>
                <w:b w:val="false"/>
                <w:bCs w:val="false"/>
                <w:color w:val="1F3864"/>
                <w:sz w:val="18"/>
                <w:szCs w:val="18"/>
              </w:rPr>
              <w:t xml:space="preserve">Q1 GAAP loss is misleading — ongoing EBITDA $1.49B (run-rate $6B), positive FCF trajectory. Balance sheet declines to ~2.3x by YE2027 on management's projection. The structural re-rating catalyst: Cogentrix closes (EBITDA step-up visible), summer ERCOT generates P&amp;L tailwind, Meta/AWS PPAs reach run rate. All three likely within 6-18 months.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3.3  Specific Disagreement vs. Consensus</w:t>
      </w:r>
    </w:p>
    <w:p>
      <w:pPr>
        <w:pStyle w:val="ListParagraph"/>
        <w:numPr>
          <w:ilvl w:val="0"/>
          <w:numId w:val="2"/>
        </w:numPr>
        <w:spacing w:after="60" w:before="60"/>
      </w:pPr>
      <w:r>
        <w:rPr>
          <w:rFonts w:ascii="Arial" w:cs="Arial" w:eastAsia="Arial" w:hAnsi="Arial"/>
          <w:b/>
          <w:bCs/>
          <w:sz w:val="20"/>
          <w:szCs w:val="20"/>
        </w:rPr>
        <w:t xml:space="preserve">The market says: </w:t>
      </w:r>
      <w:r>
        <w:rPr>
          <w:rFonts w:ascii="Arial" w:cs="Arial" w:eastAsia="Arial" w:hAnsi="Arial"/>
          <w:sz w:val="20"/>
          <w:szCs w:val="20"/>
        </w:rPr>
        <w:t xml:space="preserve">VST is a levered merchant with ERCOT weather exposure. The PPAs are nice but most EBITDA is still uncontracted. 2.7x leverage is too high for a commodity company.</w:t>
      </w:r>
    </w:p>
    <w:p>
      <w:pPr>
        <w:pStyle w:val="ListParagraph"/>
        <w:numPr>
          <w:ilvl w:val="0"/>
          <w:numId w:val="2"/>
        </w:numPr>
        <w:spacing w:after="60" w:before="60"/>
      </w:pPr>
      <w:r>
        <w:rPr>
          <w:rFonts w:ascii="Arial" w:cs="Arial" w:eastAsia="Arial" w:hAnsi="Arial"/>
          <w:b/>
          <w:bCs/>
          <w:sz w:val="20"/>
          <w:szCs w:val="20"/>
        </w:rPr>
        <w:t xml:space="preserve">We say: </w:t>
      </w:r>
      <w:r>
        <w:rPr>
          <w:rFonts w:ascii="Arial" w:cs="Arial" w:eastAsia="Arial" w:hAnsi="Arial"/>
          <w:sz w:val="20"/>
          <w:szCs w:val="20"/>
        </w:rPr>
        <w:t xml:space="preserve">The 3,800 MW of Meta/AWS PPAs are 20-year contracts with investment-grade counterparties — that tranche earns utility-like economics. 2026 guidance excludes Cogentrix ($600-800M EBITDA). FCF of $4.3B midpoint deleverages the balance sheet by $2-3B/year after capital returns. The balance sheet heals — you don't need to wait for it.</w:t>
      </w:r>
    </w:p>
    <w:p>
      <w:pPr>
        <w:pStyle w:val="ListParagraph"/>
        <w:numPr>
          <w:ilvl w:val="0"/>
          <w:numId w:val="2"/>
        </w:numPr>
        <w:spacing w:after="60" w:before="60"/>
      </w:pPr>
      <w:r>
        <w:rPr>
          <w:rFonts w:ascii="Arial" w:cs="Arial" w:eastAsia="Arial" w:hAnsi="Arial"/>
          <w:b/>
          <w:bCs/>
          <w:sz w:val="20"/>
          <w:szCs w:val="20"/>
        </w:rPr>
        <w:t xml:space="preserve">Why the gap persists: </w:t>
      </w:r>
      <w:r>
        <w:rPr>
          <w:rFonts w:ascii="Arial" w:cs="Arial" w:eastAsia="Arial" w:hAnsi="Arial"/>
          <w:sz w:val="20"/>
          <w:szCs w:val="20"/>
        </w:rPr>
        <w:t xml:space="preserve">VST is not in most nuclear utility mandates (ERCOT-heavy, classified merchant IPP). ESG-focused utilities funds that naturally buy nuclear power companies don't buy ERCOT merchant exposure. As contracted revenue share grows to 30-40%, the buyer universe expands structurally — that is the re-rating mechanism, not individual stock catalysts.</w:t>
      </w:r>
    </w:p>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3.4  Catalyst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60"/>
        <w:gridCol w:w="3040"/>
        <w:gridCol w:w="24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Event</w:t>
            </w:r>
          </w:p>
        </w:tc>
        <w:tc>
          <w:tcPr>
            <w:tcW w:type="dxa" w:w="3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Bull Case Impact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Monitoring Signal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H2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Cogentrix acquisition closes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+15-20% — EBITDA guidance raised meaningfully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Regulatory approvals (FERC, state PUCs); management 'targeting mid to late 2026'</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Q2-Q3 2026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ERCOT summer heat wave</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+12-18% vs. $52/MWh guidance 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ERCOT real-time prices; Texas summer load (ERCOT SARA)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Aug 7,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Q2 2026 earnings</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+8-12% on beat + Cogentrix timeline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18"/>
                <w:szCs w:val="18"/>
              </w:rPr>
              <w:t xml:space="preserve">Ongoing EBITDA vs. $1.5B Q1 run rate; contracted EBITDA disclosure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2026-2028</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Meta/AWS PPA revenue ramp to full run rate</w:t>
            </w:r>
          </w:p>
        </w:tc>
        <w:tc>
          <w:tcPr>
            <w:tcW w:type="dxa" w:w="3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+5-10% as contracted earnings visible in P&amp;L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sz w:val="18"/>
                <w:szCs w:val="18"/>
              </w:rPr>
              <w:t xml:space="preserve">Quarterly contracted vs. merchant EBITDA split; nuclear uprate completions</w:t>
            </w:r>
          </w:p>
        </w:tc>
      </w:tr>
    </w:tbl>
    <w:p>
      <w:pPr>
        <w:spacing w:after="100" w:before="100"/>
      </w:pPr>
      <w:r>
        <w:rPr>
          <w:rFonts w:ascii="Arial" w:cs="Arial" w:eastAsia="Arial" w:hAnsi="Arial"/>
          <w:sz w:val="20"/>
          <w:szCs w:val="20"/>
        </w:rPr>
        <w:t xml:space="preserve"/>
      </w:r>
    </w:p>
    <w:p>
      <w:pPr>
        <w:pStyle w:val="Heading2"/>
        <w:spacing w:after="120" w:before="240"/>
      </w:pPr>
      <w:r>
        <w:rPr>
          <w:rFonts w:ascii="Arial" w:cs="Arial" w:eastAsia="Arial" w:hAnsi="Arial"/>
          <w:b/>
          <w:bCs/>
          <w:color w:val="2E75B6"/>
          <w:sz w:val="28"/>
          <w:szCs w:val="28"/>
        </w:rPr>
        <w:t xml:space="preserve">3.5  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FF0F0" w:val="clear"/>
            <w:tcMar>
              <w:top w:type="dxa" w:w="120"/>
              <w:left w:type="dxa" w:w="200"/>
              <w:bottom w:type="dxa" w:w="120"/>
              <w:right w:type="dxa" w:w="120"/>
            </w:tcMar>
          </w:tcPr>
          <w:p>
            <w:pPr>
              <w:spacing w:after="40" w:before="40"/>
            </w:pPr>
            <w:r>
              <w:rPr>
                <w:rFonts w:ascii="Arial" w:cs="Arial" w:eastAsia="Arial" w:hAnsi="Arial"/>
                <w:i/>
                <w:iCs/>
                <w:color w:val="C00000"/>
                <w:sz w:val="19"/>
                <w:szCs w:val="19"/>
              </w:rPr>
              <w:t xml:space="preserve">CHANGE RATING IF: (1) Cogentrix fails to close or is materially repriced. (2) Meta or AWS PPA cancelled/renegotiated (low probability but non-zero on 20-year horizon). (3) ERCOT market structure change limits merchant margin. (4) Net debt/EBITDA does not decline below 2.5x by YE2027. Bear case price: $145 (9x on $7.2B 2026E EBITDA, no Cogentrix, no re-rating).</w:t>
            </w:r>
          </w:p>
        </w:tc>
      </w:tr>
    </w:tbl>
    <w:p>
      <w:pPr>
        <w:spacing w:after="80" w:before="120"/>
        <w:jc w:val="left"/>
      </w:pPr>
      <w:r>
        <w:rPr>
          <w:rFonts w:ascii="Arial" w:cs="Arial" w:eastAsia="Arial" w:hAnsi="Arial"/>
          <w:sz w:val="20"/>
          <w:szCs w:val="20"/>
        </w:rPr>
        <w:t xml:space="preserve">Sources: </w:t>
      </w:r>
      <w:hyperlink w:history="1" r:id="rIdsyxbeoy-ekwpovoiusl5v">
        <w:r>
          <w:rPr>
            <w:rStyle w:val="Hyperlink"/>
            <w:rFonts w:ascii="Arial" w:cs="Arial" w:eastAsia="Arial" w:hAnsi="Arial"/>
            <w:sz w:val="18"/>
            <w:szCs w:val="18"/>
          </w:rPr>
          <w:t xml:space="preserve">VST Q1 2026 Earnings Call (May 7, 2026)</w:t>
        </w:r>
      </w:hyperlink>
      <w:r>
        <w:rPr>
          <w:rFonts w:ascii="Arial" w:cs="Arial" w:eastAsia="Arial" w:hAnsi="Arial"/>
          <w:sz w:val="20"/>
          <w:szCs w:val="20"/>
        </w:rPr>
        <w:t xml:space="preserve"> | </w:t>
      </w:r>
      <w:hyperlink w:history="1" r:id="rIdneja1kxtokhzvsz-ksjrn">
        <w:r>
          <w:rPr>
            <w:rStyle w:val="Hyperlink"/>
            <w:rFonts w:ascii="Arial" w:cs="Arial" w:eastAsia="Arial" w:hAnsi="Arial"/>
            <w:sz w:val="18"/>
            <w:szCs w:val="18"/>
          </w:rPr>
          <w:t xml:space="preserve">VST Q4 2025 Earnings (Feb 26, 2026)</w:t>
        </w:r>
      </w:hyperlink>
      <w:r>
        <w:rPr>
          <w:rFonts w:ascii="Arial" w:cs="Arial" w:eastAsia="Arial" w:hAnsi="Arial"/>
          <w:sz w:val="20"/>
          <w:szCs w:val="20"/>
        </w:rPr>
        <w:t xml:space="preserve"> | </w:t>
      </w:r>
      <w:hyperlink w:history="1" r:id="rIdhsx8rkv-ve3sggeet1kqh">
        <w:r>
          <w:rPr>
            <w:rStyle w:val="Hyperlink"/>
            <w:rFonts w:ascii="Arial" w:cs="Arial" w:eastAsia="Arial" w:hAnsi="Arial"/>
            <w:sz w:val="18"/>
            <w:szCs w:val="18"/>
          </w:rPr>
          <w:t xml:space="preserve">VST DEF 14A (Mar 18, 2026)</w:t>
        </w:r>
      </w:hyperlink>
      <w:r>
        <w:rPr>
          <w:rFonts w:ascii="Arial" w:cs="Arial" w:eastAsia="Arial" w:hAnsi="Arial"/>
          <w:sz w:val="20"/>
          <w:szCs w:val="20"/>
        </w:rPr>
        <w:t xml:space="preserve"> | </w:t>
      </w:r>
      <w:hyperlink w:history="1" r:id="rIdygczksm1ppkruw6xifnyz">
        <w:r>
          <w:rPr>
            <w:rStyle w:val="Hyperlink"/>
            <w:rFonts w:ascii="Arial" w:cs="Arial" w:eastAsia="Arial" w:hAnsi="Arial"/>
            <w:sz w:val="18"/>
            <w:szCs w:val="18"/>
          </w:rPr>
          <w:t xml:space="preserve">VST 8-K (May 7, 2026)</w:t>
        </w:r>
      </w:hyperlink>
    </w:p>
    <w:p>
      <w:r>
        <w:br w:type="page"/>
      </w:r>
    </w:p>
    <w:p>
      <w:pPr>
        <w:pStyle w:val="Heading1"/>
        <w:spacing w:after="160" w:before="0"/>
      </w:pPr>
      <w:r>
        <w:rPr>
          <w:rFonts w:ascii="Arial" w:cs="Arial" w:eastAsia="Arial" w:hAnsi="Arial"/>
          <w:b/>
          <w:bCs/>
          <w:color w:val="1F3864"/>
          <w:sz w:val="36"/>
          <w:szCs w:val="36"/>
        </w:rPr>
        <w:t xml:space="preserve">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2467"/>
        <w:gridCol w:w="2467"/>
        <w:gridCol w:w="2466"/>
      </w:tblGrid>
      <w:tr>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Metric</w:t>
            </w:r>
          </w:p>
        </w:tc>
        <w:tc>
          <w:tcPr>
            <w:tcW w:type="dxa" w:w="246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CEG</w:t>
            </w:r>
          </w:p>
        </w:tc>
        <w:tc>
          <w:tcPr>
            <w:tcW w:type="dxa" w:w="2467"/>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NRG</w:t>
            </w:r>
          </w:p>
        </w:tc>
        <w:tc>
          <w:tcPr>
            <w:tcW w:type="dxa" w:w="24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VST</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Current Price</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$267</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$134</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$154</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Price Target</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$385</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$185</w:t>
            </w:r>
          </w:p>
        </w:tc>
        <w:tc>
          <w:tcPr>
            <w:tcW w:type="dxa" w:w="246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$230</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Upside to PT</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+44%</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+38%</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+49%</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Consensus PT (mean)</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$391</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$194</w:t>
            </w:r>
          </w:p>
        </w:tc>
        <w:tc>
          <w:tcPr>
            <w:tcW w:type="dxa" w:w="246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$228</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Analyst Coverage</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15 Buy / 5 Hold</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17 Buy / 7 Hold / 2 Sell</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20 Buy / 2 Hold</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2026E EBITDA</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~$8.5B (pro forma)</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$5.325-5.825B (guidance)</w:t>
            </w:r>
          </w:p>
        </w:tc>
        <w:tc>
          <w:tcPr>
            <w:tcW w:type="dxa" w:w="246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$6.8-7.6B (guidance)</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Current EV/EBITDA</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~11x</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~10x</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~9.7x</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Core Variant</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Guidance excludes PPA upside</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5.4GW pipeline = $0 in models</w:t>
            </w:r>
          </w:p>
        </w:tc>
        <w:tc>
          <w:tcPr>
            <w:tcW w:type="dxa" w:w="246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Merchant multiple on contracted book</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Key Near-Term Catalyst</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Incremental hyperscaler PPAs</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GEV/Kiewit PPA signing</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Cogentrix close (H2 2026)</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Bull Case Price</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$450+</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$215+</w:t>
            </w:r>
          </w:p>
        </w:tc>
        <w:tc>
          <w:tcPr>
            <w:tcW w:type="dxa" w:w="246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$290+</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Bear Case Price</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$220</w:t>
            </w:r>
          </w:p>
        </w:tc>
        <w:tc>
          <w:tcPr>
            <w:tcW w:type="dxa" w:w="24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$110</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$145</w:t>
            </w:r>
          </w:p>
        </w:tc>
      </w:tr>
      <w:tr>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bCs/>
                <w:sz w:val="18"/>
                <w:szCs w:val="18"/>
              </w:rPr>
              <w:t xml:space="preserve">Bear Trigger</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Adverse PJM ruling; Calpine miss</w:t>
            </w:r>
          </w:p>
        </w:tc>
        <w:tc>
          <w:tcPr>
            <w:tcW w:type="dxa" w:w="246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No LOIs convert in 12 months</w:t>
            </w:r>
          </w:p>
        </w:tc>
        <w:tc>
          <w:tcPr>
            <w:tcW w:type="dxa" w:w="246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40" w:before="40"/>
            </w:pPr>
            <w:r>
              <w:rPr>
                <w:rFonts w:ascii="Arial" w:cs="Arial" w:eastAsia="Arial" w:hAnsi="Arial"/>
                <w:b w:val="false"/>
                <w:bCs w:val="false"/>
                <w:sz w:val="18"/>
                <w:szCs w:val="18"/>
              </w:rPr>
              <w:t xml:space="preserve">Cogentrix fails; no re-rating</w:t>
            </w:r>
          </w:p>
        </w:tc>
      </w:tr>
    </w:tbl>
    <w:p>
      <w:pPr>
        <w:spacing w:after="100" w:before="100"/>
      </w:pPr>
      <w:r>
        <w:rPr>
          <w:rFonts w:ascii="Arial" w:cs="Arial" w:eastAsia="Arial" w:hAnsi="Arial"/>
          <w:sz w:val="20"/>
          <w:szCs w:val="20"/>
        </w:rPr>
        <w:t xml:space="preserve"/>
      </w:r>
    </w:p>
    <w:p>
      <w:pPr>
        <w:spacing w:after="100" w:before="100"/>
      </w:pPr>
      <w:r>
        <w:rPr>
          <w:rFonts w:ascii="Arial" w:cs="Arial" w:eastAsia="Arial" w:hAnsi="Arial"/>
          <w:sz w:val="20"/>
          <w:szCs w:val="20"/>
        </w:rPr>
        <w:t xml:space="preserve"/>
      </w:r>
    </w:p>
    <w:p>
      <w:pPr>
        <w:pBdr>
          <w:top w:val="single" w:color="2E75B6" w:sz="4"/>
        </w:pBdr>
        <w:spacing w:after="80" w:before="160"/>
      </w:pPr>
      <w:r>
        <w:rPr>
          <w:rFonts w:ascii="Arial" w:cs="Arial" w:eastAsia="Arial" w:hAnsi="Arial"/>
          <w:b/>
          <w:bCs/>
          <w:color w:val="2E75B6"/>
          <w:sz w:val="20"/>
          <w:szCs w:val="20"/>
        </w:rPr>
        <w:t xml:space="preserve">Powered by </w:t>
      </w:r>
      <w:hyperlink w:history="1" r:id="rIdvpodrbpaghpw6qwwtslee">
        <w:r>
          <w:rPr>
            <w:rStyle w:val="Hyperlink"/>
            <w:rFonts w:ascii="Arial" w:cs="Arial" w:eastAsia="Arial" w:hAnsi="Arial"/>
            <w:sz w:val="20"/>
            <w:szCs w:val="20"/>
          </w:rPr>
          <w:t xml:space="preserve">Bigdata.com</w:t>
        </w:r>
      </w:hyperlink>
      <w:r>
        <w:rPr>
          <w:rFonts w:ascii="Arial" w:cs="Arial" w:eastAsia="Arial" w:hAnsi="Arial"/>
          <w:color w:val="555555"/>
          <w:sz w:val="20"/>
          <w:szCs w:val="20"/>
        </w:rPr>
        <w:t xml:space="preserve"> — Data sourced from Bigdata.com financial intelligence platform, SEC EDGAR filings, and earnings transcripts via Quartr.</w:t>
      </w:r>
    </w:p>
    <w:p>
      <w:pPr>
        <w:spacing w:after="80" w:before="80"/>
      </w:pPr>
      <w:r>
        <w:rPr>
          <w:rFonts w:ascii="Arial" w:cs="Arial" w:eastAsia="Arial" w:hAnsi="Arial"/>
          <w:i/>
          <w:iCs/>
          <w:color w:val="888888"/>
          <w:sz w:val="16"/>
          <w:szCs w:val="16"/>
        </w:rPr>
        <w:t xml:space="preserve">DISCLAIMER: This output is for informational and research-assistance purposes only. It does not constitute investment, legal, tax, accounting, or other professional advice, and it is not a recommendation to buy, sell, or hold any security.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pPr>
    <w:r>
      <w:rPr>
        <w:rFonts w:ascii="Arial" w:cs="Arial" w:eastAsia="Arial" w:hAnsi="Arial"/>
        <w:color w:val="888888"/>
        <w:sz w:val="16"/>
        <w:szCs w:val="16"/>
      </w:rPr>
      <w:t xml:space="preserve">Powered by Bigdata.com  |  For informational purposes only.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1F3864"/>
        <w:sz w:val="20"/>
        <w:szCs w:val="20"/>
      </w:rPr>
      <w:t xml:space="preserve">UPSTEAM AI EQUITY RESEARCH</w:t>
    </w:r>
    <w:r>
      <w:rPr>
        <w:rFonts w:ascii="Arial" w:cs="Arial" w:eastAsia="Arial" w:hAnsi="Arial"/>
        <w:color w:val="999999"/>
        <w:sz w:val="20"/>
        <w:szCs w:val="20"/>
      </w:rPr>
      <w:t xml:space="preserve">   |   </w:t>
    </w:r>
    <w:r>
      <w:rPr>
        <w:rFonts w:ascii="Arial" w:cs="Arial" w:eastAsia="Arial" w:hAnsi="Arial"/>
        <w:i/>
        <w:iCs/>
        <w:color w:val="666666"/>
        <w:sz w:val="20"/>
        <w:szCs w:val="20"/>
      </w:rPr>
      <w:t xml:space="preserve">Variant Perception Series</w:t>
    </w:r>
    <w:r>
      <w:rPr>
        <w:rFonts w:ascii="Arial" w:cs="Arial" w:eastAsia="Arial" w:hAnsi="Arial"/>
        <w:color w:val="999999"/>
        <w:sz w:val="20"/>
        <w:szCs w:val="20"/>
      </w:rPr>
      <w:t xml:space="preserve">   |   </w:t>
    </w:r>
    <w:r>
      <w:rPr>
        <w:rFonts w:ascii="Arial" w:cs="Arial" w:eastAsia="Arial" w:hAnsi="Arial"/>
        <w:color w:val="666666"/>
        <w:sz w:val="20"/>
        <w:szCs w:val="20"/>
      </w:rPr>
      <w:t xml:space="preserve">June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y9yxrswi96yxzdzmhhbc" Type="http://schemas.openxmlformats.org/officeDocument/2006/relationships/hyperlink" Target="https://app.bigdata.com/documents/ADF5EEF99EED31254A019D37959F1AF8" TargetMode="External"/><Relationship Id="rIdevmy1nacy5y_rl8yalx-s" Type="http://schemas.openxmlformats.org/officeDocument/2006/relationships/hyperlink" Target="https://app.bigdata.com/documents/33106BF4B835D513E851002847480D21" TargetMode="External"/><Relationship Id="rId9xoln_8jr8crci1p46evc" Type="http://schemas.openxmlformats.org/officeDocument/2006/relationships/hyperlink" Target="https://app.bigdata.com/documents/811F8CEECE396C0F6B68CD4283064730" TargetMode="External"/><Relationship Id="rIdhfiurwfqzizzivgcayeyo" Type="http://schemas.openxmlformats.org/officeDocument/2006/relationships/hyperlink" Target="https://www.sec.gov/Archives/edgar/data/1868275/000186827526000067/ceg-20260331.htm" TargetMode="External"/><Relationship Id="rIdl2cpkrm-yssfcul26g5ur" Type="http://schemas.openxmlformats.org/officeDocument/2006/relationships/hyperlink" Target="https://app.bigdata.com/documents/DC4A46C3C83E48462761505848252003" TargetMode="External"/><Relationship Id="rIdsdw_bsdtxwdkuhhbocfiv" Type="http://schemas.openxmlformats.org/officeDocument/2006/relationships/hyperlink" Target="https://app.bigdata.com/documents/3BEF1F9612FF0A08B267B7916F02A0D3" TargetMode="External"/><Relationship Id="rId87xxostpxmfljq79o5kwl" Type="http://schemas.openxmlformats.org/officeDocument/2006/relationships/hyperlink" Target="https://app.bigdata.com/documents/FD46396282441ED7434FFE7038D862A5" TargetMode="External"/><Relationship Id="rIdods75nstgoztziitidbsk" Type="http://schemas.openxmlformats.org/officeDocument/2006/relationships/hyperlink" Target="https://app.bigdata.com/documents/C20946A735BAC4B6F281DA519E57F57A" TargetMode="External"/><Relationship Id="rIdsyxbeoy-ekwpovoiusl5v" Type="http://schemas.openxmlformats.org/officeDocument/2006/relationships/hyperlink" Target="https://app.bigdata.com/documents/1EAA7BEA8F70A86000872927B88A7474" TargetMode="External"/><Relationship Id="rIdneja1kxtokhzvsz-ksjrn" Type="http://schemas.openxmlformats.org/officeDocument/2006/relationships/hyperlink" Target="https://app.bigdata.com/documents/43FEBCFDCA47F74F49ABA59324629570" TargetMode="External"/><Relationship Id="rIdhsx8rkv-ve3sggeet1kqh" Type="http://schemas.openxmlformats.org/officeDocument/2006/relationships/hyperlink" Target="https://www.sec.gov/Archives/edgar/data/1692819/000162828026019029/vistra-20260318.htm" TargetMode="External"/><Relationship Id="rIdygczksm1ppkruw6xifnyz" Type="http://schemas.openxmlformats.org/officeDocument/2006/relationships/hyperlink" Target="https://www.sec.gov/Archives/edgar/data/1692819/000169281926000011/vistra-20260507.htm" TargetMode="External"/><Relationship Id="rIdvpodrbpaghpw6qwwtslee" Type="http://schemas.openxmlformats.org/officeDocument/2006/relationships/hyperlink" Target="https://bigdata.com"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2026-06-04T14:50:51.335Z</dcterms:created>
  <dcterms:modified xsi:type="dcterms:W3CDTF">2026-06-04T14:50:51.336Z</dcterms:modified>
</cp:coreProperties>
</file>

<file path=docProps/custom.xml><?xml version="1.0" encoding="utf-8"?>
<Properties xmlns="http://schemas.openxmlformats.org/officeDocument/2006/custom-properties" xmlns:vt="http://schemas.openxmlformats.org/officeDocument/2006/docPropsVTypes"/>
</file>