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56"/>
          <w:szCs w:val="56"/>
        </w:rPr>
        <w:t xml:space="preserve">VARIANT PERCEPTION</w:t>
      </w:r>
    </w:p>
    <w:p>
      <w:pPr>
        <w:spacing w:after="80" w:before="0"/>
      </w:pPr>
      <w:r>
        <w:rPr>
          <w:rFonts w:ascii="Arial" w:cs="Arial" w:eastAsia="Arial" w:hAnsi="Arial"/>
          <w:color w:val="2E75B6"/>
          <w:sz w:val="32"/>
          <w:szCs w:val="32"/>
        </w:rPr>
        <w:t xml:space="preserve">High-Conviction Series: MRVL  ·  BE</w:t>
      </w:r>
    </w:p>
    <w:p>
      <w:pPr>
        <w:spacing w:after="60" w:before="0"/>
      </w:pPr>
      <w:r>
        <w:rPr>
          <w:rFonts w:ascii="Arial" w:cs="Arial" w:eastAsia="Arial" w:hAnsi="Arial"/>
          <w:color w:val="666666"/>
          <w:sz w:val="20"/>
          <w:szCs w:val="20"/>
        </w:rPr>
        <w:t xml:space="preserve">Upsteam AI Equity Research  |  June 4, 2026</w:t>
      </w:r>
    </w:p>
    <w:p>
      <w:pPr>
        <w:spacing w:after="10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20"/>
              <w:left w:type="dxa" w:w="200"/>
              <w:bottom w:type="dxa" w:w="120"/>
              <w:right w:type="dxa" w:w="120"/>
            </w:tcMar>
          </w:tcPr>
          <w:p>
            <w:pPr>
              <w:spacing w:after="40" w:before="40"/>
            </w:pPr>
            <w:r>
              <w:rPr>
                <w:rFonts w:ascii="Arial" w:cs="Arial" w:eastAsia="Arial" w:hAnsi="Arial"/>
                <w:i/>
                <w:iCs/>
                <w:color w:val="1F3864"/>
                <w:sz w:val="19"/>
                <w:szCs w:val="19"/>
              </w:rPr>
              <w:t xml:space="preserve">MRVL and BE represent the two largest divergences between our price targets and Street consensus in the entire coverage universe: MRVL at $370 vs consensus $231 (+60% above Street), and BE at $330 vs consensus $218 (+51% above Street). In both cases, consensus is applying backward-looking valuation frameworks to businesses that have structurally transformed. This document makes the case explicitly.</w:t>
            </w:r>
          </w:p>
        </w:tc>
      </w:tr>
    </w:tbl>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w:r>
    </w:p>
    <w:p>
      <w:r>
        <w:br w:type="page"/>
      </w:r>
    </w:p>
    <w:p>
      <w:pPr>
        <w:pStyle w:val="Heading1"/>
        <w:spacing w:after="160" w:before="0"/>
      </w:pPr>
      <w:r>
        <w:rPr>
          <w:rFonts w:ascii="Arial" w:cs="Arial" w:eastAsia="Arial" w:hAnsi="Arial"/>
          <w:b/>
          <w:bCs/>
          <w:color w:val="1F3864"/>
          <w:sz w:val="36"/>
          <w:szCs w:val="36"/>
        </w:rPr>
        <w:t xml:space="preserve">1. MARVELL TECHNOLOGY  (MRVL)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6F" w:val="clear"/>
            <w:tcMar>
              <w:top w:type="dxa" w:w="120"/>
              <w:left w:type="dxa" w:w="200"/>
              <w:bottom w:type="dxa" w:w="120"/>
              <w:right w:type="dxa" w:w="200"/>
            </w:tcMar>
          </w:tcPr>
          <w:p>
            <w:pPr>
              <w:spacing w:after="40" w:before="40"/>
              <w:jc w:val="center"/>
            </w:pPr>
            <w:r>
              <w:rPr>
                <w:rFonts w:ascii="Arial" w:cs="Arial" w:eastAsia="Arial" w:hAnsi="Arial"/>
                <w:b/>
                <w:bCs/>
                <w:color w:val="FFFFFF"/>
                <w:sz w:val="22"/>
                <w:szCs w:val="22"/>
              </w:rPr>
              <w:t xml:space="preserve">⚠  OUR PT ($370) IS 60% ABOVE STREET CONSENSUS ($231)  ⚠</w:t>
            </w:r>
          </w:p>
        </w:tc>
      </w:tr>
    </w:tbl>
    <w:p>
      <w:pPr>
        <w:spacing w:after="10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1800"/>
      </w:tblGrid>
      <w:tr>
        <w:tc>
          <w:tcPr>
            <w:tcW w:type="dxa" w:w="2200"/>
            <w:tcBorders>
              <w:top w:val="none" w:color="FFFFFF" w:sz="0"/>
              <w:left w:val="none" w:color="FFFFFF" w:sz="0"/>
              <w:bottom w:val="none" w:color="FFFFFF" w:sz="0"/>
              <w:right w:val="none" w:color="FFFFFF" w:sz="0"/>
            </w:tcBorders>
            <w:shd w:fill="5B2C6F" w:val="clear"/>
            <w:tcMar>
              <w:top w:type="dxa" w:w="120"/>
              <w:left w:type="dxa" w:w="160"/>
              <w:bottom w:type="dxa" w:w="120"/>
              <w:right w:type="dxa" w:w="160"/>
            </w:tcMar>
          </w:tcPr>
          <w:p>
            <w:pPr>
              <w:spacing w:after="20" w:before="0"/>
            </w:pPr>
            <w:r>
              <w:rPr>
                <w:rFonts w:ascii="Arial" w:cs="Arial" w:eastAsia="Arial" w:hAnsi="Arial"/>
                <w:b/>
                <w:bCs/>
                <w:color w:val="FFFFFF"/>
                <w:sz w:val="52"/>
                <w:szCs w:val="52"/>
              </w:rPr>
              <w:t xml:space="preserve">MRVL</w:t>
            </w:r>
          </w:p>
          <w:p>
            <w:pPr>
              <w:spacing w:after="0" w:before="0"/>
            </w:pPr>
            <w:r>
              <w:rPr>
                <w:rFonts w:ascii="Arial" w:cs="Arial" w:eastAsia="Arial" w:hAnsi="Arial"/>
                <w:color w:val="B8CCE4"/>
                <w:sz w:val="16"/>
                <w:szCs w:val="16"/>
              </w:rPr>
              <w:t xml:space="preserve">AI-Networking</w:t>
            </w:r>
          </w:p>
        </w:tc>
        <w:tc>
          <w:tcPr>
            <w:tcW w:type="dxa" w:w="1800"/>
            <w:tcBorders>
              <w:top w:val="none" w:color="FFFFFF" w:sz="0"/>
              <w:left w:val="none" w:color="FFFFFF" w:sz="0"/>
              <w:bottom w:val="none" w:color="FFFFFF" w:sz="0"/>
              <w:right w:val="none" w:color="FFFFFF" w:sz="0"/>
            </w:tcBorders>
            <w:shd w:fill="1E7145" w:val="clear"/>
            <w:tcMar>
              <w:top w:type="dxa" w:w="120"/>
              <w:left w:type="dxa" w:w="160"/>
              <w:bottom w:type="dxa" w:w="120"/>
              <w:right w:type="dxa" w:w="160"/>
            </w:tcMar>
            <w:vAlign w:val="center"/>
          </w:tcPr>
          <w:p>
            <w:pPr>
              <w:spacing w:after="10" w:before="0"/>
              <w:jc w:val="center"/>
            </w:pPr>
            <w:r>
              <w:rPr>
                <w:rFonts w:ascii="Arial" w:cs="Arial" w:eastAsia="Arial" w:hAnsi="Arial"/>
                <w:b/>
                <w:bCs/>
                <w:color w:val="FFFFFF"/>
                <w:sz w:val="36"/>
                <w:szCs w:val="36"/>
              </w:rPr>
              <w:t xml:space="preserve">BUY</w:t>
            </w:r>
          </w:p>
          <w:p>
            <w:pPr>
              <w:spacing w:after="0" w:before="0"/>
              <w:jc w:val="center"/>
            </w:pPr>
            <w:r>
              <w:rPr>
                <w:rFonts w:ascii="Arial" w:cs="Arial" w:eastAsia="Arial" w:hAnsi="Arial"/>
                <w:color w:val="C8E6C9"/>
                <w:sz w:val="14"/>
                <w:szCs w:val="14"/>
              </w:rPr>
              <w:t xml:space="preserve">RATING</w:t>
            </w:r>
          </w:p>
        </w:tc>
        <w:tc>
          <w:tcPr>
            <w:tcW w:type="dxa" w:w="178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vAlign w:val="center"/>
          </w:tcPr>
          <w:p>
            <w:pPr>
              <w:spacing w:after="10" w:before="0"/>
              <w:jc w:val="center"/>
            </w:pPr>
            <w:r>
              <w:rPr>
                <w:rFonts w:ascii="Arial" w:cs="Arial" w:eastAsia="Arial" w:hAnsi="Arial"/>
                <w:b/>
                <w:bCs/>
                <w:color w:val="333333"/>
                <w:sz w:val="28"/>
                <w:szCs w:val="28"/>
              </w:rPr>
              <w:t xml:space="preserve">$309</w:t>
            </w:r>
          </w:p>
          <w:p>
            <w:pPr>
              <w:spacing w:after="0" w:before="0"/>
              <w:jc w:val="center"/>
            </w:pPr>
            <w:r>
              <w:rPr>
                <w:rFonts w:ascii="Arial" w:cs="Arial" w:eastAsia="Arial" w:hAnsi="Arial"/>
                <w:color w:val="666666"/>
                <w:sz w:val="14"/>
                <w:szCs w:val="14"/>
              </w:rPr>
              <w:t xml:space="preserve">CURRENT</w:t>
            </w:r>
          </w:p>
        </w:tc>
        <w:tc>
          <w:tcPr>
            <w:tcW w:type="dxa" w:w="17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spacing w:after="10" w:before="0"/>
              <w:jc w:val="center"/>
            </w:pPr>
            <w:r>
              <w:rPr>
                <w:rFonts w:ascii="Arial" w:cs="Arial" w:eastAsia="Arial" w:hAnsi="Arial"/>
                <w:b/>
                <w:bCs/>
                <w:color w:val="1F3864"/>
                <w:sz w:val="28"/>
                <w:szCs w:val="28"/>
              </w:rPr>
              <w:t xml:space="preserve">$370</w:t>
            </w:r>
          </w:p>
          <w:p>
            <w:pPr>
              <w:spacing w:after="0" w:before="0"/>
              <w:jc w:val="center"/>
            </w:pPr>
            <w:r>
              <w:rPr>
                <w:rFonts w:ascii="Arial" w:cs="Arial" w:eastAsia="Arial" w:hAnsi="Arial"/>
                <w:color w:val="2E75B6"/>
                <w:sz w:val="14"/>
                <w:szCs w:val="14"/>
              </w:rPr>
              <w:t xml:space="preserve">OUR PT</w:t>
            </w:r>
          </w:p>
        </w:tc>
        <w:tc>
          <w:tcPr>
            <w:tcW w:type="dxa" w:w="1800"/>
            <w:tcBorders>
              <w:top w:val="none" w:color="FFFFFF" w:sz="0"/>
              <w:left w:val="none" w:color="FFFFFF" w:sz="0"/>
              <w:bottom w:val="none" w:color="FFFFFF" w:sz="0"/>
              <w:right w:val="none" w:color="FFFFFF" w:sz="0"/>
            </w:tcBorders>
            <w:shd w:fill="FFF3CC" w:val="clear"/>
            <w:tcMar>
              <w:top w:type="dxa" w:w="120"/>
              <w:left w:type="dxa" w:w="160"/>
              <w:bottom w:type="dxa" w:w="120"/>
              <w:right w:type="dxa" w:w="160"/>
            </w:tcMar>
            <w:vAlign w:val="center"/>
          </w:tcPr>
          <w:p>
            <w:pPr>
              <w:spacing w:after="10" w:before="0"/>
              <w:jc w:val="center"/>
            </w:pPr>
            <w:r>
              <w:rPr>
                <w:rFonts w:ascii="Arial" w:cs="Arial" w:eastAsia="Arial" w:hAnsi="Arial"/>
                <w:b/>
                <w:bCs/>
                <w:color w:val="BF8F00"/>
                <w:sz w:val="28"/>
                <w:szCs w:val="28"/>
              </w:rPr>
              <w:t xml:space="preserve">+60% vs Cons</w:t>
            </w:r>
          </w:p>
          <w:p>
            <w:pPr>
              <w:spacing w:after="0" w:before="0"/>
              <w:jc w:val="center"/>
            </w:pPr>
            <w:r>
              <w:rPr>
                <w:rFonts w:ascii="Arial" w:cs="Arial" w:eastAsia="Arial" w:hAnsi="Arial"/>
                <w:color w:val="BF8F00"/>
                <w:sz w:val="14"/>
                <w:szCs w:val="14"/>
              </w:rPr>
              <w:t xml:space="preserve">VS CONS PT</w:t>
            </w:r>
          </w:p>
        </w:tc>
      </w:tr>
    </w:tbl>
    <w:p>
      <w:pPr>
        <w:spacing w:after="100" w:before="10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One-line variant: </w:t>
      </w:r>
      <w:r>
        <w:rPr>
          <w:rFonts w:ascii="Arial" w:cs="Arial" w:eastAsia="Arial" w:hAnsi="Arial"/>
          <w:sz w:val="20"/>
          <w:szCs w:val="20"/>
        </w:rPr>
        <w:t xml:space="preserve">Consensus values Marvell as a semiconductor company with an AI growth kicker. We value it as a dedicated AI infrastructure designer with an expanding TAM — custom silicon, co-package optics, and custom HBM — that will compound at 40%+ revenue growth for 3+ years. The revenue ramp already visible in the numbers makes the $231 consensus PT mathematically implausible if the current trajectory continues.</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1.1  The Revenue Evidence Consensus Is Ignoring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Period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Revenue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YoY Growth</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Key Driver</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Q1 FY2025 (May 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$1.16B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+87% DC YoY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Custom AI silicon ramp begins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Quartr Q1 FY25 Report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Q2 FY2025 (Aug 2024)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$1.30B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+92% DC YoY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Custom AI volume ramp</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Quartr Q2 FY25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Q3 FY2025 (Nov 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+19% QoQ</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Biggest single Q growth; volume production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Quartr Q3 FY25 Report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Q1 FY2026 (May 2025)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$1.895B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+63% YoY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Rapid scaling, 50+ new opportunities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Quartr Q1 FY26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Q2 FY2026 (Aug 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$2.006B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+58% YoY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50+ design wins, 10+ customers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Quartr Q2 FY26 Report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Q1 FY2027 (Feb 2026)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$2.418B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~60%+ YoY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Latest reported; co-pkg optics + custom HBM</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MRVL Q1 FY27 10-Q</w:t>
            </w:r>
          </w:p>
        </w:tc>
      </w:tr>
    </w:tbl>
    <w:p>
      <w:pPr>
        <w:spacing w:after="10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20"/>
              <w:left w:type="dxa" w:w="200"/>
              <w:bottom w:type="dxa" w:w="120"/>
              <w:right w:type="dxa" w:w="120"/>
            </w:tcMar>
          </w:tcPr>
          <w:p>
            <w:pPr>
              <w:spacing w:after="40" w:before="40"/>
            </w:pPr>
            <w:r>
              <w:rPr>
                <w:rFonts w:ascii="Arial" w:cs="Arial" w:eastAsia="Arial" w:hAnsi="Arial"/>
                <w:i/>
                <w:iCs/>
                <w:color w:val="1F3864"/>
                <w:sz w:val="19"/>
                <w:szCs w:val="19"/>
              </w:rPr>
              <w:t xml:space="preserve">Revenue has grown from $1.16B to $2.42B in 8 quarters — more than doubling. At the current growth rate, MRVL reaches $10B+ annual revenue by FY2028. Consensus PT of $231 implies the market is pricing NO future growth beyond current revenue. This is the variant: consensus is treating MRVL as ex-growth when it is clearly in hyper-growth.</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1.2  EPIC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1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Question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Assessment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Material to intrinsic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Revenue grew from $1.16B (Q1 FY25) to $2.42B (Q1 FY27) — a 108% increase in 8 quarters. Custom silicon is now the primary revenue driver. Three new TAM expansions underway: (1) Co-package optics — integrating silicon photonics into AI accelerators, enabling transition from copper to optical for scale-up clusters. (2) Custom HBM architecture — higher content per chip. (3) 50+ new design opportunities across 10+ customers beyond Amazon/Microsoft. Each generation brings higher ASP and stronger lock-in.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Predictability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Can we forecast drivers reliably?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MRVL's custom silicon revenue is driven by Amazon Trainium and Microsoft Maia volume ramps — both multi-year committed programs. The revenue follows chip design cycles (18-36 months) that are disclosed via earnings guidance. Management has consistently guided accurately: Q3 FY25 beat mid-point 19% QoQ, Q2 FY26 delivered 58% YoY growth. The 50+ design pipeline is observable through management commentary. Uncertainty: timing of co-package optics and custom HBM reaching volume production.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Independence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Does consensus misjudge this?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Yes — fundamentally. The Street is applying a 15-20x EV/Revenue multiple appropriate for a mature semiconductor company. MRVL is not mature — it is in the early stages of a custom silicon TAM expansion that parallels what Broadcom did with ASIC design over 15 years. The Street has also anchored on the $231 PT established when MRVL was primarily an optical networking company. The thesis has evolved; the consensus has not caught 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Consensus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Is there a gap?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Our PT: $370. Consensus mean: $231. Consensus median: $235. Gap: +60%. The 60 Buy / 12 Hold / 1 Sell coverage mix shows analysts are directionally bullish — but their PTs are dramatically below ours. This is not a situation where 'the Street disagrees' — the Street ALSO has a Buy rating, just with a lower PT. Our variant is not direction but magnitude: the Street is undervaluing the TAM expansion from 2 to 50+ custom customers.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1.3  FaVeS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Consensus View</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Our Variant 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Fundamentals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Custom silicon for Amazon (Trainium) and Microsoft (Maia) now in volume production. Revenue growing 60%+ YoY. Gross margins ~50% and expanding. PAM4 DSPs dominant in AI optical interconnect. Legacy enterprise/carrier recovering after multi-year inventory digestion.</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Q1 FY27: management announced co-package optics platform (copper → optical in AI clusters) and custom HBM architecture (higher memory integration per XPU). 50+ new design opportunities across 10+ customers means this is no longer a 2-customer story. Each design cycle locks in Marvell for 5-7 years. This is a moat-building phase, not a commodity ramp.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Valuation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Consensus: $231 PT, implying ~12-15x NTM revenue on $6B forward estimate. Most semiconductor peers at 8-12x. Street anchored on: (1) cyclicality of semis, (2) customer concentration at Amazon/Microsoft, (3) execution risk on new platforms.</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At $309, MRVL trades at ~14x our FY2027E revenue of ~$11B. If co-package optics and custom HBM add $2-4B of incremental revenue by FY2028, the $370 PT corresponds to only 12x FY2028E revenue — not aggressive for a company growing at 40-60% annually. Reverse DCF at $309: implies revenue growth decelerates to 15% after FY2027, which contradicts the design pipeline disclosures.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Sentiment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Stock has doubled YTD. Some investors worry it's 'over-owned.' Short interest low but position concentration concerns. Semiconductor sector volatility creates drawdown risk on any guidance reset.</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The 50+ design wins represent demand that hasn't started shipping yet. Revenue is currently front-loaded on Amazon and Microsoft. As the pipeline converts, revenue concentration falls, reducing the risk that drives the valuation discount. The investor event on June 17 (disclosed Q1 FY26) was specifically designed to showcase custom AI silicon breadth — a deliberate management effort to close the gap between fundamentals and the consensus PT.</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1.4  The Specific Disagreement</w:t>
      </w:r>
    </w:p>
    <w:p>
      <w:pPr>
        <w:pStyle w:val="ListParagraph"/>
        <w:numPr>
          <w:ilvl w:val="0"/>
          <w:numId w:val="2"/>
        </w:numPr>
        <w:spacing w:after="60" w:before="60"/>
      </w:pPr>
      <w:r>
        <w:rPr>
          <w:rFonts w:ascii="Arial" w:cs="Arial" w:eastAsia="Arial" w:hAnsi="Arial"/>
          <w:b/>
          <w:bCs/>
          <w:sz w:val="20"/>
          <w:szCs w:val="20"/>
        </w:rPr>
        <w:t xml:space="preserve">Consensus says: </w:t>
      </w:r>
      <w:r>
        <w:rPr>
          <w:rFonts w:ascii="Arial" w:cs="Arial" w:eastAsia="Arial" w:hAnsi="Arial"/>
          <w:sz w:val="20"/>
          <w:szCs w:val="20"/>
        </w:rPr>
        <w:t xml:space="preserve">MRVL is a semiconductor company with $6-8B forward revenue at current growth rates. At 12-15x revenue, that's $72-120B market cap → ~$150-250/share.</w:t>
      </w:r>
    </w:p>
    <w:p>
      <w:pPr>
        <w:pStyle w:val="ListParagraph"/>
        <w:numPr>
          <w:ilvl w:val="0"/>
          <w:numId w:val="2"/>
        </w:numPr>
        <w:spacing w:after="60" w:before="60"/>
      </w:pPr>
      <w:r>
        <w:rPr>
          <w:rFonts w:ascii="Arial" w:cs="Arial" w:eastAsia="Arial" w:hAnsi="Arial"/>
          <w:b/>
          <w:bCs/>
          <w:sz w:val="20"/>
          <w:szCs w:val="20"/>
        </w:rPr>
        <w:t xml:space="preserve">We say: </w:t>
      </w:r>
      <w:r>
        <w:rPr>
          <w:rFonts w:ascii="Arial" w:cs="Arial" w:eastAsia="Arial" w:hAnsi="Arial"/>
          <w:sz w:val="20"/>
          <w:szCs w:val="20"/>
        </w:rPr>
        <w:t xml:space="preserve">Custom silicon design wins don't stop at Amazon and Microsoft. The 50+ new opportunities management disclosed in Q2 FY26 represent the next wave. Each win is a 5-7 year committed revenue stream at expanding ASPs. Co-package optics is a genuine platform shift — it's not just Marvell winning more silicon deals, it's Marvell creating a new $10B+ TAM as AI clusters transition from copper to optical.</w:t>
      </w:r>
    </w:p>
    <w:p>
      <w:pPr>
        <w:pStyle w:val="ListParagraph"/>
        <w:numPr>
          <w:ilvl w:val="0"/>
          <w:numId w:val="2"/>
        </w:numPr>
        <w:spacing w:after="60" w:before="60"/>
      </w:pPr>
      <w:r>
        <w:rPr>
          <w:rFonts w:ascii="Arial" w:cs="Arial" w:eastAsia="Arial" w:hAnsi="Arial"/>
          <w:b/>
          <w:bCs/>
          <w:sz w:val="20"/>
          <w:szCs w:val="20"/>
        </w:rPr>
        <w:t xml:space="preserve">The math: </w:t>
      </w:r>
      <w:r>
        <w:rPr>
          <w:rFonts w:ascii="Arial" w:cs="Arial" w:eastAsia="Arial" w:hAnsi="Arial"/>
          <w:sz w:val="20"/>
          <w:szCs w:val="20"/>
        </w:rPr>
        <w:t xml:space="preserve">MRVL FY2025 (Jan 2025) revenue was ~$5.5B run-rate. FY2026 (Jan 2026) run-rate ~$8-9B. FY2027 (Jan 2027) guidance run-rate ~$11-12B. At $370 and our $11B revenue estimate: 17x NTM revenue. For a semiconductor company growing at 40%+ with expanding margins, 17x is defensible. For Nvidia at peak, it was 20-25x.</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1.5  Catalyst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60"/>
        <w:gridCol w:w="3040"/>
        <w:gridCol w:w="24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Event</w:t>
            </w:r>
          </w:p>
        </w:tc>
        <w:tc>
          <w:tcPr>
            <w:tcW w:type="dxa" w:w="3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Bull Case Impact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Monitoring Signal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Aug 27,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Q2 FY2027 earnings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+15-20% if 50+ pipeline converts to signed contracts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Management disclosure of named/unnamed custom wins; quarterly DC revenue vs. $2.42B Q1</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H2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Co-package optics volume production</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+12-18% as TAM expansion becomes visible in revenue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Management commentary on CPO customer count and first revenue contribution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2026-2027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Custom HBM architecture first shipments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+10-15% new revenue stream from memory-compute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Design win announcements; TSMC N2/N3 tape-out disclosures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2027</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Trainium 3 / Maia 3 ramp (next gen)</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+20-30% step-up as new generation ASPs higher than current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AWS/Microsoft data center capex guidance; MRVL design win announcements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1.6  Bear Case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0000" w:sz="12"/>
              <w:bottom w:val="none" w:color="FFFFFF" w:sz="0"/>
              <w:right w:val="none" w:color="FFFFFF" w:sz="0"/>
            </w:tcBorders>
            <w:shd w:fill="FFF0F0" w:val="clear"/>
            <w:tcMar>
              <w:top w:type="dxa" w:w="120"/>
              <w:left w:type="dxa" w:w="200"/>
              <w:bottom w:type="dxa" w:w="120"/>
              <w:right w:type="dxa" w:w="120"/>
            </w:tcMar>
          </w:tcPr>
          <w:p>
            <w:pPr>
              <w:spacing w:after="40" w:before="40"/>
            </w:pPr>
            <w:r>
              <w:rPr>
                <w:rFonts w:ascii="Arial" w:cs="Arial" w:eastAsia="Arial" w:hAnsi="Arial"/>
                <w:i/>
                <w:iCs/>
                <w:color w:val="C00000"/>
                <w:sz w:val="19"/>
                <w:szCs w:val="19"/>
              </w:rPr>
              <w:t xml:space="preserve">CHANGE RATING IF: (1) Amazon or Microsoft explicitly delays/reduces Trainium 3 or Maia 3 program. (2) Revenue guidance cut &gt;15% in a single quarter. (3) A new entrant or Broadcom wins a major design displacement. Bear case price: $180 (12x FY2027E revenue in a deceleration scenario).</w:t>
            </w:r>
          </w:p>
        </w:tc>
      </w:tr>
    </w:tbl>
    <w:p>
      <w:pPr>
        <w:spacing w:after="80" w:before="120"/>
      </w:pPr>
      <w:r>
        <w:rPr>
          <w:rFonts w:ascii="Arial" w:cs="Arial" w:eastAsia="Arial" w:hAnsi="Arial"/>
          <w:sz w:val="20"/>
          <w:szCs w:val="20"/>
        </w:rPr>
        <w:t xml:space="preserve">Sources: </w:t>
      </w:r>
      <w:hyperlink w:history="1" r:id="rIdzxfzxvrxgj93jomflsgfr">
        <w:r>
          <w:rPr>
            <w:rStyle w:val="Hyperlink"/>
            <w:rFonts w:ascii="Arial" w:cs="Arial" w:eastAsia="Arial" w:hAnsi="Arial"/>
            <w:sz w:val="18"/>
            <w:szCs w:val="18"/>
          </w:rPr>
          <w:t xml:space="preserve">MRVL Q1 FY2026 Earnings (May 29, 2025)</w:t>
        </w:r>
      </w:hyperlink>
      <w:r>
        <w:rPr>
          <w:rFonts w:ascii="Arial" w:cs="Arial" w:eastAsia="Arial" w:hAnsi="Arial"/>
          <w:sz w:val="20"/>
          <w:szCs w:val="20"/>
        </w:rPr>
        <w:t xml:space="preserve"> | </w:t>
      </w:r>
      <w:hyperlink w:history="1" r:id="rIdkdckrrrlij2shkm3cq5mz">
        <w:r>
          <w:rPr>
            <w:rStyle w:val="Hyperlink"/>
            <w:rFonts w:ascii="Arial" w:cs="Arial" w:eastAsia="Arial" w:hAnsi="Arial"/>
            <w:sz w:val="18"/>
            <w:szCs w:val="18"/>
          </w:rPr>
          <w:t xml:space="preserve">MRVL Q2 FY2026 Earnings (Aug 28, 2025)</w:t>
        </w:r>
      </w:hyperlink>
      <w:r>
        <w:rPr>
          <w:rFonts w:ascii="Arial" w:cs="Arial" w:eastAsia="Arial" w:hAnsi="Arial"/>
          <w:sz w:val="20"/>
          <w:szCs w:val="20"/>
        </w:rPr>
        <w:t xml:space="preserve"> | </w:t>
      </w:r>
      <w:hyperlink w:history="1" r:id="rIdvpso-zemeuucx6qirg44l">
        <w:r>
          <w:rPr>
            <w:rStyle w:val="Hyperlink"/>
            <w:rFonts w:ascii="Arial" w:cs="Arial" w:eastAsia="Arial" w:hAnsi="Arial"/>
            <w:sz w:val="18"/>
            <w:szCs w:val="18"/>
          </w:rPr>
          <w:t xml:space="preserve">MRVL Q3 FY2026 Earnings (Dec 2, 2025)</w:t>
        </w:r>
      </w:hyperlink>
      <w:r>
        <w:rPr>
          <w:rFonts w:ascii="Arial" w:cs="Arial" w:eastAsia="Arial" w:hAnsi="Arial"/>
          <w:sz w:val="20"/>
          <w:szCs w:val="20"/>
        </w:rPr>
        <w:t xml:space="preserve"> | </w:t>
      </w:r>
      <w:hyperlink w:history="1" r:id="rId3h5y6gxsyqm1-bdfuxjcd">
        <w:r>
          <w:rPr>
            <w:rStyle w:val="Hyperlink"/>
            <w:rFonts w:ascii="Arial" w:cs="Arial" w:eastAsia="Arial" w:hAnsi="Arial"/>
            <w:sz w:val="18"/>
            <w:szCs w:val="18"/>
          </w:rPr>
          <w:t xml:space="preserve">MRVL 10-Q Q3 FY2026</w:t>
        </w:r>
      </w:hyperlink>
    </w:p>
    <w:p>
      <w:r>
        <w:br w:type="page"/>
      </w:r>
    </w:p>
    <w:p>
      <w:pPr>
        <w:pStyle w:val="Heading1"/>
        <w:spacing w:after="160" w:before="0"/>
      </w:pPr>
      <w:r>
        <w:rPr>
          <w:rFonts w:ascii="Arial" w:cs="Arial" w:eastAsia="Arial" w:hAnsi="Arial"/>
          <w:b/>
          <w:bCs/>
          <w:color w:val="1F3864"/>
          <w:sz w:val="36"/>
          <w:szCs w:val="36"/>
        </w:rPr>
        <w:t xml:space="preserve">2. BLOOM ENERGY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145" w:val="clear"/>
            <w:tcMar>
              <w:top w:type="dxa" w:w="120"/>
              <w:left w:type="dxa" w:w="200"/>
              <w:bottom w:type="dxa" w:w="120"/>
              <w:right w:type="dxa" w:w="200"/>
            </w:tcMar>
          </w:tcPr>
          <w:p>
            <w:pPr>
              <w:spacing w:after="40" w:before="40"/>
              <w:jc w:val="center"/>
            </w:pPr>
            <w:r>
              <w:rPr>
                <w:rFonts w:ascii="Arial" w:cs="Arial" w:eastAsia="Arial" w:hAnsi="Arial"/>
                <w:b/>
                <w:bCs/>
                <w:color w:val="FFFFFF"/>
                <w:sz w:val="22"/>
                <w:szCs w:val="22"/>
              </w:rPr>
              <w:t xml:space="preserve">⚠  OUR PT ($330) IS 52% ABOVE STREET CONSENSUS ($218)  ⚠</w:t>
            </w:r>
          </w:p>
        </w:tc>
      </w:tr>
    </w:tbl>
    <w:p>
      <w:pPr>
        <w:spacing w:after="10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1800"/>
      </w:tblGrid>
      <w:tr>
        <w:tc>
          <w:tcPr>
            <w:tcW w:type="dxa" w:w="2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20" w:before="0"/>
            </w:pPr>
            <w:r>
              <w:rPr>
                <w:rFonts w:ascii="Arial" w:cs="Arial" w:eastAsia="Arial" w:hAnsi="Arial"/>
                <w:b/>
                <w:bCs/>
                <w:color w:val="FFFFFF"/>
                <w:sz w:val="52"/>
                <w:szCs w:val="52"/>
              </w:rPr>
              <w:t xml:space="preserve">BE</w:t>
            </w:r>
          </w:p>
          <w:p>
            <w:pPr>
              <w:spacing w:after="0" w:before="0"/>
            </w:pPr>
            <w:r>
              <w:rPr>
                <w:rFonts w:ascii="Arial" w:cs="Arial" w:eastAsia="Arial" w:hAnsi="Arial"/>
                <w:color w:val="B8CCE4"/>
                <w:sz w:val="16"/>
                <w:szCs w:val="16"/>
              </w:rPr>
              <w:t xml:space="preserve">Power-Gen-Grid</w:t>
            </w:r>
          </w:p>
        </w:tc>
        <w:tc>
          <w:tcPr>
            <w:tcW w:type="dxa" w:w="1800"/>
            <w:tcBorders>
              <w:top w:val="none" w:color="FFFFFF" w:sz="0"/>
              <w:left w:val="none" w:color="FFFFFF" w:sz="0"/>
              <w:bottom w:val="none" w:color="FFFFFF" w:sz="0"/>
              <w:right w:val="none" w:color="FFFFFF" w:sz="0"/>
            </w:tcBorders>
            <w:shd w:fill="1E7145" w:val="clear"/>
            <w:tcMar>
              <w:top w:type="dxa" w:w="120"/>
              <w:left w:type="dxa" w:w="160"/>
              <w:bottom w:type="dxa" w:w="120"/>
              <w:right w:type="dxa" w:w="160"/>
            </w:tcMar>
            <w:vAlign w:val="center"/>
          </w:tcPr>
          <w:p>
            <w:pPr>
              <w:spacing w:after="10" w:before="0"/>
              <w:jc w:val="center"/>
            </w:pPr>
            <w:r>
              <w:rPr>
                <w:rFonts w:ascii="Arial" w:cs="Arial" w:eastAsia="Arial" w:hAnsi="Arial"/>
                <w:b/>
                <w:bCs/>
                <w:color w:val="FFFFFF"/>
                <w:sz w:val="36"/>
                <w:szCs w:val="36"/>
              </w:rPr>
              <w:t xml:space="preserve">BUY</w:t>
            </w:r>
          </w:p>
          <w:p>
            <w:pPr>
              <w:spacing w:after="0" w:before="0"/>
              <w:jc w:val="center"/>
            </w:pPr>
            <w:r>
              <w:rPr>
                <w:rFonts w:ascii="Arial" w:cs="Arial" w:eastAsia="Arial" w:hAnsi="Arial"/>
                <w:color w:val="C8E6C9"/>
                <w:sz w:val="14"/>
                <w:szCs w:val="14"/>
              </w:rPr>
              <w:t xml:space="preserve">RATING</w:t>
            </w:r>
          </w:p>
        </w:tc>
        <w:tc>
          <w:tcPr>
            <w:tcW w:type="dxa" w:w="178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vAlign w:val="center"/>
          </w:tcPr>
          <w:p>
            <w:pPr>
              <w:spacing w:after="10" w:before="0"/>
              <w:jc w:val="center"/>
            </w:pPr>
            <w:r>
              <w:rPr>
                <w:rFonts w:ascii="Arial" w:cs="Arial" w:eastAsia="Arial" w:hAnsi="Arial"/>
                <w:b/>
                <w:bCs/>
                <w:color w:val="333333"/>
                <w:sz w:val="28"/>
                <w:szCs w:val="28"/>
              </w:rPr>
              <w:t xml:space="preserve">$283</w:t>
            </w:r>
          </w:p>
          <w:p>
            <w:pPr>
              <w:spacing w:after="0" w:before="0"/>
              <w:jc w:val="center"/>
            </w:pPr>
            <w:r>
              <w:rPr>
                <w:rFonts w:ascii="Arial" w:cs="Arial" w:eastAsia="Arial" w:hAnsi="Arial"/>
                <w:color w:val="666666"/>
                <w:sz w:val="14"/>
                <w:szCs w:val="14"/>
              </w:rPr>
              <w:t xml:space="preserve">CURRENT</w:t>
            </w:r>
          </w:p>
        </w:tc>
        <w:tc>
          <w:tcPr>
            <w:tcW w:type="dxa" w:w="17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spacing w:after="10" w:before="0"/>
              <w:jc w:val="center"/>
            </w:pPr>
            <w:r>
              <w:rPr>
                <w:rFonts w:ascii="Arial" w:cs="Arial" w:eastAsia="Arial" w:hAnsi="Arial"/>
                <w:b/>
                <w:bCs/>
                <w:color w:val="1F3864"/>
                <w:sz w:val="28"/>
                <w:szCs w:val="28"/>
              </w:rPr>
              <w:t xml:space="preserve">$330</w:t>
            </w:r>
          </w:p>
          <w:p>
            <w:pPr>
              <w:spacing w:after="0" w:before="0"/>
              <w:jc w:val="center"/>
            </w:pPr>
            <w:r>
              <w:rPr>
                <w:rFonts w:ascii="Arial" w:cs="Arial" w:eastAsia="Arial" w:hAnsi="Arial"/>
                <w:color w:val="2E75B6"/>
                <w:sz w:val="14"/>
                <w:szCs w:val="14"/>
              </w:rPr>
              <w:t xml:space="preserve">OUR PT</w:t>
            </w:r>
          </w:p>
        </w:tc>
        <w:tc>
          <w:tcPr>
            <w:tcW w:type="dxa" w:w="1800"/>
            <w:tcBorders>
              <w:top w:val="none" w:color="FFFFFF" w:sz="0"/>
              <w:left w:val="none" w:color="FFFFFF" w:sz="0"/>
              <w:bottom w:val="none" w:color="FFFFFF" w:sz="0"/>
              <w:right w:val="none" w:color="FFFFFF" w:sz="0"/>
            </w:tcBorders>
            <w:shd w:fill="FFF3CC" w:val="clear"/>
            <w:tcMar>
              <w:top w:type="dxa" w:w="120"/>
              <w:left w:type="dxa" w:w="160"/>
              <w:bottom w:type="dxa" w:w="120"/>
              <w:right w:type="dxa" w:w="160"/>
            </w:tcMar>
            <w:vAlign w:val="center"/>
          </w:tcPr>
          <w:p>
            <w:pPr>
              <w:spacing w:after="10" w:before="0"/>
              <w:jc w:val="center"/>
            </w:pPr>
            <w:r>
              <w:rPr>
                <w:rFonts w:ascii="Arial" w:cs="Arial" w:eastAsia="Arial" w:hAnsi="Arial"/>
                <w:b/>
                <w:bCs/>
                <w:color w:val="BF8F00"/>
                <w:sz w:val="28"/>
                <w:szCs w:val="28"/>
              </w:rPr>
              <w:t xml:space="preserve">+52% vs Cons</w:t>
            </w:r>
          </w:p>
          <w:p>
            <w:pPr>
              <w:spacing w:after="0" w:before="0"/>
              <w:jc w:val="center"/>
            </w:pPr>
            <w:r>
              <w:rPr>
                <w:rFonts w:ascii="Arial" w:cs="Arial" w:eastAsia="Arial" w:hAnsi="Arial"/>
                <w:color w:val="BF8F00"/>
                <w:sz w:val="14"/>
                <w:szCs w:val="14"/>
              </w:rPr>
              <w:t xml:space="preserve">VS CONS PT</w:t>
            </w:r>
          </w:p>
        </w:tc>
      </w:tr>
    </w:tbl>
    <w:p>
      <w:pPr>
        <w:spacing w:after="100" w:before="10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One-line variant: </w:t>
      </w:r>
      <w:r>
        <w:rPr>
          <w:rFonts w:ascii="Arial" w:cs="Arial" w:eastAsia="Arial" w:hAnsi="Arial"/>
          <w:sz w:val="20"/>
          <w:szCs w:val="20"/>
        </w:rPr>
        <w:t xml:space="preserve">Consensus is valuing post-Oracle Bloom Energy using pre-Oracle Bloom Energy metrics — a miss that is particularly severe because the 2026 guidance raise (to $3.4-3.8B, +80% YoY) and the Q1 2026 beat ($751M, +130% YoY) have been reported AFTER most consensus PTs were set. The business has changed; the models have not. At $283 and $3.6B 2026E revenue, Bloom trades at 7.9x — the cheapest power infrastructure company in coverage on a revenue basis despite the fastest growth.</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2.1  What Changed in 2025-2026: The Before/After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OLD BLOOM (Pre-Oracle Contract, pre-Aug 2025)</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NEW BLOOM (Post-Oracle + Hyperscaler Wins)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Annual revenue ~$1.0-1.5B, growing 10-15% YoY</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2026E revenue $3.4-3.8B, +80% YoY; Q1'26 $751M (+130%)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1-2 named hyperscaler customers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Oracle (2.45 GW), Nebius ($2.6B), AEP/AWS (1 GW), gas provider/3rd hyperscaler, Equinix (100 MW)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Gross margins ~20-25%, frequently below guidance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2026E gross margin guided 34% (up from 30% in 2025)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$20B backlog target seemed aspirational</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&gt;$20B backlog achieved; customer prepayments securing capacity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Manufacturing capacity ~500 MW/year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Scaling to 2 GW/year by end 2026; multiple sites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Balance sheet stressed, frequent equity raises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$2.52B cash on balance sheet (Q1 2026); no dilution concerns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Delivery track record: often late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sz w:val="18"/>
                <w:szCs w:val="18"/>
              </w:rPr>
              <w:t xml:space="preserve">Project Jupiter: delivered in 55 days vs. 90 promised (-35 days ahead)</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2.2  EPIC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1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Question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Assessment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Material to intrinsic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Q1 2026: Revenue $751M (+130% YoY), gross margin 31%, non-GAAP EPS $0.44. 2026 guidance RAISED to $3.4-3.8B (+80% YoY at midpoint) on April 28, 2026 — AFTER most consensus PTs were set. Oracle Project Jupiter confirmed at 2.45 GW (April 27, 2026 — one week before guidance raise). Manufacturing capacity scaling to 2 GW/year by end 2026. At 2 GW/year capacity, run-rate revenue potential is $5-6B+ annually.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Predictability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Can we forecast drivers reliably?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Highly predictable: Product backlog &gt;$20B provides multi-year revenue visibility. Oracle 2.45 GW, Nebius 328 MW, AEP/AWS 1 GW — all signed, contracted, and in execution. Customer prepayments to reserve manufacturing capacity add further certainty. The variable is how fast Bloom can expand manufacturing — disclosed at $100-150M per GW of new capacity, targeting 2 GW by YE2026. Management delivered Project Jupiter 35 days AHEAD of schedule, establishing a new track record.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Independence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Does consensus misjudge this?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Yes — dramatically. Consensus has 16 Buy / 12 Hold / 3 Sell. The 15 Holds and Sells are anchored on: (1) pre-AI Bloom history of misses, (2) valuation optics (stock +1,396% in 12 months feels expensive), (3) natural gas price risk concerns. None of these factors account for the structural change: Bloom now has contracts with 4+ hyperscalers, a manufacturing capacity expansion plan, a balance sheet with $2.52B cash, and a product that delivered 35 days early. The skeptics have old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Consensus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Is there a gap?</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Our PT: $330. Consensus mean: $218. Gap: +52%. This is the second-largest consensus divergence in our coverage universe (behind MRVL). The 3 Sell ratings tell you where the divergence comes from — legacy analysts who valued Bloom before Oracle and haven't updated their models. RBC published a positive note TODAY (June 4, 2026) — 'Bloom Accelerates Capacity Amid Surging Data Center Demand' — reinforcing our thesis. The PT creep is happening; it's just slower than the fundamentals.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2.3  FaVeS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Consensus View</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Our Variant 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Fundamentals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Pre-Oracle Bloom: speculative clean energy company, margins volatile, execution spotty. Post-Oracle Bloom: $3.4-3.8B 2026E revenue, 34% gross margin, $600-750M non-GAAP operating income, $2.52B cash. Q1 2026 already beat ($751M vs ~$650M implicit from original guidance). Manufacturing scaling to 2 GW/year.</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The 55-day Project Jupiter delivery (vs. 90 promised) is the single most important data point in the thesis. It means Bloom's execution risk — the primary reason for Hold/Sell ratings — has materially declined. Combined with the contract expansion (Oracle → AEP/AWS → gas provider/3rd hyperscaler → Equinix), Bloom is no longer a 1-customer story.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Valuation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Consensus: $218 PT. At $283 and $3.6B 2026E revenue: 7.9x EV/Revenue. At $218 (consensus): 6.1x EV/Revenue. Street anchored on: (1) 'earnings still minimal on GAAP basis,' (2) high multiple vs. utility peers, (3) history.</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At $283, BE is the cheapest power infrastructure company in coverage on a revenue multiple despite the highest growth rate. GEV trades at 6-7x revenue; CEG at 11x; VRT at 46x. The 2026E non-GAAP EPS of $1.85-2.25 (if delivered) would represent a P/E of 126-153x — but that is the FIRST year of real earnings for Bloom. Using 2027E EPS of ~$3-4 (assuming 40% EPS growth off 2026 base), the P/E is 70-94x. On rapidly expanding earnings, 70-90x is expensive but not unreasonable for a company in hyper-growth.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Sentiment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Stock +1,396% in 12 months. Headline risk: 'Is the easy money made?' Short interest elevated vs. history (some short sellers built positions before Oracle contract; still covering). 15 Hold/Sell ratings represent a wall of potential upgrades.</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The multiple of 15 Hold/Sell ratings is actually a catalyst — as these analysts update models to reflect the 2026 guidance raise, the $218 consensus PT will move toward our $330. Each upgrade creates buying pressure. Additionally, RBC's note today (June 4, 2026) is exactly the kind of analyst note that triggers institutional re-evaluation. The 'wall of skeptics' becoming believers is the re-rating mechanism.</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2.4  The Specific Disagreement</w:t>
      </w:r>
    </w:p>
    <w:p>
      <w:pPr>
        <w:pStyle w:val="ListParagraph"/>
        <w:numPr>
          <w:ilvl w:val="0"/>
          <w:numId w:val="2"/>
        </w:numPr>
        <w:spacing w:after="60" w:before="60"/>
      </w:pPr>
      <w:r>
        <w:rPr>
          <w:rFonts w:ascii="Arial" w:cs="Arial" w:eastAsia="Arial" w:hAnsi="Arial"/>
          <w:b/>
          <w:bCs/>
          <w:sz w:val="20"/>
          <w:szCs w:val="20"/>
        </w:rPr>
        <w:t xml:space="preserve">Consensus says: </w:t>
      </w:r>
      <w:r>
        <w:rPr>
          <w:rFonts w:ascii="Arial" w:cs="Arial" w:eastAsia="Arial" w:hAnsi="Arial"/>
          <w:sz w:val="20"/>
          <w:szCs w:val="20"/>
        </w:rPr>
        <w:t xml:space="preserve">Bloom is expensive at current levels after a 1,396% run. Natural gas risk, execution history, and limited GAAP earnings justify caution. $218 consensus PT reflects appropriate discount to future value.</w:t>
      </w:r>
    </w:p>
    <w:p>
      <w:pPr>
        <w:pStyle w:val="ListParagraph"/>
        <w:numPr>
          <w:ilvl w:val="0"/>
          <w:numId w:val="2"/>
        </w:numPr>
        <w:spacing w:after="60" w:before="60"/>
      </w:pPr>
      <w:r>
        <w:rPr>
          <w:rFonts w:ascii="Arial" w:cs="Arial" w:eastAsia="Arial" w:hAnsi="Arial"/>
          <w:b/>
          <w:bCs/>
          <w:sz w:val="20"/>
          <w:szCs w:val="20"/>
        </w:rPr>
        <w:t xml:space="preserve">We say: </w:t>
      </w:r>
      <w:r>
        <w:rPr>
          <w:rFonts w:ascii="Arial" w:cs="Arial" w:eastAsia="Arial" w:hAnsi="Arial"/>
          <w:sz w:val="20"/>
          <w:szCs w:val="20"/>
        </w:rPr>
        <w:t xml:space="preserve">The 1,396% run happened because Bloom was previously valued as a speculative clean energy company. The business is now structurally different: $3.6B in 2026 revenue, manufacturing scaling to 2 GW/year, $2.52B cash, 4+ hyperscaler customers, and a product that delivered 35 days ahead of schedule. At 7.9x 2026E revenue with 80% growth, Bloom is the cheapest AI infrastructure name in the universe. The stock price reflects the new reality; the consensus PTs reflect the old one.</w:t>
      </w:r>
    </w:p>
    <w:p>
      <w:pPr>
        <w:pStyle w:val="ListParagraph"/>
        <w:numPr>
          <w:ilvl w:val="0"/>
          <w:numId w:val="2"/>
        </w:numPr>
        <w:spacing w:after="60" w:before="60"/>
      </w:pPr>
      <w:r>
        <w:rPr>
          <w:rFonts w:ascii="Arial" w:cs="Arial" w:eastAsia="Arial" w:hAnsi="Arial"/>
          <w:b/>
          <w:bCs/>
          <w:sz w:val="20"/>
          <w:szCs w:val="20"/>
        </w:rPr>
        <w:t xml:space="preserve">Key data point consensus missed: </w:t>
      </w:r>
      <w:r>
        <w:rPr>
          <w:rFonts w:ascii="Arial" w:cs="Arial" w:eastAsia="Arial" w:hAnsi="Arial"/>
          <w:sz w:val="20"/>
          <w:szCs w:val="20"/>
        </w:rPr>
        <w:t xml:space="preserve">Oracle Project Jupiter confirmed at 2.45 GW (April 27, 2026) — this is NOT a vague 'up to 2.8 GW' headline. The design replaces gas turbines AND diesel generators with a single Bloom microgrid. 92% NOx reduction vs. alternatives. This means Bloom is no longer competing with grid power — it's competing with on-site fossil fuel generation and winning on cost, speed, AND emissions. Source: </w:t>
      </w:r>
      <w:hyperlink w:history="1" r:id="rIdjh1cbtxrj_2iwnf3toskf">
        <w:r>
          <w:rPr>
            <w:rStyle w:val="Hyperlink"/>
            <w:rFonts w:ascii="Arial" w:cs="Arial" w:eastAsia="Arial" w:hAnsi="Arial"/>
            <w:sz w:val="18"/>
            <w:szCs w:val="18"/>
          </w:rPr>
          <w:t xml:space="preserve">Oracle/BorderPlex/Bloom PR (Apr 27, 2026)</w:t>
        </w:r>
      </w:hyperlink>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2.5  Catalyst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60"/>
        <w:gridCol w:w="3040"/>
        <w:gridCol w:w="24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Event</w:t>
            </w:r>
          </w:p>
        </w:tc>
        <w:tc>
          <w:tcPr>
            <w:tcW w:type="dxa" w:w="3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Bull Case Impact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Monitoring Signal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Aug 6,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Q2 2026 earnings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+15-20% if 4th or 5th hyperscaler contract announced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Revenue vs. Q1's $751M; gross margin vs. 31% (trend toward 34% target)</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H2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Manufacturing reaches 2 GW/year capacity</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+10-15% as revenue ceiling increases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Management quarterly update on manufacturing expansion; slot reservation announcements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2026 ongoing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Additional hyperscaler contract announcements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+15-25% per major contract (based on Q4 2025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8-K filings; earnings call disclosures; customer announcements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2026-2027</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Non-GAAP EPS ramp to $1.85-2.25 guidance</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+10-15% as earnings quality becomes visible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Quarterly EPS vs. guidance; sell-side PT upgrades from Hold/Sell analysts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2.6  Bear Case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0000" w:sz="12"/>
              <w:bottom w:val="none" w:color="FFFFFF" w:sz="0"/>
              <w:right w:val="none" w:color="FFFFFF" w:sz="0"/>
            </w:tcBorders>
            <w:shd w:fill="FFF0F0" w:val="clear"/>
            <w:tcMar>
              <w:top w:type="dxa" w:w="120"/>
              <w:left w:type="dxa" w:w="200"/>
              <w:bottom w:type="dxa" w:w="120"/>
              <w:right w:type="dxa" w:w="120"/>
            </w:tcMar>
          </w:tcPr>
          <w:p>
            <w:pPr>
              <w:spacing w:after="40" w:before="40"/>
            </w:pPr>
            <w:r>
              <w:rPr>
                <w:rFonts w:ascii="Arial" w:cs="Arial" w:eastAsia="Arial" w:hAnsi="Arial"/>
                <w:i/>
                <w:iCs/>
                <w:color w:val="C00000"/>
                <w:sz w:val="19"/>
                <w:szCs w:val="19"/>
              </w:rPr>
              <w:t xml:space="preserve">CHANGE RATING IF: (1) Oracle explicitly delays or reduces Project Jupiter below 1 GW. (2) Manufacturing capacity expansion delayed &gt;6 months (costs Bloom its 'speed' advantage vs. grid). (3) Natural gas prices spike &gt;50% sustained, eroding fuel cell economics. Bear case price: $120 (4x 2026E revenue in an execution-failure scenario).</w:t>
            </w:r>
          </w:p>
        </w:tc>
      </w:tr>
    </w:tbl>
    <w:p>
      <w:pPr>
        <w:spacing w:after="80" w:before="120"/>
      </w:pPr>
      <w:r>
        <w:rPr>
          <w:rFonts w:ascii="Arial" w:cs="Arial" w:eastAsia="Arial" w:hAnsi="Arial"/>
          <w:sz w:val="20"/>
          <w:szCs w:val="20"/>
        </w:rPr>
        <w:t xml:space="preserve">Sources: </w:t>
      </w:r>
      <w:hyperlink w:history="1" r:id="rIdoyeatic5llyjfaafghyhv">
        <w:r>
          <w:rPr>
            <w:rStyle w:val="Hyperlink"/>
            <w:rFonts w:ascii="Arial" w:cs="Arial" w:eastAsia="Arial" w:hAnsi="Arial"/>
            <w:sz w:val="18"/>
            <w:szCs w:val="18"/>
          </w:rPr>
          <w:t xml:space="preserve">BE Q1 2026 Earnings (Apr 28, 2026)</w:t>
        </w:r>
      </w:hyperlink>
      <w:r>
        <w:rPr>
          <w:rFonts w:ascii="Arial" w:cs="Arial" w:eastAsia="Arial" w:hAnsi="Arial"/>
          <w:sz w:val="20"/>
          <w:szCs w:val="20"/>
        </w:rPr>
        <w:t xml:space="preserve"> | </w:t>
      </w:r>
      <w:hyperlink w:history="1" r:id="rIdvh44clrrxpvekhy3gksqz">
        <w:r>
          <w:rPr>
            <w:rStyle w:val="Hyperlink"/>
            <w:rFonts w:ascii="Arial" w:cs="Arial" w:eastAsia="Arial" w:hAnsi="Arial"/>
            <w:sz w:val="18"/>
            <w:szCs w:val="18"/>
          </w:rPr>
          <w:t xml:space="preserve">Oracle/BorderPlex Project Jupiter (Apr 27, 2026)</w:t>
        </w:r>
      </w:hyperlink>
      <w:r>
        <w:rPr>
          <w:rFonts w:ascii="Arial" w:cs="Arial" w:eastAsia="Arial" w:hAnsi="Arial"/>
          <w:sz w:val="20"/>
          <w:szCs w:val="20"/>
        </w:rPr>
        <w:t xml:space="preserve"> | </w:t>
      </w:r>
      <w:hyperlink w:history="1" r:id="rIdfg8k0ttjkmwyrbdud-ln-">
        <w:r>
          <w:rPr>
            <w:rStyle w:val="Hyperlink"/>
            <w:rFonts w:ascii="Arial" w:cs="Arial" w:eastAsia="Arial" w:hAnsi="Arial"/>
            <w:sz w:val="18"/>
            <w:szCs w:val="18"/>
          </w:rPr>
          <w:t xml:space="preserve">RBC Note — Bloom Capacity Expansion (Jun 4, 2026)</w:t>
        </w:r>
      </w:hyperlink>
      <w:r>
        <w:rPr>
          <w:rFonts w:ascii="Arial" w:cs="Arial" w:eastAsia="Arial" w:hAnsi="Arial"/>
          <w:sz w:val="20"/>
          <w:szCs w:val="20"/>
        </w:rPr>
        <w:t xml:space="preserve"> | </w:t>
      </w:r>
      <w:hyperlink w:history="1" r:id="rId7ygeue22ulcxrweeo796n">
        <w:r>
          <w:rPr>
            <w:rStyle w:val="Hyperlink"/>
            <w:rFonts w:ascii="Arial" w:cs="Arial" w:eastAsia="Arial" w:hAnsi="Arial"/>
            <w:sz w:val="18"/>
            <w:szCs w:val="18"/>
          </w:rPr>
          <w:t xml:space="preserve">BE Q3 2025 Earnings (Oct 28, 2025)</w:t>
        </w:r>
      </w:hyperlink>
    </w:p>
    <w:p>
      <w:r>
        <w:br w:type="page"/>
      </w:r>
    </w:p>
    <w:p>
      <w:pPr>
        <w:pStyle w:val="Heading1"/>
        <w:spacing w:after="160" w:before="0"/>
      </w:pPr>
      <w:r>
        <w:rPr>
          <w:rFonts w:ascii="Arial" w:cs="Arial" w:eastAsia="Arial" w:hAnsi="Arial"/>
          <w:b/>
          <w:bCs/>
          <w:color w:val="1F3864"/>
          <w:sz w:val="36"/>
          <w:szCs w:val="36"/>
        </w:rPr>
        <w:t xml:space="preserve">COMPARISON: OUR VIEW vs.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Metric</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MRVL</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Current Price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$308.83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$283.32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Our Price Target</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$370</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$330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Consensus PT (mean)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$231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$218</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Our PT vs Consensus</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+60% above Street</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+52% above Street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Analyst Ratings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60 Buy / 12 Hold / 1 Sell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16 Buy / 12 Hold / 3 Sell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Why Consensus Is Wrong</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Backward-looking semi valuation; ignores co-package optics + 50+ pipeline</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Pre-Oracle model; hasn't reflected Q1 beat and guidance raise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Key Proof Point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Revenue doubled in 8 quarters; 50+ design wins disclosed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Oracle 2.45 GW confirmed; delivered 35 days AHEAD of schedule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Re-rating Mechanism</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50+ pipeline converts to revenue; CPO becomes visible in results</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Hold/Sell analysts upgrade post-guidance raise; 3rd+ hyperscaler announced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Next Catalyst Date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Aug 27, 2026 (Q2 FY2027)</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Aug 6, 2026 (Q2 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Bear Case Price</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$180</w:t>
            </w:r>
          </w:p>
        </w:tc>
        <w:tc>
          <w:tcPr>
            <w:tcW w:type="dxa" w:w="33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$120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Bear Trigger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Amazon/Microsoft program delay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Oracle project delay / mfg expansion failure</w:t>
            </w:r>
          </w:p>
        </w:tc>
      </w:tr>
    </w:tbl>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w:r>
    </w:p>
    <w:p>
      <w:pPr>
        <w:pBdr>
          <w:top w:val="single" w:color="2E75B6" w:sz="4"/>
        </w:pBdr>
        <w:spacing w:after="80" w:before="160"/>
      </w:pPr>
      <w:r>
        <w:rPr>
          <w:rFonts w:ascii="Arial" w:cs="Arial" w:eastAsia="Arial" w:hAnsi="Arial"/>
          <w:b/>
          <w:bCs/>
          <w:color w:val="2E75B6"/>
          <w:sz w:val="20"/>
          <w:szCs w:val="20"/>
        </w:rPr>
        <w:t xml:space="preserve">Powered by </w:t>
      </w:r>
      <w:hyperlink w:history="1" r:id="rIddqbdkpp3ws__lvqmwrzqk">
        <w:r>
          <w:rPr>
            <w:rStyle w:val="Hyperlink"/>
            <w:rFonts w:ascii="Arial" w:cs="Arial" w:eastAsia="Arial" w:hAnsi="Arial"/>
            <w:sz w:val="20"/>
            <w:szCs w:val="20"/>
          </w:rPr>
          <w:t xml:space="preserve">Bigdata.com</w:t>
        </w:r>
      </w:hyperlink>
      <w:r>
        <w:rPr>
          <w:rFonts w:ascii="Arial" w:cs="Arial" w:eastAsia="Arial" w:hAnsi="Arial"/>
          <w:color w:val="555555"/>
          <w:sz w:val="20"/>
          <w:szCs w:val="20"/>
        </w:rPr>
        <w:t xml:space="preserve"> — Data from Bigdata.com financial intelligence platform, earnings transcripts via Quartr, and SEC EDGAR filings.</w:t>
      </w:r>
    </w:p>
    <w:p>
      <w:pPr>
        <w:spacing w:after="80" w:before="80"/>
      </w:pPr>
      <w:r>
        <w:rPr>
          <w:rFonts w:ascii="Arial" w:cs="Arial" w:eastAsia="Arial" w:hAnsi="Arial"/>
          <w:i/>
          <w:iCs/>
          <w:color w:val="888888"/>
          <w:sz w:val="16"/>
          <w:szCs w:val="16"/>
        </w:rPr>
        <w:t xml:space="preserve">DISCLAIMER: For informational and research-assistance purposes only. Not investment, legal, or financial advice. Not a recommendation to buy, sell, or hold any security. Verify independently before acting.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rFonts w:ascii="Arial" w:cs="Arial" w:eastAsia="Arial" w:hAnsi="Arial"/>
        <w:color w:val="888888"/>
        <w:sz w:val="16"/>
        <w:szCs w:val="16"/>
      </w:rPr>
      <w:t xml:space="preserve">Powered by Bigdata.com  |  For informational purposes only.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1F3864"/>
        <w:sz w:val="20"/>
        <w:szCs w:val="20"/>
      </w:rPr>
      <w:t xml:space="preserve">UPSTEAM AI EQUITY RESEARCH</w:t>
    </w:r>
    <w:r>
      <w:rPr>
        <w:rFonts w:ascii="Arial" w:cs="Arial" w:eastAsia="Arial" w:hAnsi="Arial"/>
        <w:color w:val="999999"/>
        <w:sz w:val="20"/>
        <w:szCs w:val="20"/>
      </w:rPr>
      <w:t xml:space="preserve">   |   </w:t>
    </w:r>
    <w:r>
      <w:rPr>
        <w:rFonts w:ascii="Arial" w:cs="Arial" w:eastAsia="Arial" w:hAnsi="Arial"/>
        <w:i/>
        <w:iCs/>
        <w:color w:val="666666"/>
        <w:sz w:val="20"/>
        <w:szCs w:val="20"/>
      </w:rPr>
      <w:t xml:space="preserve">Variant Perception Series</w:t>
    </w:r>
    <w:r>
      <w:rPr>
        <w:rFonts w:ascii="Arial" w:cs="Arial" w:eastAsia="Arial" w:hAnsi="Arial"/>
        <w:color w:val="999999"/>
        <w:sz w:val="20"/>
        <w:szCs w:val="20"/>
      </w:rPr>
      <w:t xml:space="preserve">   |   </w:t>
    </w:r>
    <w:r>
      <w:rPr>
        <w:rFonts w:ascii="Arial" w:cs="Arial" w:eastAsia="Arial" w:hAnsi="Arial"/>
        <w:color w:val="666666"/>
        <w:sz w:val="20"/>
        <w:szCs w:val="20"/>
      </w:rPr>
      <w:t xml:space="preserve">June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xfzxvrxgj93jomflsgfr" Type="http://schemas.openxmlformats.org/officeDocument/2006/relationships/hyperlink" Target="https://app.bigdata.com/documents/E1A29551BFA9206B260177FF335B7C30" TargetMode="External"/><Relationship Id="rIdkdckrrrlij2shkm3cq5mz" Type="http://schemas.openxmlformats.org/officeDocument/2006/relationships/hyperlink" Target="https://app.bigdata.com/documents/4A1A7D9CF7C6B04AF6AA349096E4FFB7" TargetMode="External"/><Relationship Id="rIdvpso-zemeuucx6qirg44l" Type="http://schemas.openxmlformats.org/officeDocument/2006/relationships/hyperlink" Target="https://app.bigdata.com/documents/60D00A38CC8D724DE9620DDDC355D670" TargetMode="External"/><Relationship Id="rId3h5y6gxsyqm1-bdfuxjcd" Type="http://schemas.openxmlformats.org/officeDocument/2006/relationships/hyperlink" Target="https://www.sec.gov/Archives/edgar/data/1835632/000183563225000197/mrvl-20251101.htm" TargetMode="External"/><Relationship Id="rIdjh1cbtxrj_2iwnf3toskf" Type="http://schemas.openxmlformats.org/officeDocument/2006/relationships/hyperlink" Target="https://app.bigdata.com/documents/788515F0835E6623032874FDA92567D0" TargetMode="External"/><Relationship Id="rIdoyeatic5llyjfaafghyhv" Type="http://schemas.openxmlformats.org/officeDocument/2006/relationships/hyperlink" Target="https://app.bigdata.com/documents/6A01BAD6D2068BEB404B884C9CA89EBC" TargetMode="External"/><Relationship Id="rIdvh44clrrxpvekhy3gksqz" Type="http://schemas.openxmlformats.org/officeDocument/2006/relationships/hyperlink" Target="https://app.bigdata.com/documents/788515F0835E6623032874FDA92567D0" TargetMode="External"/><Relationship Id="rIdfg8k0ttjkmwyrbdud-ln-" Type="http://schemas.openxmlformats.org/officeDocument/2006/relationships/hyperlink" Target="https://app.bigdata.com/documents/6CC2DAA7AEBB7689C6FD56F881F26C3E" TargetMode="External"/><Relationship Id="rId7ygeue22ulcxrweeo796n" Type="http://schemas.openxmlformats.org/officeDocument/2006/relationships/hyperlink" Target="https://app.bigdata.com/documents/73F25F3CCB5CD546559FC56118DDFEBF" TargetMode="External"/><Relationship Id="rIddqbdkpp3ws__lvqmwrzqk" Type="http://schemas.openxmlformats.org/officeDocument/2006/relationships/hyperlink" Target="https://bigdata.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2026-06-04T16:02:12.983Z</dcterms:created>
  <dcterms:modified xsi:type="dcterms:W3CDTF">2026-06-04T16:02:12.983Z</dcterms:modified>
</cp:coreProperties>
</file>

<file path=docProps/custom.xml><?xml version="1.0" encoding="utf-8"?>
<Properties xmlns="http://schemas.openxmlformats.org/officeDocument/2006/custom-properties" xmlns:vt="http://schemas.openxmlformats.org/officeDocument/2006/docPropsVTypes"/>
</file>