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uerpo"/>
        <w:jc w:val="center"/>
        <w:rPr>
          <w:rStyle w:val="Ninguno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inguno"/>
          <w:sz w:val="28"/>
          <w:szCs w:val="28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165735</wp:posOffset>
            </wp:positionH>
            <wp:positionV relativeFrom="line">
              <wp:posOffset>2540</wp:posOffset>
            </wp:positionV>
            <wp:extent cx="664210" cy="345441"/>
            <wp:effectExtent l="0" t="0" r="0" b="0"/>
            <wp:wrapSquare wrapText="bothSides" distL="57150" distR="57150" distT="57150" distB="57150"/>
            <wp:docPr id="1073741825" name="officeArt object" descr="LOGO-BASE-KONRAD-COL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-BASE-KONRAD-COLOR" descr="LOGO-BASE-KONRAD-COLOR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345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</w:rPr>
        <w:t>Gu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</w:rPr>
        <w:t>í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pt-PT"/>
        </w:rPr>
        <w:t>a de observaci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n. Primera salida Bogot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</w:rPr>
        <w:t xml:space="preserve">á 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hist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it-IT"/>
        </w:rPr>
        <w:t>rica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 xml:space="preserve">Nombres: </w:t>
      </w:r>
      <w:r>
        <w:rPr>
          <w:rStyle w:val="Ninguno"/>
          <w:sz w:val="24"/>
          <w:szCs w:val="24"/>
          <w:rtl w:val="0"/>
          <w:lang w:val="it-IT"/>
        </w:rPr>
        <w:t xml:space="preserve">Angie Lorena Villarreal Sierra - </w:t>
      </w:r>
      <w:r>
        <w:rPr>
          <w:rStyle w:val="Ninguno"/>
          <w:sz w:val="24"/>
          <w:szCs w:val="24"/>
          <w:rtl w:val="0"/>
          <w:lang w:val="es-ES_tradnl"/>
        </w:rPr>
        <w:t>Jonatan Ahumada Fern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ndez </w:t>
      </w:r>
    </w:p>
    <w:tbl>
      <w:tblPr>
        <w:tblW w:w="110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45"/>
        <w:gridCol w:w="3646"/>
        <w:gridCol w:w="3690"/>
      </w:tblGrid>
      <w:tr>
        <w:tblPrEx>
          <w:shd w:val="clear" w:color="auto" w:fill="ced7e7"/>
        </w:tblPrEx>
        <w:trPr>
          <w:trHeight w:val="1256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Lugares centrales visitados</w:t>
            </w:r>
          </w:p>
        </w:tc>
        <w:tc>
          <w:tcPr>
            <w:tcW w:type="dxa" w:w="3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Caracter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ticas generales: descripiciones arquitect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nicas, sociol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gicas, culturales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 xml:space="preserve">Impresiones  de la visita: ej: 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cu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 xml:space="preserve">l fue su lugar favorito, 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qu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lo sorprendi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10184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</w:pPr>
            <w:r>
              <w:rPr>
                <w:rFonts w:ascii="Calibri" w:cs="Calibri" w:hAnsi="Calibri" w:eastAsia="Calibri"/>
                <w:rtl w:val="0"/>
              </w:rPr>
              <w:t>Casa S</w:t>
            </w:r>
            <w:r>
              <w:rPr>
                <w:rFonts w:ascii="Calibri" w:cs="Calibri" w:hAnsi="Calibri" w:eastAsia="Calibri"/>
                <w:rtl w:val="0"/>
              </w:rPr>
              <w:t>á</w:t>
            </w:r>
            <w:r>
              <w:rPr>
                <w:rFonts w:ascii="Calibri" w:cs="Calibri" w:hAnsi="Calibri" w:eastAsia="Calibri"/>
                <w:rtl w:val="0"/>
              </w:rPr>
              <w:t>mano</w:t>
            </w:r>
          </w:p>
          <w:p>
            <w:pPr>
              <w:pStyle w:val="List Paragraph"/>
            </w:pPr>
          </w:p>
        </w:tc>
        <w:tc>
          <w:tcPr>
            <w:tcW w:type="dxa" w:w="3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Casa del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ltimo Virrey. Se observan muchas caracter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sticas propias de una clase social alta: 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200" w:line="276" w:lineRule="auto"/>
              <w:ind w:right="0"/>
              <w:jc w:val="both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Consta de dos pisos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200" w:line="276" w:lineRule="auto"/>
              <w:ind w:right="0"/>
              <w:jc w:val="both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Patio a la entrada (para recibir visitas, indica concurrencia de figuras importantes)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200" w:line="276" w:lineRule="auto"/>
              <w:ind w:right="0"/>
              <w:jc w:val="both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Fuente en el patio (no hay necesidad usar las aguadoras)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both"/>
              <w:outlineLvl w:val="9"/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Exist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 un mito seg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el cual guardaba un tesoro enterrado.Como fue saqueada por los guaqueros, se reconstruy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La casa en s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í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misma (al ser reconstruida) es una met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fora del proceso de construcci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de la memoria. Algunas cosas se seleccionan (su belleza arquitect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nica la hace hoy un museo), mientras se suprimen otras (s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mbolo de la opresi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espa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ola).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Es curioso encontrar de nuevo el mito del tesoro enterrado en la casa colonial. La primera vez que apreci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ó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fue en el relato de LeMoyne sobre el farmaceuta franc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s. Al principio pens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que el  mito se relacionaba directamente  con la leyenda de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El Dorado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”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 Ahora es claro que  era relativamente com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que los espa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oles huyeran despu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 del 9 de abril, dejando atr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s pertenencias.  </w:t>
            </w:r>
          </w:p>
        </w:tc>
      </w:tr>
      <w:tr>
        <w:tblPrEx>
          <w:shd w:val="clear" w:color="auto" w:fill="ced7e7"/>
        </w:tblPrEx>
        <w:trPr>
          <w:trHeight w:val="7008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</w:pPr>
            <w:r>
              <w:rPr>
                <w:rFonts w:ascii="Calibri" w:cs="Calibri" w:hAnsi="Calibri" w:eastAsia="Calibri"/>
                <w:rtl w:val="0"/>
              </w:rPr>
              <w:t>Esquina de la calle 10 con 4ta</w:t>
            </w:r>
          </w:p>
        </w:tc>
        <w:tc>
          <w:tcPr>
            <w:tcW w:type="dxa" w:w="3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 esta esquina al frente de la casa S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mano empieza el recorrido. A primera vista se hace evidente la aglomeraci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n de las 3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pocas: la colonial, la republicana y la moderna.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As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mismo, sobre la calle 10 se hace evidente una din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mica de centro-periferia. A medida que la calle se acerca a la Plaza de Bol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var, las edificaciones se van estilizando y encontramos las residencias de los pr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ceres. All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hacia los cerros, las casas se afean y amontonan sobre la ladera inclinada.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32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Museo del Oro</w:t>
            </w:r>
          </w:p>
        </w:tc>
        <w:tc>
          <w:tcPr>
            <w:tcW w:type="dxa" w:w="3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La pared inocuamente blanca del Museo del Oro apunta a un claro anacronismo en plena calle 10a. La raz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n: antes all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se encontraba el palacio Arzobispal. En el Bogotazo fue incendiado y (he aqu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de nuevo el mecanismo de supresi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n/creaci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n de la memoria) se reemplazo nuevamente con un museo. 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Las construcciones modernas, en general, se ven peor que las construcciones 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 viejas, incluso las coloniales.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¿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Por qu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el caso?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¿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El erario p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blico no alcanza para 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s?,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¿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la Corona y la Iglesia fueron 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 eficientes que el Estado?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¿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Ahora los arquitectos son peores? </w:t>
            </w:r>
          </w:p>
        </w:tc>
      </w:tr>
      <w:tr>
        <w:tblPrEx>
          <w:shd w:val="clear" w:color="auto" w:fill="ced7e7"/>
        </w:tblPrEx>
        <w:trPr>
          <w:trHeight w:val="7774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s-ES_tradnl"/>
              </w:rPr>
              <w:t>Casa de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Rufino Jos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Cuervo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i w:val="1"/>
                <w:iCs w:val="1"/>
                <w:color w:val="222222"/>
                <w:sz w:val="24"/>
                <w:szCs w:val="24"/>
                <w:u w:color="222222"/>
                <w:shd w:val="clear" w:color="auto" w:fill="ffffff"/>
                <w:rtl w:val="0"/>
                <w:lang w:val="es-ES_tradnl"/>
              </w:rPr>
              <w:t>69, Cl. 10 #4</w:t>
            </w:r>
          </w:p>
        </w:tc>
        <w:tc>
          <w:tcPr>
            <w:tcW w:type="dxa" w:w="3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  <w:rPr>
                <w:rStyle w:val="Ninguno"/>
                <w:b w:val="1"/>
                <w:bCs w:val="1"/>
                <w:sz w:val="24"/>
                <w:szCs w:val="24"/>
              </w:rPr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Construida en 1793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El gabinete verde que sobresale era un dise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ñ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o com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dentro de las familias adineradas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del periodo Colonial. Adem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s, de nuevo encontramos una casa de dos pisos. El gu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a recalca que en 1910 se cuentan 2000 casas en total y solo 400 de ellas 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En la casa se encuentra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 Librer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 Yerbabuena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.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te es un detalle importante, ya que evidencia muy claramente la identificaci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n de la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lite bogotana (por ende, colombiana)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con las letras. T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res presidentes (Miguel Antonio Cano, Marco de Fidel Suarez y Miguel Abad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 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ndez) eran fil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logos.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Por lo tanto, el edificio proyecta el imaginario de patria culta. 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Una an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cdota: una vez compr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un libro en Yerbabuena y no ten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an vuelto para un billete de 20 mil.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Es curioso que el Instituto Caro y Cuervo sea una instituci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tan querida. El programa lingu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stico de Cuervo idealizaba la cultura europea y desde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aba el 99% del territorio colombiano, aunque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 lo niegue y nadie lo reconozca. Adem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s, por momentos es profundamente anticient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fica. Hoy en d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 es muy raro que un escol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stico sostenga el tipo de gram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tica normativa que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 sosten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a, aunque nadie podr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 posiblemente negar el valor que tuvo su obra. Aun as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 todos los estudios sobre lenguas indigenas (el verdadero patrimonio) solo los publica el Instituto Caro y Cuervo, una paradoja.</w:t>
            </w:r>
          </w:p>
        </w:tc>
      </w:tr>
      <w:tr>
        <w:tblPrEx>
          <w:shd w:val="clear" w:color="auto" w:fill="ced7e7"/>
        </w:tblPrEx>
        <w:trPr>
          <w:trHeight w:val="10140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Museo Militar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i w:val="1"/>
                <w:iCs w:val="1"/>
                <w:sz w:val="24"/>
                <w:szCs w:val="24"/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i w:val="0"/>
                <w:iCs w:val="0"/>
                <w:color w:val="222222"/>
                <w:sz w:val="24"/>
                <w:szCs w:val="24"/>
                <w:u w:color="222222"/>
                <w:shd w:val="clear" w:color="auto" w:fill="ffffff"/>
                <w:rtl w:val="0"/>
                <w:lang w:val="es-ES_tradnl"/>
              </w:rPr>
              <w:t>Cl. 10 #4 92</w:t>
            </w:r>
          </w:p>
          <w:p>
            <w:pPr>
              <w:pStyle w:val="List Paragraph"/>
              <w:ind w:left="0" w:firstLine="0"/>
              <w:jc w:val="both"/>
              <w:rPr>
                <w:rStyle w:val="Ninguno"/>
                <w:sz w:val="24"/>
                <w:szCs w:val="24"/>
                <w:lang w:val="es-ES_tradnl"/>
              </w:rPr>
            </w:pPr>
          </w:p>
          <w:p>
            <w:pPr>
              <w:pStyle w:val="List Paragraph"/>
              <w:ind w:left="0" w:firstLine="0"/>
              <w:jc w:val="both"/>
            </w:pPr>
            <w:r>
              <w:rPr>
                <w:rStyle w:val="Ninguno"/>
                <w:sz w:val="24"/>
                <w:szCs w:val="24"/>
                <w:lang w:val="es-ES_tradnl"/>
              </w:rPr>
            </w:r>
          </w:p>
        </w:tc>
        <w:tc>
          <w:tcPr>
            <w:tcW w:type="dxa" w:w="3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  <w:rPr>
                <w:rStyle w:val="Ninguno"/>
                <w:b w:val="1"/>
                <w:bCs w:val="1"/>
                <w:sz w:val="24"/>
                <w:szCs w:val="24"/>
                <w:lang w:val="es-ES_tradnl"/>
              </w:rPr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1911-1913</w:t>
            </w:r>
          </w:p>
          <w:p>
            <w:pPr>
              <w:pStyle w:val="List Paragraph"/>
              <w:ind w:left="0" w:firstLine="0"/>
              <w:jc w:val="both"/>
              <w:rPr>
                <w:rStyle w:val="Ninguno"/>
                <w:b w:val="1"/>
                <w:bCs w:val="1"/>
                <w:sz w:val="24"/>
                <w:szCs w:val="24"/>
              </w:rPr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En principio, la hacienda del pr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cer Antonio Ricaurte y luego inaugurado Museo Militar durante el gobierno de Julio C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 xml:space="preserve">sar Turbay Ayala. 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En el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culo (pieza redonda arriba) se encuentran dos personajes, uno tiene en sus manos la piedra filosofal y el otro tiene un telescopio, esto porque antes era la sede de las facultades de artes, arquitectura y matem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ticas de la Universidad Nacional.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Marca una clara tendencia para el estilo republicano.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La ormentaci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e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 y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es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o y fue hecha por la familia Bologne, Se aprecia: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columnas (estructurales)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pilastra (ornamentales)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yeser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</w:t>
            </w:r>
          </w:p>
          <w:p>
            <w:pPr>
              <w:pStyle w:val="List Paragraph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culo</w:t>
            </w:r>
          </w:p>
          <w:p>
            <w:pPr>
              <w:pStyle w:val="List Paragraph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tama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ñ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o </w:t>
            </w:r>
          </w:p>
          <w:p>
            <w:pPr>
              <w:pStyle w:val="List Paragraph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Portico 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984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  <w:rPr>
                <w:rStyle w:val="Ninguno"/>
                <w:sz w:val="24"/>
                <w:szCs w:val="24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Teatro Colon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i w:val="1"/>
                <w:iCs w:val="1"/>
                <w:color w:val="222222"/>
                <w:sz w:val="24"/>
                <w:szCs w:val="24"/>
                <w:u w:color="222222"/>
                <w:shd w:val="clear" w:color="auto" w:fill="ffffff"/>
                <w:rtl w:val="0"/>
                <w:lang w:val="es-ES_tradnl"/>
              </w:rPr>
              <w:t>Calle 10 # 5-32</w:t>
            </w:r>
            <w:r>
              <w:rPr>
                <w:rStyle w:val="Ninguno"/>
                <w:i w:val="1"/>
                <w:iCs w:val="1"/>
                <w:sz w:val="24"/>
                <w:szCs w:val="24"/>
              </w:rPr>
            </w:r>
          </w:p>
        </w:tc>
        <w:tc>
          <w:tcPr>
            <w:tcW w:type="dxa" w:w="3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  <w:rPr>
                <w:rStyle w:val="Ninguno"/>
                <w:b w:val="1"/>
                <w:bCs w:val="1"/>
                <w:sz w:val="24"/>
                <w:szCs w:val="24"/>
              </w:rPr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1908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Paso por varios nombres antes de convertirse en el nombre que hoy conocemos; se llam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ó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Coliseo Ram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rez en el siglo 19, Teatro Maldonado a finales del siglo 19 y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,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por ultimo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,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a comienzos del siglo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XX,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se llam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ó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Teatro Colon.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Utilizaban la marquesina en la entrada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,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ya que esto significaba que era un lugar relevante y elegante.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Los mascarones de bronce significaban poder, las antorchas significaban perpetuidad y o vida.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La arquitectura era de un estilo italiano llamado toscano, se deriva del estilo d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rico sencillo.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Es considerado uno de los teatros 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 importantes del mundo, ya que fue el primer teatro nacional de Bogot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gracias a que Rafael N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úñ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ez lo expropi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y lo proclamo teatro nacional.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76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  <w:rPr>
                <w:rStyle w:val="Ninguno"/>
                <w:sz w:val="24"/>
                <w:szCs w:val="24"/>
                <w:lang w:val="es-ES_tradnl"/>
              </w:rPr>
            </w:pPr>
          </w:p>
          <w:p>
            <w:pPr>
              <w:pStyle w:val="List Paragraph"/>
              <w:ind w:left="0" w:firstLine="0"/>
              <w:jc w:val="both"/>
              <w:rPr>
                <w:rStyle w:val="Ninguno"/>
                <w:sz w:val="24"/>
                <w:szCs w:val="24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Canciller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color w:val="222222"/>
                <w:sz w:val="24"/>
                <w:szCs w:val="24"/>
                <w:u w:color="222222"/>
                <w:shd w:val="clear" w:color="auto" w:fill="ffffff"/>
                <w:rtl w:val="0"/>
              </w:rPr>
            </w:pPr>
            <w:r>
              <w:rPr>
                <w:rStyle w:val="Ninguno"/>
                <w:color w:val="222222"/>
                <w:sz w:val="24"/>
                <w:szCs w:val="24"/>
                <w:u w:color="222222"/>
                <w:shd w:val="clear" w:color="auto" w:fill="ffffff"/>
                <w:rtl w:val="0"/>
                <w:lang w:val="es-ES_tradnl"/>
              </w:rPr>
              <w:t>Palacio de San Carlos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color w:val="222222"/>
                <w:sz w:val="24"/>
                <w:szCs w:val="24"/>
                <w:u w:color="222222"/>
                <w:shd w:val="clear" w:color="auto" w:fill="ffffff"/>
                <w:rtl w:val="0"/>
                <w:lang w:val="es-ES_tradnl"/>
              </w:rPr>
              <w:t>Calle 10 No. 5-51</w:t>
            </w:r>
          </w:p>
        </w:tc>
        <w:tc>
          <w:tcPr>
            <w:tcW w:type="dxa" w:w="3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1920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El 9 de abril de 48 fue quemado.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sz w:val="24"/>
                <w:szCs w:val="24"/>
                <w:lang w:val="es-ES_tradnl"/>
              </w:rPr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20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Azulejo en la pared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color w:val="222222"/>
                <w:sz w:val="24"/>
                <w:szCs w:val="24"/>
                <w:u w:color="222222"/>
                <w:shd w:val="clear" w:color="auto" w:fill="ffffff"/>
                <w:rtl w:val="0"/>
                <w:lang w:val="es-ES_tradnl"/>
              </w:rPr>
              <w:t>Calle 10 No. 5-51</w:t>
            </w:r>
          </w:p>
        </w:tc>
        <w:tc>
          <w:tcPr>
            <w:tcW w:type="dxa" w:w="3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En una misi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diplom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tica realizada por Portugal en </w:t>
            </w:r>
            <w:r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1988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, obsequiaron esta pieza de alfarer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a, con lados vidriados y con t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cnica los colores azul y rojo.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Entre sus detalles est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n: El escudo de Portugal en 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rmol, 5 yagas de Cristo y 7 castillos representando las 7 batallas con los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rabes.  El azulejos es el puerto de Lisboa (Capital de Portugal).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sz w:val="24"/>
                <w:szCs w:val="24"/>
                <w:lang w:val="es-ES_tradnl"/>
              </w:rPr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286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Plaza de Bol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var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b w:val="1"/>
                <w:bCs w:val="1"/>
                <w:i w:val="0"/>
                <w:iCs w:val="0"/>
                <w:color w:val="222222"/>
                <w:sz w:val="24"/>
                <w:szCs w:val="24"/>
                <w:u w:color="222222"/>
                <w:shd w:val="clear" w:color="auto" w:fill="ffffff"/>
                <w:rtl w:val="0"/>
                <w:lang w:val="es-ES_tradnl"/>
              </w:rPr>
              <w:t> </w:t>
            </w:r>
            <w:r>
              <w:rPr>
                <w:rStyle w:val="Ninguno"/>
                <w:i w:val="1"/>
                <w:iCs w:val="1"/>
                <w:color w:val="222222"/>
                <w:sz w:val="24"/>
                <w:szCs w:val="24"/>
                <w:u w:color="222222"/>
                <w:shd w:val="clear" w:color="auto" w:fill="ffffff"/>
                <w:rtl w:val="0"/>
                <w:lang w:val="es-ES_tradnl"/>
              </w:rPr>
              <w:t>Cra. 7 #11-10</w:t>
            </w:r>
            <w:r>
              <w:rPr>
                <w:rStyle w:val="Ninguno"/>
                <w:i w:val="1"/>
                <w:iCs w:val="1"/>
                <w:color w:val="222222"/>
                <w:sz w:val="24"/>
                <w:szCs w:val="24"/>
                <w:u w:color="222222"/>
                <w:shd w:val="clear" w:color="auto" w:fill="ffffff"/>
                <w:lang w:val="es-ES_tradnl"/>
              </w:rPr>
            </w:r>
          </w:p>
        </w:tc>
        <w:tc>
          <w:tcPr>
            <w:tcW w:type="dxa" w:w="3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  <w:rPr>
                <w:rStyle w:val="Ninguno"/>
                <w:b w:val="1"/>
                <w:bCs w:val="1"/>
                <w:sz w:val="24"/>
                <w:szCs w:val="24"/>
              </w:rPr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1846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En la plaza podemos observar tres estilos: colonial, rep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blica y moderno. El estilo republicano conserva algo del estilo colonial, mientras que el estilo modernos conserva ambos estilos (colonial y republica)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  <w:lang w:val="es-ES_tradnl"/>
              </w:rPr>
            </w:pPr>
          </w:p>
          <w:p>
            <w:pPr>
              <w:pStyle w:val="List Paragraph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sz w:val="24"/>
                <w:szCs w:val="24"/>
                <w:lang w:val="es-ES_tradnl"/>
              </w:rPr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</w:pP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">
    <w:name w:val="Ninguno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